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135830" w:rsidTr="0076517D">
        <w:trPr>
          <w:trHeight w:val="282"/>
        </w:trPr>
        <w:tc>
          <w:tcPr>
            <w:tcW w:w="6912"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1552" behindDoc="1" locked="1" layoutInCell="1" allowOverlap="1" wp14:anchorId="427DBA33" wp14:editId="6C5D17B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2A15EC">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w:t>
            </w:r>
            <w:r w:rsidR="001D0EC8">
              <w:rPr>
                <w:rFonts w:cs="Tahoma"/>
                <w:b/>
                <w:color w:val="365F91" w:themeColor="accent1" w:themeShade="BF"/>
                <w:spacing w:val="-2"/>
              </w:rPr>
              <w:t>-Commission Coordination Group o</w:t>
            </w:r>
            <w:r w:rsidR="00F84FAC" w:rsidRPr="00F84FAC">
              <w:rPr>
                <w:rFonts w:cs="Tahoma"/>
                <w:b/>
                <w:color w:val="365F91" w:themeColor="accent1" w:themeShade="BF"/>
                <w:spacing w:val="-2"/>
              </w:rPr>
              <w:t>n W</w:t>
            </w:r>
            <w:r w:rsidR="00F84FAC">
              <w:rPr>
                <w:rFonts w:cs="Tahoma"/>
                <w:b/>
                <w:color w:val="365F91" w:themeColor="accent1" w:themeShade="BF"/>
                <w:spacing w:val="-2"/>
              </w:rPr>
              <w:t>IGOS</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7E53A2" w:rsidP="002A15EC">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 Session</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sidRPr="00837E38">
              <w:rPr>
                <w:snapToGrid w:val="0"/>
                <w:color w:val="365F91" w:themeColor="accent1" w:themeShade="BF"/>
                <w:szCs w:val="22"/>
              </w:rPr>
              <w:t xml:space="preserve">Geneva, Switzerland, </w:t>
            </w:r>
            <w:r>
              <w:rPr>
                <w:snapToGrid w:val="0"/>
                <w:color w:val="365F91" w:themeColor="accent1" w:themeShade="BF"/>
                <w:szCs w:val="22"/>
              </w:rPr>
              <w:t>24</w:t>
            </w:r>
            <w:r w:rsidRPr="00837E38">
              <w:rPr>
                <w:snapToGrid w:val="0"/>
                <w:color w:val="365F91" w:themeColor="accent1" w:themeShade="BF"/>
                <w:szCs w:val="22"/>
              </w:rPr>
              <w:t>-</w:t>
            </w:r>
            <w:r>
              <w:rPr>
                <w:snapToGrid w:val="0"/>
                <w:color w:val="365F91" w:themeColor="accent1" w:themeShade="BF"/>
                <w:szCs w:val="22"/>
              </w:rPr>
              <w:t>26</w:t>
            </w:r>
            <w:r w:rsidRPr="00837E38">
              <w:rPr>
                <w:snapToGrid w:val="0"/>
                <w:color w:val="365F91" w:themeColor="accent1" w:themeShade="BF"/>
                <w:szCs w:val="22"/>
              </w:rPr>
              <w:t xml:space="preserve"> </w:t>
            </w:r>
            <w:r>
              <w:rPr>
                <w:snapToGrid w:val="0"/>
                <w:color w:val="365F91" w:themeColor="accent1" w:themeShade="BF"/>
                <w:szCs w:val="22"/>
              </w:rPr>
              <w:t>January</w:t>
            </w:r>
            <w:r w:rsidRPr="00837E38">
              <w:rPr>
                <w:snapToGrid w:val="0"/>
                <w:color w:val="365F91" w:themeColor="accent1" w:themeShade="BF"/>
                <w:szCs w:val="22"/>
              </w:rPr>
              <w:t xml:space="preserve"> 20</w:t>
            </w:r>
            <w:r>
              <w:rPr>
                <w:snapToGrid w:val="0"/>
                <w:color w:val="365F91" w:themeColor="accent1" w:themeShade="BF"/>
                <w:szCs w:val="22"/>
              </w:rPr>
              <w:t>19</w:t>
            </w:r>
            <w:r w:rsidRPr="00837E38">
              <w:rPr>
                <w:snapToGrid w:val="0"/>
                <w:color w:val="365F91" w:themeColor="accent1" w:themeShade="BF"/>
                <w:szCs w:val="22"/>
              </w:rPr>
              <w:fldChar w:fldCharType="end"/>
            </w:r>
          </w:p>
        </w:tc>
        <w:tc>
          <w:tcPr>
            <w:tcW w:w="2977" w:type="dxa"/>
          </w:tcPr>
          <w:p w:rsidR="00993581" w:rsidRPr="001B235A" w:rsidRDefault="003E6A9C" w:rsidP="002A15EC">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B10762">
                  <w:rPr>
                    <w:rFonts w:cs="Tahoma"/>
                    <w:b/>
                    <w:bCs/>
                    <w:color w:val="365F91" w:themeColor="accent1" w:themeShade="BF"/>
                  </w:rPr>
                  <w:t>ICG-WIGOS-8/</w:t>
                </w:r>
                <w:r w:rsidR="004A60A4">
                  <w:rPr>
                    <w:rFonts w:cs="Tahoma"/>
                    <w:b/>
                    <w:bCs/>
                    <w:color w:val="365F91" w:themeColor="accent1" w:themeShade="BF"/>
                    <w:lang w:val="en-US"/>
                  </w:rPr>
                  <w:t>Doc. 3</w:t>
                </w:r>
              </w:sdtContent>
            </w:sdt>
            <w:r w:rsidR="000D4FA3" w:rsidRPr="001B235A">
              <w:rPr>
                <w:rFonts w:cs="Tahoma"/>
                <w:b/>
                <w:bCs/>
                <w:color w:val="365F91" w:themeColor="accent1" w:themeShade="BF"/>
              </w:rPr>
              <w:t xml:space="preserve"> </w:t>
            </w:r>
          </w:p>
        </w:tc>
      </w:tr>
      <w:tr w:rsidR="00993581" w:rsidRPr="003B6DFC" w:rsidTr="0076517D">
        <w:trPr>
          <w:trHeight w:val="730"/>
        </w:trPr>
        <w:tc>
          <w:tcPr>
            <w:tcW w:w="6912"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993581" w:rsidRPr="003B6DFC" w:rsidRDefault="00993581" w:rsidP="003E14DF">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E14DF">
                  <w:rPr>
                    <w:rFonts w:cs="Tahoma"/>
                    <w:color w:val="365F91" w:themeColor="accent1" w:themeShade="BF"/>
                    <w:lang w:val="en-US"/>
                  </w:rPr>
                  <w:t>Secretariat</w:t>
                </w:r>
              </w:sdtContent>
            </w:sdt>
          </w:p>
          <w:p w:rsidR="00993581" w:rsidRPr="003B6DFC" w:rsidRDefault="006F4489" w:rsidP="007E53A2">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7E53A2">
              <w:rPr>
                <w:rFonts w:cs="Tahoma"/>
                <w:color w:val="365F91" w:themeColor="accent1" w:themeShade="BF"/>
              </w:rPr>
              <w:t>4</w:t>
            </w:r>
            <w:r w:rsidR="000D4FA3" w:rsidRPr="003B6DFC">
              <w:rPr>
                <w:rFonts w:cs="Tahoma"/>
                <w:color w:val="365F91" w:themeColor="accent1" w:themeShade="BF"/>
              </w:rPr>
              <w:t>.</w:t>
            </w:r>
            <w:r w:rsidR="002A15EC">
              <w:rPr>
                <w:rFonts w:cs="Tahoma"/>
                <w:color w:val="365F91" w:themeColor="accent1" w:themeShade="BF"/>
              </w:rPr>
              <w:t>1</w:t>
            </w:r>
            <w:r w:rsidR="007E53A2">
              <w:rPr>
                <w:rFonts w:cs="Tahoma"/>
                <w:color w:val="365F91" w:themeColor="accent1" w:themeShade="BF"/>
              </w:rPr>
              <w:t>2</w:t>
            </w:r>
            <w:r w:rsidR="000D4FA3" w:rsidRPr="003B6DFC">
              <w:rPr>
                <w:rFonts w:cs="Tahoma"/>
                <w:color w:val="365F91" w:themeColor="accent1" w:themeShade="BF"/>
              </w:rPr>
              <w:t>.</w:t>
            </w:r>
            <w:r w:rsidR="0050695F" w:rsidRPr="003B6DFC">
              <w:rPr>
                <w:rFonts w:cs="Tahoma"/>
                <w:color w:val="365F91" w:themeColor="accent1" w:themeShade="BF"/>
              </w:rPr>
              <w:t>201</w:t>
            </w:r>
            <w:r w:rsidR="007E53A2">
              <w:rPr>
                <w:rFonts w:cs="Tahoma"/>
                <w:color w:val="365F91" w:themeColor="accent1" w:themeShade="BF"/>
              </w:rPr>
              <w:t>8</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66028A" w:rsidRDefault="0066028A" w:rsidP="00192808">
      <w:pPr>
        <w:pStyle w:val="Heading1"/>
        <w:rPr>
          <w:sz w:val="20"/>
          <w:szCs w:val="20"/>
        </w:rPr>
      </w:pPr>
      <w:bookmarkStart w:id="1" w:name="_Toc319327009"/>
    </w:p>
    <w:p w:rsidR="001D0EC8" w:rsidRPr="001D0EC8" w:rsidRDefault="001D0EC8" w:rsidP="001D0EC8">
      <w:pPr>
        <w:pStyle w:val="WMOBodyText"/>
      </w:pPr>
    </w:p>
    <w:p w:rsidR="003E2A58" w:rsidRPr="00D6251E" w:rsidRDefault="0066028A" w:rsidP="007E53A2">
      <w:pPr>
        <w:pStyle w:val="Heading1"/>
        <w:rPr>
          <w:sz w:val="20"/>
          <w:szCs w:val="20"/>
        </w:rPr>
      </w:pPr>
      <w:r>
        <w:rPr>
          <w:sz w:val="20"/>
          <w:szCs w:val="20"/>
        </w:rPr>
        <w:t xml:space="preserve">Guidance from </w:t>
      </w:r>
      <w:r w:rsidR="00192808">
        <w:rPr>
          <w:sz w:val="20"/>
          <w:szCs w:val="20"/>
        </w:rPr>
        <w:t>EC</w:t>
      </w:r>
      <w:r w:rsidR="00BF631D">
        <w:rPr>
          <w:sz w:val="20"/>
          <w:szCs w:val="20"/>
        </w:rPr>
        <w:t>-</w:t>
      </w:r>
      <w:r w:rsidR="007E53A2">
        <w:rPr>
          <w:sz w:val="20"/>
          <w:szCs w:val="20"/>
        </w:rPr>
        <w:t>70</w:t>
      </w:r>
    </w:p>
    <w:p w:rsidR="003E2A58" w:rsidRPr="00D6251E" w:rsidRDefault="003E2A58" w:rsidP="003E2A58">
      <w:pPr>
        <w:jc w:val="center"/>
      </w:pPr>
      <w:r w:rsidRPr="00D6251E">
        <w:t>(Submitted by the Secretariat)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1D0EC8" w:rsidRDefault="001D0EC8" w:rsidP="0035216A">
            <w:pPr>
              <w:jc w:val="center"/>
              <w:rPr>
                <w:b/>
              </w:rPr>
            </w:pPr>
          </w:p>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3E2A58" w:rsidP="007E53A2">
            <w:pPr>
              <w:tabs>
                <w:tab w:val="left" w:pos="148"/>
              </w:tabs>
              <w:ind w:left="148" w:right="157"/>
              <w:jc w:val="center"/>
            </w:pPr>
            <w:r w:rsidRPr="00D6251E">
              <w:t xml:space="preserve">This document provides </w:t>
            </w:r>
            <w:r w:rsidR="005F6A97">
              <w:t xml:space="preserve">WIGOS </w:t>
            </w:r>
            <w:r w:rsidRPr="00D6251E">
              <w:t xml:space="preserve">relevant guidance from </w:t>
            </w:r>
            <w:r w:rsidR="00192808">
              <w:t>E</w:t>
            </w:r>
            <w:r w:rsidRPr="00D6251E">
              <w:t>C</w:t>
            </w:r>
            <w:r w:rsidR="00BF631D">
              <w:t>-</w:t>
            </w:r>
            <w:r w:rsidR="007E53A2">
              <w:t>70</w:t>
            </w:r>
            <w:r w:rsidRPr="00D6251E">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3E2A58" w:rsidP="007E53A2">
      <w:pPr>
        <w:tabs>
          <w:tab w:val="left" w:pos="709"/>
          <w:tab w:val="left" w:pos="851"/>
        </w:tabs>
        <w:jc w:val="center"/>
      </w:pPr>
      <w:r w:rsidRPr="00D6251E">
        <w:t xml:space="preserve">The session will be informed on relevant guidance from </w:t>
      </w:r>
      <w:r w:rsidR="002B6793">
        <w:t>E</w:t>
      </w:r>
      <w:r w:rsidRPr="00D6251E">
        <w:t>C-</w:t>
      </w:r>
      <w:r w:rsidR="007E53A2">
        <w:t>70</w:t>
      </w:r>
      <w:r w:rsidRPr="00D6251E">
        <w:t xml:space="preserve"> to be taken into account.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66028A" w:rsidRPr="0066028A" w:rsidRDefault="0066028A" w:rsidP="0066028A">
      <w:pPr>
        <w:pStyle w:val="WMOBodyText"/>
        <w:rPr>
          <w:lang w:eastAsia="en-US"/>
        </w:rPr>
      </w:pPr>
    </w:p>
    <w:p w:rsidR="00AE58C2" w:rsidRDefault="00AE58C2" w:rsidP="003E2A58">
      <w:pPr>
        <w:tabs>
          <w:tab w:val="left" w:pos="-1440"/>
          <w:tab w:val="left" w:pos="840"/>
        </w:tabs>
        <w:spacing w:before="60" w:after="120"/>
        <w:rPr>
          <w:b/>
        </w:rPr>
      </w:pPr>
    </w:p>
    <w:p w:rsidR="00AE58C2" w:rsidRDefault="00AE58C2"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D6251E" w:rsidRDefault="003E6A9C" w:rsidP="007E53A2">
      <w:pPr>
        <w:tabs>
          <w:tab w:val="clear" w:pos="1134"/>
          <w:tab w:val="left" w:pos="-1440"/>
          <w:tab w:val="left" w:pos="426"/>
        </w:tabs>
        <w:spacing w:before="60" w:after="120"/>
        <w:rPr>
          <w:color w:val="0000FF"/>
        </w:rPr>
      </w:pPr>
      <w:hyperlink r:id="rId13" w:history="1">
        <w:r w:rsidR="007E53A2">
          <w:rPr>
            <w:rStyle w:val="Hyperlink"/>
          </w:rPr>
          <w:t xml:space="preserve">Seventieth </w:t>
        </w:r>
        <w:r w:rsidR="008E3177" w:rsidRPr="002270D8">
          <w:rPr>
            <w:rStyle w:val="Hyperlink"/>
          </w:rPr>
          <w:t>session of the WMO Executive Council (Geneva</w:t>
        </w:r>
        <w:r w:rsidR="007E53A2">
          <w:rPr>
            <w:rStyle w:val="Hyperlink"/>
          </w:rPr>
          <w:t>, 20-29 June 2018</w:t>
        </w:r>
        <w:r w:rsidR="008E3177" w:rsidRPr="002270D8">
          <w:rPr>
            <w:rStyle w:val="Hyperlink"/>
          </w:rPr>
          <w:t>)</w:t>
        </w:r>
      </w:hyperlink>
    </w:p>
    <w:p w:rsidR="003E2A58" w:rsidRDefault="003E2A58" w:rsidP="00756B94">
      <w:pPr>
        <w:spacing w:before="60" w:after="120"/>
        <w:jc w:val="left"/>
      </w:pPr>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4"/>
          <w:headerReference w:type="default" r:id="rId15"/>
          <w:pgSz w:w="11907" w:h="16840" w:code="9"/>
          <w:pgMar w:top="1134" w:right="1134" w:bottom="1134" w:left="1134" w:header="720" w:footer="731" w:gutter="0"/>
          <w:cols w:space="720"/>
          <w:titlePg/>
          <w:docGrid w:linePitch="326"/>
        </w:sectPr>
      </w:pPr>
    </w:p>
    <w:p w:rsidR="00330005" w:rsidRDefault="00330005" w:rsidP="001E3966">
      <w:pPr>
        <w:pStyle w:val="Standard"/>
        <w:rPr>
          <w:rFonts w:ascii="Verdana" w:hAnsi="Verdana"/>
          <w:b/>
          <w:bCs/>
          <w:sz w:val="20"/>
          <w:szCs w:val="20"/>
        </w:rPr>
      </w:pPr>
    </w:p>
    <w:p w:rsidR="008E521A" w:rsidRPr="001E3966" w:rsidRDefault="001E3966" w:rsidP="007E53A2">
      <w:pPr>
        <w:pStyle w:val="Standard"/>
        <w:rPr>
          <w:rFonts w:ascii="Verdana" w:hAnsi="Verdana"/>
          <w:b/>
          <w:bCs/>
          <w:iCs/>
          <w:sz w:val="20"/>
          <w:szCs w:val="20"/>
        </w:rPr>
      </w:pPr>
      <w:r w:rsidRPr="001E3966">
        <w:rPr>
          <w:rFonts w:ascii="Verdana" w:hAnsi="Verdana"/>
          <w:b/>
          <w:bCs/>
          <w:sz w:val="20"/>
          <w:szCs w:val="20"/>
        </w:rPr>
        <w:t>3</w:t>
      </w:r>
      <w:r w:rsidRPr="001E3966">
        <w:rPr>
          <w:rFonts w:ascii="Verdana" w:hAnsi="Verdana"/>
          <w:b/>
          <w:bCs/>
          <w:sz w:val="20"/>
          <w:szCs w:val="20"/>
        </w:rPr>
        <w:tab/>
      </w:r>
      <w:r w:rsidR="002121AC" w:rsidRPr="001E3966">
        <w:rPr>
          <w:rFonts w:ascii="Verdana" w:hAnsi="Verdana"/>
          <w:b/>
          <w:bCs/>
          <w:sz w:val="20"/>
          <w:szCs w:val="20"/>
        </w:rPr>
        <w:t>GUIDANCE FROM E</w:t>
      </w:r>
      <w:r w:rsidR="003E2A58" w:rsidRPr="001E3966">
        <w:rPr>
          <w:rFonts w:ascii="Verdana" w:hAnsi="Verdana"/>
          <w:b/>
          <w:bCs/>
          <w:sz w:val="20"/>
          <w:szCs w:val="20"/>
        </w:rPr>
        <w:t>C-</w:t>
      </w:r>
      <w:r w:rsidR="007E53A2">
        <w:rPr>
          <w:rFonts w:ascii="Verdana" w:hAnsi="Verdana"/>
          <w:b/>
          <w:bCs/>
          <w:sz w:val="20"/>
          <w:szCs w:val="20"/>
        </w:rPr>
        <w:t>70</w:t>
      </w:r>
      <w:r w:rsidR="00206EE1" w:rsidRPr="001E3966">
        <w:rPr>
          <w:rFonts w:ascii="Verdana" w:hAnsi="Verdana"/>
          <w:b/>
          <w:bCs/>
          <w:iCs/>
          <w:sz w:val="20"/>
          <w:szCs w:val="20"/>
        </w:rPr>
        <w:t xml:space="preserve"> (</w:t>
      </w:r>
      <w:r w:rsidR="007E53A2">
        <w:rPr>
          <w:rFonts w:ascii="Verdana" w:hAnsi="Verdana"/>
          <w:b/>
          <w:bCs/>
          <w:iCs/>
          <w:sz w:val="20"/>
          <w:szCs w:val="20"/>
        </w:rPr>
        <w:t>June</w:t>
      </w:r>
      <w:r w:rsidR="002121AC" w:rsidRPr="001E3966">
        <w:rPr>
          <w:rFonts w:ascii="Verdana" w:hAnsi="Verdana"/>
          <w:b/>
          <w:bCs/>
          <w:iCs/>
          <w:sz w:val="20"/>
          <w:szCs w:val="20"/>
        </w:rPr>
        <w:t xml:space="preserve"> </w:t>
      </w:r>
      <w:r w:rsidR="00206EE1" w:rsidRPr="001E3966">
        <w:rPr>
          <w:rFonts w:ascii="Verdana" w:hAnsi="Verdana"/>
          <w:b/>
          <w:bCs/>
          <w:iCs/>
          <w:sz w:val="20"/>
          <w:szCs w:val="20"/>
        </w:rPr>
        <w:t>201</w:t>
      </w:r>
      <w:r w:rsidR="007E53A2">
        <w:rPr>
          <w:rFonts w:ascii="Verdana" w:hAnsi="Verdana"/>
          <w:b/>
          <w:bCs/>
          <w:iCs/>
          <w:sz w:val="20"/>
          <w:szCs w:val="20"/>
        </w:rPr>
        <w:t>8</w:t>
      </w:r>
      <w:r w:rsidR="00206EE1" w:rsidRPr="001E3966">
        <w:rPr>
          <w:rFonts w:ascii="Verdana" w:hAnsi="Verdana"/>
          <w:b/>
          <w:bCs/>
          <w:iCs/>
          <w:sz w:val="20"/>
          <w:szCs w:val="20"/>
        </w:rPr>
        <w:t>)</w:t>
      </w:r>
    </w:p>
    <w:p w:rsidR="00FF09E6" w:rsidRDefault="00FF09E6" w:rsidP="001E3966">
      <w:pPr>
        <w:pStyle w:val="Standard"/>
        <w:rPr>
          <w:rFonts w:ascii="Verdana" w:eastAsia="MS Mincho" w:hAnsi="Verdana" w:cs="Verdana"/>
          <w:bCs/>
          <w:sz w:val="20"/>
          <w:szCs w:val="20"/>
          <w:lang w:eastAsia="zh-TW"/>
        </w:rPr>
      </w:pPr>
    </w:p>
    <w:p w:rsidR="00F7706D" w:rsidRPr="00FF09E6" w:rsidRDefault="007E53A2" w:rsidP="001E3D39">
      <w:pPr>
        <w:pStyle w:val="Standard"/>
        <w:jc w:val="left"/>
        <w:rPr>
          <w:rFonts w:ascii="Verdana" w:eastAsia="MS Mincho" w:hAnsi="Verdana" w:cs="Verdana"/>
          <w:b/>
          <w:sz w:val="20"/>
          <w:szCs w:val="20"/>
          <w:lang w:eastAsia="zh-TW"/>
        </w:rPr>
      </w:pPr>
      <w:r w:rsidRPr="007E53A2">
        <w:rPr>
          <w:rFonts w:ascii="Verdana" w:eastAsia="MS Mincho" w:hAnsi="Verdana" w:cs="Verdana"/>
          <w:b/>
          <w:sz w:val="20"/>
          <w:szCs w:val="20"/>
          <w:lang w:eastAsia="zh-TW"/>
        </w:rPr>
        <w:t xml:space="preserve">Resolution </w:t>
      </w:r>
      <w:r>
        <w:rPr>
          <w:rFonts w:ascii="Verdana" w:eastAsia="MS Mincho" w:hAnsi="Verdana" w:cs="Verdana"/>
          <w:b/>
          <w:sz w:val="20"/>
          <w:szCs w:val="20"/>
          <w:lang w:eastAsia="zh-TW"/>
        </w:rPr>
        <w:t>19</w:t>
      </w:r>
      <w:r w:rsidRPr="007E53A2">
        <w:rPr>
          <w:rFonts w:ascii="Verdana" w:eastAsia="MS Mincho" w:hAnsi="Verdana" w:cs="Verdana"/>
          <w:b/>
          <w:sz w:val="20"/>
          <w:szCs w:val="20"/>
          <w:lang w:eastAsia="zh-TW"/>
        </w:rPr>
        <w:t xml:space="preserve"> (EC-70)</w:t>
      </w:r>
      <w:r w:rsidR="001E3D39">
        <w:rPr>
          <w:rFonts w:ascii="Verdana" w:eastAsia="MS Mincho" w:hAnsi="Verdana" w:cs="Verdana"/>
          <w:b/>
          <w:sz w:val="20"/>
          <w:szCs w:val="20"/>
          <w:lang w:eastAsia="zh-TW"/>
        </w:rPr>
        <w:t xml:space="preserve"> </w:t>
      </w:r>
      <w:r w:rsidRPr="007E53A2">
        <w:rPr>
          <w:rFonts w:ascii="Verdana" w:eastAsia="MS Mincho" w:hAnsi="Verdana" w:cs="Verdana"/>
          <w:b/>
          <w:sz w:val="20"/>
          <w:szCs w:val="20"/>
          <w:lang w:eastAsia="zh-TW"/>
        </w:rPr>
        <w:t xml:space="preserve">GUIDE TO THE </w:t>
      </w:r>
      <w:r w:rsidR="001E3D39">
        <w:rPr>
          <w:rFonts w:ascii="Verdana" w:eastAsia="MS Mincho" w:hAnsi="Verdana" w:cs="Verdana"/>
          <w:b/>
          <w:sz w:val="20"/>
          <w:szCs w:val="20"/>
          <w:lang w:eastAsia="zh-TW"/>
        </w:rPr>
        <w:t xml:space="preserve">WMO INTEGRATED GLOBAL OBSERVING </w:t>
      </w:r>
      <w:proofErr w:type="gramStart"/>
      <w:r w:rsidRPr="007E53A2">
        <w:rPr>
          <w:rFonts w:ascii="Verdana" w:eastAsia="MS Mincho" w:hAnsi="Verdana" w:cs="Verdana"/>
          <w:b/>
          <w:sz w:val="20"/>
          <w:szCs w:val="20"/>
          <w:lang w:eastAsia="zh-TW"/>
        </w:rPr>
        <w:t>SYSTEM</w:t>
      </w:r>
      <w:proofErr w:type="gramEnd"/>
      <w:r w:rsidRPr="007E53A2">
        <w:rPr>
          <w:rFonts w:ascii="Verdana" w:eastAsia="MS Mincho" w:hAnsi="Verdana" w:cs="Verdana"/>
          <w:b/>
          <w:sz w:val="20"/>
          <w:szCs w:val="20"/>
          <w:lang w:eastAsia="zh-TW"/>
        </w:rPr>
        <w:t xml:space="preserve"> (WMO-No. 1165)</w:t>
      </w:r>
    </w:p>
    <w:p w:rsidR="007E53A2" w:rsidRDefault="001E3D39" w:rsidP="001E3D39">
      <w:pPr>
        <w:pStyle w:val="Standard"/>
        <w:jc w:val="left"/>
        <w:rPr>
          <w:rFonts w:ascii="Verdana" w:eastAsia="MS Mincho" w:hAnsi="Verdana" w:cs="Verdana"/>
          <w:sz w:val="20"/>
          <w:szCs w:val="20"/>
          <w:lang w:eastAsia="zh-TW"/>
        </w:rPr>
      </w:pPr>
      <w:r w:rsidRPr="001E3D39">
        <w:rPr>
          <w:rFonts w:ascii="Verdana" w:eastAsia="MS Mincho" w:hAnsi="Verdana" w:cs="Verdana"/>
          <w:sz w:val="20"/>
          <w:szCs w:val="20"/>
          <w:lang w:eastAsia="zh-TW"/>
        </w:rPr>
        <w:t xml:space="preserve">The Executive Council </w:t>
      </w:r>
      <w:r w:rsidR="007E53A2">
        <w:rPr>
          <w:rFonts w:ascii="Verdana" w:eastAsia="MS Mincho" w:hAnsi="Verdana" w:cs="Verdana"/>
          <w:sz w:val="20"/>
          <w:szCs w:val="20"/>
          <w:lang w:eastAsia="zh-TW"/>
        </w:rPr>
        <w:t xml:space="preserve">adopted </w:t>
      </w:r>
      <w:r w:rsidR="007E53A2" w:rsidRPr="007E53A2">
        <w:rPr>
          <w:rFonts w:ascii="Verdana" w:eastAsia="MS Mincho" w:hAnsi="Verdana" w:cs="Verdana"/>
          <w:sz w:val="20"/>
          <w:szCs w:val="20"/>
          <w:lang w:eastAsia="zh-TW"/>
        </w:rPr>
        <w:t>the updated Guide with effect from 1 October 2018</w:t>
      </w:r>
      <w:r w:rsidR="007E53A2">
        <w:rPr>
          <w:rFonts w:ascii="Verdana" w:eastAsia="MS Mincho" w:hAnsi="Verdana" w:cs="Verdana"/>
          <w:sz w:val="20"/>
          <w:szCs w:val="20"/>
          <w:lang w:eastAsia="zh-TW"/>
        </w:rPr>
        <w:t>;</w:t>
      </w:r>
    </w:p>
    <w:p w:rsidR="00C93744" w:rsidRPr="001E3966" w:rsidRDefault="001E3D39" w:rsidP="001E3D39">
      <w:pPr>
        <w:pStyle w:val="Standard"/>
        <w:jc w:val="left"/>
        <w:rPr>
          <w:rFonts w:ascii="Verdana" w:eastAsia="MS Mincho" w:hAnsi="Verdana" w:cs="Verdana"/>
          <w:sz w:val="20"/>
          <w:szCs w:val="20"/>
          <w:lang w:eastAsia="zh-TW"/>
        </w:rPr>
      </w:pPr>
      <w:r w:rsidRPr="001E3D39">
        <w:rPr>
          <w:rFonts w:ascii="Verdana" w:eastAsia="MS Mincho" w:hAnsi="Verdana" w:cs="Verdana"/>
          <w:sz w:val="20"/>
          <w:szCs w:val="20"/>
          <w:lang w:eastAsia="zh-TW"/>
        </w:rPr>
        <w:t xml:space="preserve">The Executive Council </w:t>
      </w:r>
      <w:r w:rsidR="007E53A2">
        <w:rPr>
          <w:rFonts w:ascii="Verdana" w:eastAsia="MS Mincho" w:hAnsi="Verdana" w:cs="Verdana"/>
          <w:sz w:val="20"/>
          <w:szCs w:val="20"/>
          <w:lang w:eastAsia="zh-TW"/>
        </w:rPr>
        <w:t>r</w:t>
      </w:r>
      <w:r w:rsidR="007E53A2" w:rsidRPr="007E53A2">
        <w:rPr>
          <w:rFonts w:ascii="Verdana" w:eastAsia="MS Mincho" w:hAnsi="Verdana" w:cs="Verdana"/>
          <w:sz w:val="20"/>
          <w:szCs w:val="20"/>
          <w:lang w:eastAsia="zh-TW"/>
        </w:rPr>
        <w:t>equest</w:t>
      </w:r>
      <w:r w:rsidR="007E53A2">
        <w:rPr>
          <w:rFonts w:ascii="Verdana" w:eastAsia="MS Mincho" w:hAnsi="Verdana" w:cs="Verdana"/>
          <w:sz w:val="20"/>
          <w:szCs w:val="20"/>
          <w:lang w:eastAsia="zh-TW"/>
        </w:rPr>
        <w:t>ed</w:t>
      </w:r>
      <w:r w:rsidR="007E53A2" w:rsidRPr="007E53A2">
        <w:rPr>
          <w:rFonts w:ascii="Verdana" w:eastAsia="MS Mincho" w:hAnsi="Verdana" w:cs="Verdana"/>
          <w:sz w:val="20"/>
          <w:szCs w:val="20"/>
          <w:lang w:eastAsia="zh-TW"/>
        </w:rPr>
        <w:t xml:space="preserve"> the Intercommission Coordination Group on WIGOS to further develop and enhance the Guide with additional material as it becomes available in accordance with Resolution 2 (EC</w:t>
      </w:r>
      <w:r w:rsidR="007E53A2" w:rsidRPr="007E53A2">
        <w:rPr>
          <w:rFonts w:ascii="MS Gothic" w:eastAsia="MS Gothic" w:hAnsi="MS Gothic" w:cs="MS Gothic" w:hint="eastAsia"/>
          <w:sz w:val="20"/>
          <w:szCs w:val="20"/>
          <w:lang w:eastAsia="zh-TW"/>
        </w:rPr>
        <w:t>‑</w:t>
      </w:r>
      <w:r w:rsidR="007E53A2">
        <w:rPr>
          <w:rFonts w:ascii="Verdana" w:eastAsia="MS Mincho" w:hAnsi="Verdana" w:cs="Verdana"/>
          <w:sz w:val="20"/>
          <w:szCs w:val="20"/>
          <w:lang w:eastAsia="zh-TW"/>
        </w:rPr>
        <w:t>68)</w:t>
      </w:r>
      <w:r w:rsidR="00F7706D" w:rsidRPr="001E3966">
        <w:rPr>
          <w:rFonts w:ascii="Verdana" w:eastAsia="MS Mincho" w:hAnsi="Verdana" w:cs="Verdana"/>
          <w:sz w:val="20"/>
          <w:szCs w:val="20"/>
          <w:lang w:eastAsia="zh-TW"/>
        </w:rPr>
        <w:t>;</w:t>
      </w:r>
    </w:p>
    <w:p w:rsidR="001E3D39" w:rsidRPr="001E3D39" w:rsidRDefault="001E3D39" w:rsidP="001E3D39">
      <w:pPr>
        <w:pStyle w:val="Standard"/>
        <w:jc w:val="left"/>
        <w:rPr>
          <w:rFonts w:ascii="Verdana" w:hAnsi="Verdana"/>
          <w:b/>
          <w:bCs/>
          <w:sz w:val="20"/>
          <w:szCs w:val="20"/>
        </w:rPr>
      </w:pPr>
      <w:r w:rsidRPr="001E3D39">
        <w:rPr>
          <w:rFonts w:ascii="Verdana" w:hAnsi="Verdana"/>
          <w:b/>
          <w:bCs/>
          <w:sz w:val="20"/>
          <w:szCs w:val="20"/>
        </w:rPr>
        <w:t>Decision 14 (EC-70) Establishment of Regional WMO Integrated Global Observing System Centres</w:t>
      </w:r>
    </w:p>
    <w:p w:rsidR="001E3D39" w:rsidRPr="001E3D39" w:rsidRDefault="001E3D39" w:rsidP="001E3D39">
      <w:pPr>
        <w:pStyle w:val="Standard"/>
        <w:jc w:val="left"/>
        <w:rPr>
          <w:rFonts w:ascii="Verdana" w:hAnsi="Verdana"/>
          <w:sz w:val="20"/>
          <w:szCs w:val="20"/>
        </w:rPr>
      </w:pPr>
      <w:r w:rsidRPr="001E3D39">
        <w:rPr>
          <w:rFonts w:ascii="Verdana" w:hAnsi="Verdana"/>
          <w:sz w:val="20"/>
          <w:szCs w:val="20"/>
        </w:rPr>
        <w:t>The Executive Council decide</w:t>
      </w:r>
      <w:r>
        <w:rPr>
          <w:rFonts w:ascii="Verdana" w:hAnsi="Verdana"/>
          <w:sz w:val="20"/>
          <w:szCs w:val="20"/>
        </w:rPr>
        <w:t>d</w:t>
      </w:r>
      <w:r w:rsidRPr="001E3D39">
        <w:rPr>
          <w:rFonts w:ascii="Verdana" w:hAnsi="Verdana"/>
          <w:sz w:val="20"/>
          <w:szCs w:val="20"/>
        </w:rPr>
        <w:t xml:space="preserve"> to:</w:t>
      </w:r>
    </w:p>
    <w:p w:rsidR="001E3D39" w:rsidRPr="001E3D39" w:rsidRDefault="001E3D39" w:rsidP="001E3D39">
      <w:pPr>
        <w:pStyle w:val="Standard"/>
        <w:jc w:val="left"/>
        <w:rPr>
          <w:rFonts w:ascii="Verdana" w:hAnsi="Verdana"/>
          <w:sz w:val="20"/>
          <w:szCs w:val="20"/>
        </w:rPr>
      </w:pPr>
      <w:r w:rsidRPr="001E3D39">
        <w:rPr>
          <w:rFonts w:ascii="Verdana" w:hAnsi="Verdana"/>
          <w:sz w:val="20"/>
          <w:szCs w:val="20"/>
        </w:rPr>
        <w:t>(1) Request all Regional Association Management Groups and its Panel of Experts on Polar and High Mountain Observations, Research and Services (EC-PHORS) to strongly support the establishment of Regional WIGOS Centres (RWCs) in pilot mode in their respective Region and the Antarctic and take appropriate actions;</w:t>
      </w:r>
    </w:p>
    <w:p w:rsidR="001E3D39" w:rsidRPr="001E3D39" w:rsidRDefault="001E3D39" w:rsidP="001E3D39">
      <w:pPr>
        <w:pStyle w:val="Standard"/>
        <w:jc w:val="left"/>
        <w:rPr>
          <w:rFonts w:ascii="Verdana" w:hAnsi="Verdana"/>
          <w:sz w:val="20"/>
          <w:szCs w:val="20"/>
        </w:rPr>
      </w:pPr>
      <w:r w:rsidRPr="001E3D39">
        <w:rPr>
          <w:rFonts w:ascii="Verdana" w:hAnsi="Verdana"/>
          <w:sz w:val="20"/>
          <w:szCs w:val="20"/>
        </w:rPr>
        <w:t>(2) Request Members to actively participate in the implementation of RWCs in their Region, in collaboration with other RWCs where applicable;</w:t>
      </w:r>
    </w:p>
    <w:p w:rsidR="009F537E" w:rsidRDefault="001E3D39" w:rsidP="001E3D39">
      <w:pPr>
        <w:pStyle w:val="Standard"/>
        <w:jc w:val="left"/>
        <w:rPr>
          <w:rFonts w:ascii="Verdana" w:hAnsi="Verdana"/>
          <w:sz w:val="20"/>
          <w:szCs w:val="20"/>
        </w:rPr>
      </w:pPr>
      <w:r w:rsidRPr="001E3D39">
        <w:rPr>
          <w:rFonts w:ascii="Verdana" w:hAnsi="Verdana"/>
          <w:sz w:val="20"/>
          <w:szCs w:val="20"/>
        </w:rPr>
        <w:t>(3) Request the Secretary-General to provide all the necessary assistance and Secretariat support for the establishment of RWCs in the WMO.</w:t>
      </w:r>
    </w:p>
    <w:p w:rsidR="001E3D39" w:rsidRPr="001E3D39" w:rsidRDefault="001E3D39" w:rsidP="001E3D39">
      <w:pPr>
        <w:pStyle w:val="Standard"/>
        <w:jc w:val="left"/>
        <w:rPr>
          <w:rFonts w:ascii="Verdana" w:hAnsi="Verdana"/>
          <w:b/>
          <w:bCs/>
          <w:sz w:val="20"/>
          <w:szCs w:val="20"/>
        </w:rPr>
      </w:pPr>
      <w:r w:rsidRPr="001E3D39">
        <w:rPr>
          <w:rFonts w:ascii="Verdana" w:hAnsi="Verdana"/>
          <w:b/>
          <w:bCs/>
          <w:sz w:val="20"/>
          <w:szCs w:val="20"/>
        </w:rPr>
        <w:t>Decision 15 (EC-70) WMO Integrated Global Observing System station identifiers</w:t>
      </w:r>
    </w:p>
    <w:p w:rsidR="001E3D39" w:rsidRPr="001E3D39" w:rsidRDefault="001E3D39" w:rsidP="001E3D39">
      <w:pPr>
        <w:pStyle w:val="Standard"/>
        <w:jc w:val="left"/>
        <w:rPr>
          <w:rFonts w:ascii="Verdana" w:hAnsi="Verdana"/>
          <w:sz w:val="20"/>
          <w:szCs w:val="20"/>
        </w:rPr>
      </w:pPr>
      <w:r w:rsidRPr="001E3D39">
        <w:rPr>
          <w:rFonts w:ascii="Verdana" w:hAnsi="Verdana"/>
          <w:sz w:val="20"/>
          <w:szCs w:val="20"/>
        </w:rPr>
        <w:t>The Executive Council decide</w:t>
      </w:r>
      <w:r>
        <w:rPr>
          <w:rFonts w:ascii="Verdana" w:hAnsi="Verdana"/>
          <w:sz w:val="20"/>
          <w:szCs w:val="20"/>
        </w:rPr>
        <w:t>d</w:t>
      </w:r>
      <w:r w:rsidRPr="001E3D39">
        <w:rPr>
          <w:rFonts w:ascii="Verdana" w:hAnsi="Verdana"/>
          <w:sz w:val="20"/>
          <w:szCs w:val="20"/>
        </w:rPr>
        <w:t>:</w:t>
      </w:r>
    </w:p>
    <w:p w:rsidR="001E3D39" w:rsidRPr="001E3D39" w:rsidRDefault="001E3D39" w:rsidP="001E3D39">
      <w:pPr>
        <w:pStyle w:val="Standard"/>
        <w:jc w:val="left"/>
        <w:rPr>
          <w:rFonts w:ascii="Verdana" w:hAnsi="Verdana"/>
          <w:sz w:val="20"/>
          <w:szCs w:val="20"/>
        </w:rPr>
      </w:pPr>
      <w:r w:rsidRPr="001E3D39">
        <w:rPr>
          <w:rFonts w:ascii="Verdana" w:hAnsi="Verdana"/>
          <w:sz w:val="20"/>
          <w:szCs w:val="20"/>
        </w:rPr>
        <w:t>(1) To update the provisions on WIGOS Station Identifiers (WSI) in the Manual on WIGOS (WMO-No. 1160), section 2, to clarify the circumstances and the process under which the Secretary-General will issue WSIs as outlined in Annex 1 to this decision;</w:t>
      </w:r>
    </w:p>
    <w:p w:rsidR="001E3D39" w:rsidRDefault="001E3D39" w:rsidP="001E3D39">
      <w:pPr>
        <w:pStyle w:val="Standard"/>
        <w:jc w:val="left"/>
        <w:rPr>
          <w:rFonts w:ascii="Verdana" w:hAnsi="Verdana"/>
          <w:sz w:val="20"/>
          <w:szCs w:val="20"/>
        </w:rPr>
      </w:pPr>
      <w:r w:rsidRPr="001E3D39">
        <w:rPr>
          <w:rFonts w:ascii="Verdana" w:hAnsi="Verdana"/>
          <w:sz w:val="20"/>
          <w:szCs w:val="20"/>
        </w:rPr>
        <w:t>(2) To endorse a draft WSI transition plan as presented in Annex 2 to this decision.</w:t>
      </w:r>
    </w:p>
    <w:p w:rsidR="001E3D39" w:rsidRPr="001E3D39" w:rsidRDefault="001E3D39" w:rsidP="001E3D39">
      <w:pPr>
        <w:pStyle w:val="Standard"/>
        <w:jc w:val="left"/>
        <w:rPr>
          <w:rFonts w:ascii="Verdana" w:hAnsi="Verdana"/>
          <w:b/>
          <w:bCs/>
          <w:sz w:val="20"/>
          <w:szCs w:val="20"/>
        </w:rPr>
      </w:pPr>
      <w:r w:rsidRPr="001E3D39">
        <w:rPr>
          <w:rFonts w:ascii="Verdana" w:hAnsi="Verdana"/>
          <w:b/>
          <w:bCs/>
          <w:sz w:val="20"/>
          <w:szCs w:val="20"/>
        </w:rPr>
        <w:t>Decision 16 (EC-70) Observing Systems Capability Analysis and Review Tool/Surface user interface</w:t>
      </w:r>
    </w:p>
    <w:p w:rsidR="001E3D39" w:rsidRPr="001E3D39" w:rsidRDefault="001E3D39" w:rsidP="001E3D39">
      <w:pPr>
        <w:pStyle w:val="Standard"/>
        <w:jc w:val="left"/>
        <w:rPr>
          <w:rFonts w:ascii="Verdana" w:hAnsi="Verdana"/>
          <w:sz w:val="20"/>
          <w:szCs w:val="20"/>
        </w:rPr>
      </w:pPr>
      <w:r>
        <w:rPr>
          <w:rFonts w:ascii="Verdana" w:hAnsi="Verdana"/>
          <w:sz w:val="20"/>
          <w:szCs w:val="20"/>
        </w:rPr>
        <w:t>The Executive Council decided</w:t>
      </w:r>
      <w:r w:rsidRPr="001E3D39">
        <w:rPr>
          <w:rFonts w:ascii="Verdana" w:hAnsi="Verdana"/>
          <w:sz w:val="20"/>
          <w:szCs w:val="20"/>
        </w:rPr>
        <w:t xml:space="preserve"> to:</w:t>
      </w:r>
    </w:p>
    <w:p w:rsidR="001E3D39" w:rsidRPr="001E3D39" w:rsidRDefault="001E3D39" w:rsidP="001E3D39">
      <w:pPr>
        <w:pStyle w:val="Standard"/>
        <w:jc w:val="left"/>
        <w:rPr>
          <w:rFonts w:ascii="Verdana" w:hAnsi="Verdana"/>
          <w:sz w:val="20"/>
          <w:szCs w:val="20"/>
        </w:rPr>
      </w:pPr>
      <w:r w:rsidRPr="001E3D39">
        <w:rPr>
          <w:rFonts w:ascii="Verdana" w:hAnsi="Verdana"/>
          <w:sz w:val="20"/>
          <w:szCs w:val="20"/>
        </w:rPr>
        <w:t>(1) Endorse the development of the OSCAR/Surface user interface in all WMO languages and requests Secretary-General to allocate the resources required;</w:t>
      </w:r>
    </w:p>
    <w:p w:rsidR="001E3D39" w:rsidRDefault="001E3D39" w:rsidP="001E3D39">
      <w:pPr>
        <w:pStyle w:val="Standard"/>
        <w:jc w:val="left"/>
        <w:rPr>
          <w:rFonts w:ascii="Verdana" w:hAnsi="Verdana"/>
          <w:sz w:val="20"/>
          <w:szCs w:val="20"/>
        </w:rPr>
      </w:pPr>
      <w:r w:rsidRPr="001E3D39">
        <w:rPr>
          <w:rFonts w:ascii="Verdana" w:hAnsi="Verdana"/>
          <w:sz w:val="20"/>
          <w:szCs w:val="20"/>
        </w:rPr>
        <w:t>(2) Urge Members to provide financial resources to the WIGOS Trust Fund for the translation of the OSCAR/Surface user interface into other WMO languages.</w:t>
      </w:r>
    </w:p>
    <w:p w:rsidR="00FF09E6" w:rsidRPr="003E6A9C" w:rsidRDefault="00C55F34" w:rsidP="00C55F34">
      <w:pPr>
        <w:pStyle w:val="Standard"/>
        <w:rPr>
          <w:rFonts w:ascii="Verdana" w:hAnsi="Verdana"/>
          <w:b/>
          <w:bCs/>
          <w:sz w:val="20"/>
          <w:szCs w:val="20"/>
        </w:rPr>
      </w:pPr>
      <w:bookmarkStart w:id="2" w:name="_GoBack"/>
      <w:r w:rsidRPr="003E6A9C">
        <w:rPr>
          <w:rFonts w:ascii="Verdana" w:hAnsi="Verdana"/>
          <w:b/>
          <w:bCs/>
          <w:sz w:val="20"/>
          <w:szCs w:val="20"/>
        </w:rPr>
        <w:t xml:space="preserve">Recommendation 5 (EC-70) Global Basic Observing </w:t>
      </w:r>
      <w:proofErr w:type="gramStart"/>
      <w:r w:rsidRPr="003E6A9C">
        <w:rPr>
          <w:rFonts w:ascii="Verdana" w:hAnsi="Verdana"/>
          <w:b/>
          <w:bCs/>
          <w:sz w:val="20"/>
          <w:szCs w:val="20"/>
        </w:rPr>
        <w:t>Network</w:t>
      </w:r>
      <w:bookmarkEnd w:id="2"/>
      <w:proofErr w:type="gramEnd"/>
    </w:p>
    <w:p w:rsidR="00C55F34" w:rsidRDefault="00C55F34" w:rsidP="00C55F34">
      <w:pPr>
        <w:pStyle w:val="Standard"/>
        <w:rPr>
          <w:rFonts w:ascii="Verdana" w:hAnsi="Verdana"/>
          <w:sz w:val="20"/>
          <w:szCs w:val="20"/>
        </w:rPr>
      </w:pPr>
      <w:r>
        <w:rPr>
          <w:rFonts w:ascii="Verdana" w:hAnsi="Verdana"/>
          <w:sz w:val="20"/>
          <w:szCs w:val="20"/>
        </w:rPr>
        <w:t>The Executive Council</w:t>
      </w:r>
      <w:r w:rsidRPr="00C55F34">
        <w:rPr>
          <w:rFonts w:ascii="Verdana" w:hAnsi="Verdana"/>
          <w:sz w:val="20"/>
          <w:szCs w:val="20"/>
        </w:rPr>
        <w:t xml:space="preserve"> </w:t>
      </w:r>
      <w:r>
        <w:rPr>
          <w:rFonts w:ascii="Verdana" w:hAnsi="Verdana"/>
          <w:sz w:val="20"/>
          <w:szCs w:val="20"/>
        </w:rPr>
        <w:t>r</w:t>
      </w:r>
      <w:r w:rsidRPr="00C55F34">
        <w:rPr>
          <w:rFonts w:ascii="Verdana" w:hAnsi="Verdana"/>
          <w:sz w:val="20"/>
          <w:szCs w:val="20"/>
        </w:rPr>
        <w:t>equest</w:t>
      </w:r>
      <w:r>
        <w:rPr>
          <w:rFonts w:ascii="Verdana" w:hAnsi="Verdana"/>
          <w:sz w:val="20"/>
          <w:szCs w:val="20"/>
        </w:rPr>
        <w:t>ed</w:t>
      </w:r>
      <w:r w:rsidRPr="00C55F34">
        <w:rPr>
          <w:rFonts w:ascii="Verdana" w:hAnsi="Verdana"/>
          <w:sz w:val="20"/>
          <w:szCs w:val="20"/>
        </w:rPr>
        <w:t xml:space="preserve"> the Intercommission Coordination Group on WIGOS to develop relevant provisions of the Manual on the WMO Integrated Global Observing System (WMO-No. 1160) regarding the implementation of the Global Basic Observing Network, and submit them to the World Meteorological Congress at</w:t>
      </w:r>
      <w:r>
        <w:rPr>
          <w:rFonts w:ascii="Verdana" w:hAnsi="Verdana"/>
          <w:sz w:val="20"/>
          <w:szCs w:val="20"/>
        </w:rPr>
        <w:t xml:space="preserve"> its Eighteenth Session in 2019.</w:t>
      </w:r>
    </w:p>
    <w:p w:rsidR="00C55F34" w:rsidRPr="00C55F34" w:rsidRDefault="00C55F34" w:rsidP="00C55F34">
      <w:pPr>
        <w:pStyle w:val="Standard"/>
        <w:rPr>
          <w:rFonts w:ascii="Verdana" w:hAnsi="Verdana"/>
          <w:b/>
          <w:bCs/>
          <w:sz w:val="20"/>
          <w:szCs w:val="20"/>
        </w:rPr>
      </w:pPr>
      <w:r w:rsidRPr="00C55F34">
        <w:rPr>
          <w:rFonts w:ascii="Verdana" w:hAnsi="Verdana"/>
          <w:b/>
          <w:bCs/>
          <w:sz w:val="20"/>
          <w:szCs w:val="20"/>
        </w:rPr>
        <w:t xml:space="preserve">Recommendation 6 (EC-70) </w:t>
      </w:r>
      <w:proofErr w:type="gramStart"/>
      <w:r w:rsidRPr="00C55F34">
        <w:rPr>
          <w:rFonts w:ascii="Verdana" w:hAnsi="Verdana"/>
          <w:b/>
          <w:bCs/>
          <w:sz w:val="20"/>
          <w:szCs w:val="20"/>
        </w:rPr>
        <w:t>Vision</w:t>
      </w:r>
      <w:proofErr w:type="gramEnd"/>
      <w:r w:rsidRPr="00C55F34">
        <w:rPr>
          <w:rFonts w:ascii="Verdana" w:hAnsi="Verdana"/>
          <w:b/>
          <w:bCs/>
          <w:sz w:val="20"/>
          <w:szCs w:val="20"/>
        </w:rPr>
        <w:t xml:space="preserve"> for the WMO Integrated Global Observing System in 2040</w:t>
      </w:r>
    </w:p>
    <w:p w:rsidR="00C55F34" w:rsidRPr="00C55F34" w:rsidRDefault="00C55F34" w:rsidP="00C55F34">
      <w:pPr>
        <w:pStyle w:val="Standard"/>
        <w:rPr>
          <w:rFonts w:ascii="Verdana" w:hAnsi="Verdana"/>
          <w:sz w:val="20"/>
          <w:szCs w:val="20"/>
        </w:rPr>
      </w:pPr>
      <w:r>
        <w:rPr>
          <w:rFonts w:ascii="Verdana" w:hAnsi="Verdana"/>
          <w:sz w:val="20"/>
          <w:szCs w:val="20"/>
        </w:rPr>
        <w:t>The Executive Council</w:t>
      </w:r>
      <w:r w:rsidRPr="00C55F34">
        <w:rPr>
          <w:rFonts w:ascii="Verdana" w:hAnsi="Verdana"/>
          <w:sz w:val="20"/>
          <w:szCs w:val="20"/>
        </w:rPr>
        <w:t xml:space="preserve"> </w:t>
      </w:r>
      <w:r>
        <w:rPr>
          <w:rFonts w:ascii="Verdana" w:hAnsi="Verdana"/>
          <w:sz w:val="20"/>
          <w:szCs w:val="20"/>
        </w:rPr>
        <w:t>r</w:t>
      </w:r>
      <w:r w:rsidRPr="00C55F34">
        <w:rPr>
          <w:rFonts w:ascii="Verdana" w:hAnsi="Verdana"/>
          <w:sz w:val="20"/>
          <w:szCs w:val="20"/>
        </w:rPr>
        <w:t>ecommend</w:t>
      </w:r>
      <w:r>
        <w:rPr>
          <w:rFonts w:ascii="Verdana" w:hAnsi="Verdana"/>
          <w:sz w:val="20"/>
          <w:szCs w:val="20"/>
        </w:rPr>
        <w:t>ed</w:t>
      </w:r>
      <w:r w:rsidRPr="00C55F34">
        <w:rPr>
          <w:rFonts w:ascii="Verdana" w:hAnsi="Verdana"/>
          <w:sz w:val="20"/>
          <w:szCs w:val="20"/>
        </w:rPr>
        <w:t xml:space="preserve"> that the Eighteenth World Meteorological Congress approve the Vision for WIGOS in 2040 in the final draft form submitted to it;</w:t>
      </w:r>
    </w:p>
    <w:p w:rsidR="00C55F34" w:rsidRPr="00C55F34" w:rsidRDefault="00C55F34" w:rsidP="00C55F34">
      <w:pPr>
        <w:pStyle w:val="Standard"/>
        <w:rPr>
          <w:rFonts w:ascii="Verdana" w:hAnsi="Verdana"/>
          <w:sz w:val="20"/>
          <w:szCs w:val="20"/>
        </w:rPr>
      </w:pPr>
      <w:r>
        <w:rPr>
          <w:rFonts w:ascii="Verdana" w:hAnsi="Verdana"/>
          <w:sz w:val="20"/>
          <w:szCs w:val="20"/>
        </w:rPr>
        <w:t>EC r</w:t>
      </w:r>
      <w:r w:rsidRPr="00C55F34">
        <w:rPr>
          <w:rFonts w:ascii="Verdana" w:hAnsi="Verdana"/>
          <w:sz w:val="20"/>
          <w:szCs w:val="20"/>
        </w:rPr>
        <w:t>equest</w:t>
      </w:r>
      <w:r>
        <w:rPr>
          <w:rFonts w:ascii="Verdana" w:hAnsi="Verdana"/>
          <w:sz w:val="20"/>
          <w:szCs w:val="20"/>
        </w:rPr>
        <w:t>ed</w:t>
      </w:r>
      <w:r w:rsidRPr="00C55F34">
        <w:rPr>
          <w:rFonts w:ascii="Verdana" w:hAnsi="Verdana"/>
          <w:sz w:val="20"/>
          <w:szCs w:val="20"/>
        </w:rPr>
        <w:t xml:space="preserve"> the Secretary-General to take the necessary steps to finalize the draft Vision and provide it to Members, WMO technical commissions, regional associations, fellow United Nations agencies, other international organizations and private sector representatives, for their review prior to its submission to the Eighteenth Congress in 2019;</w:t>
      </w:r>
    </w:p>
    <w:p w:rsidR="00C55F34" w:rsidRPr="00C55F34" w:rsidRDefault="00C55F34" w:rsidP="00C55F34">
      <w:pPr>
        <w:pStyle w:val="Standard"/>
        <w:rPr>
          <w:rFonts w:ascii="Verdana" w:hAnsi="Verdana"/>
          <w:sz w:val="20"/>
          <w:szCs w:val="20"/>
        </w:rPr>
      </w:pPr>
      <w:r>
        <w:rPr>
          <w:rFonts w:ascii="Verdana" w:hAnsi="Verdana"/>
          <w:sz w:val="20"/>
          <w:szCs w:val="20"/>
        </w:rPr>
        <w:lastRenderedPageBreak/>
        <w:t>EC r</w:t>
      </w:r>
      <w:r w:rsidRPr="00C55F34">
        <w:rPr>
          <w:rFonts w:ascii="Verdana" w:hAnsi="Verdana"/>
          <w:sz w:val="20"/>
          <w:szCs w:val="20"/>
        </w:rPr>
        <w:t>equest</w:t>
      </w:r>
      <w:r>
        <w:rPr>
          <w:rFonts w:ascii="Verdana" w:hAnsi="Verdana"/>
          <w:sz w:val="20"/>
          <w:szCs w:val="20"/>
        </w:rPr>
        <w:t>ed</w:t>
      </w:r>
      <w:r w:rsidRPr="00C55F34">
        <w:rPr>
          <w:rFonts w:ascii="Verdana" w:hAnsi="Verdana"/>
          <w:sz w:val="20"/>
          <w:szCs w:val="20"/>
        </w:rPr>
        <w:t xml:space="preserve"> technical commissions to contribute to the finalization of the draft Vision as needed;</w:t>
      </w:r>
    </w:p>
    <w:p w:rsidR="00C55F34" w:rsidRPr="001E3966" w:rsidRDefault="00C55F34" w:rsidP="00C55F34">
      <w:pPr>
        <w:pStyle w:val="Standard"/>
        <w:rPr>
          <w:rFonts w:ascii="Verdana" w:hAnsi="Verdana"/>
          <w:sz w:val="20"/>
          <w:szCs w:val="20"/>
        </w:rPr>
      </w:pPr>
      <w:r>
        <w:rPr>
          <w:rFonts w:ascii="Verdana" w:hAnsi="Verdana"/>
          <w:sz w:val="20"/>
          <w:szCs w:val="20"/>
        </w:rPr>
        <w:t>EC i</w:t>
      </w:r>
      <w:r w:rsidRPr="00C55F34">
        <w:rPr>
          <w:rFonts w:ascii="Verdana" w:hAnsi="Verdana"/>
          <w:sz w:val="20"/>
          <w:szCs w:val="20"/>
        </w:rPr>
        <w:t>nvite</w:t>
      </w:r>
      <w:r>
        <w:rPr>
          <w:rFonts w:ascii="Verdana" w:hAnsi="Verdana"/>
          <w:sz w:val="20"/>
          <w:szCs w:val="20"/>
        </w:rPr>
        <w:t>d</w:t>
      </w:r>
      <w:r w:rsidRPr="00C55F34">
        <w:rPr>
          <w:rFonts w:ascii="Verdana" w:hAnsi="Verdana"/>
          <w:sz w:val="20"/>
          <w:szCs w:val="20"/>
        </w:rPr>
        <w:t xml:space="preserve"> international partner organizations to provide their feedback as needed.</w:t>
      </w:r>
    </w:p>
    <w:p w:rsidR="00D702F3" w:rsidRPr="001E3966" w:rsidRDefault="00D702F3" w:rsidP="00330005">
      <w:pPr>
        <w:pStyle w:val="Standard"/>
        <w:jc w:val="center"/>
        <w:rPr>
          <w:rFonts w:ascii="Verdana" w:hAnsi="Verdana"/>
          <w:sz w:val="20"/>
          <w:szCs w:val="20"/>
        </w:rPr>
      </w:pPr>
      <w:r w:rsidRPr="001E3966">
        <w:rPr>
          <w:rFonts w:ascii="Verdana" w:hAnsi="Verdana"/>
          <w:sz w:val="20"/>
          <w:szCs w:val="20"/>
        </w:rPr>
        <w:t>__________</w:t>
      </w:r>
    </w:p>
    <w:bookmarkEnd w:id="1"/>
    <w:p w:rsidR="00306445" w:rsidRPr="001E3966" w:rsidRDefault="00306445" w:rsidP="00330005">
      <w:pPr>
        <w:pStyle w:val="Standard"/>
        <w:jc w:val="left"/>
        <w:rPr>
          <w:rFonts w:ascii="Verdana" w:hAnsi="Verdana"/>
          <w:sz w:val="20"/>
          <w:szCs w:val="20"/>
        </w:rPr>
      </w:pPr>
    </w:p>
    <w:sectPr w:rsidR="00306445" w:rsidRPr="001E3966" w:rsidSect="006533FF">
      <w:headerReference w:type="even" r:id="rId16"/>
      <w:headerReference w:type="default" r:id="rId17"/>
      <w:headerReference w:type="first" r:id="rId1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E6" w:rsidRDefault="00543FE6">
      <w:r>
        <w:separator/>
      </w:r>
    </w:p>
    <w:p w:rsidR="00543FE6" w:rsidRDefault="00543FE6"/>
    <w:p w:rsidR="00543FE6" w:rsidRDefault="00543FE6"/>
  </w:endnote>
  <w:endnote w:type="continuationSeparator" w:id="0">
    <w:p w:rsidR="00543FE6" w:rsidRDefault="00543FE6">
      <w:r>
        <w:continuationSeparator/>
      </w:r>
    </w:p>
    <w:p w:rsidR="00543FE6" w:rsidRDefault="00543FE6"/>
    <w:p w:rsidR="00543FE6" w:rsidRDefault="00543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E6" w:rsidRDefault="00543FE6">
      <w:r>
        <w:separator/>
      </w:r>
    </w:p>
  </w:footnote>
  <w:footnote w:type="continuationSeparator" w:id="0">
    <w:p w:rsidR="00543FE6" w:rsidRDefault="00543FE6">
      <w:r>
        <w:continuationSeparator/>
      </w:r>
    </w:p>
    <w:p w:rsidR="00543FE6" w:rsidRDefault="00543FE6"/>
    <w:p w:rsidR="00543FE6" w:rsidRDefault="00543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E6A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1D0EC8">
    <w:pPr>
      <w:pStyle w:val="Header"/>
    </w:pPr>
    <w:r>
      <w:t>ICG-WIGOS-8, Doc.3</w:t>
    </w:r>
    <w:r>
      <w:t xml:space="preserve">, p. </w:t>
    </w:r>
    <w:r w:rsidR="003E2A58">
      <w:rPr>
        <w:noProof/>
        <w:lang w:eastAsia="zh-CN"/>
      </w:rPr>
      <mc:AlternateContent>
        <mc:Choice Requires="wps">
          <w:drawing>
            <wp:anchor distT="0" distB="0" distL="114300" distR="114300" simplePos="0" relativeHeight="251661824" behindDoc="0" locked="0" layoutInCell="1" allowOverlap="1" wp14:anchorId="6682753B" wp14:editId="35D848FA">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3E2A58">
      <w:rPr>
        <w:noProof/>
        <w:lang w:eastAsia="zh-CN"/>
      </w:rPr>
      <mc:AlternateContent>
        <mc:Choice Requires="wps">
          <w:drawing>
            <wp:anchor distT="0" distB="0" distL="114300" distR="114300" simplePos="0" relativeHeight="251654656" behindDoc="0" locked="0" layoutInCell="1" allowOverlap="1" wp14:anchorId="457471EA" wp14:editId="1F4308B5">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E2A58">
      <w:rPr>
        <w:noProof/>
        <w:lang w:eastAsia="zh-CN"/>
      </w:rPr>
      <mc:AlternateContent>
        <mc:Choice Requires="wps">
          <w:drawing>
            <wp:anchor distT="0" distB="0" distL="114300" distR="114300" simplePos="0" relativeHeight="251655680" behindDoc="0" locked="0" layoutInCell="1" allowOverlap="1" wp14:anchorId="69B1D467" wp14:editId="662E6CA6">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756B94">
    <w:pPr>
      <w:pStyle w:val="Header"/>
      <w:spacing w:after="120"/>
    </w:pPr>
    <w:r>
      <w:rPr>
        <w:noProof/>
        <w:lang w:eastAsia="zh-CN"/>
      </w:rPr>
      <mc:AlternateContent>
        <mc:Choice Requires="wps">
          <w:drawing>
            <wp:anchor distT="0" distB="0" distL="114300" distR="114300" simplePos="0" relativeHeight="251666944" behindDoc="0" locked="0" layoutInCell="1" allowOverlap="1" wp14:anchorId="30192A9F" wp14:editId="5084E4F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6704" behindDoc="0" locked="0" layoutInCell="1" allowOverlap="1" wp14:anchorId="15508AFC" wp14:editId="4DF0A250">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7728" behindDoc="0" locked="0" layoutInCell="1" allowOverlap="1" wp14:anchorId="238FBCD1" wp14:editId="5C4B6B07">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7E53A2">
      <w:t xml:space="preserve">ICG-WIGOS-8, </w:t>
    </w:r>
    <w:r w:rsidR="000A5DBD">
      <w:t>Doc.</w:t>
    </w:r>
    <w:r w:rsidR="00D97ED3">
      <w:t>3</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4"/>
  </w:num>
  <w:num w:numId="9">
    <w:abstractNumId w:val="4"/>
  </w:num>
  <w:num w:numId="10">
    <w:abstractNumId w:val="9"/>
  </w:num>
  <w:num w:numId="11">
    <w:abstractNumId w:val="15"/>
  </w:num>
  <w:num w:numId="12">
    <w:abstractNumId w:val="0"/>
  </w:num>
  <w:num w:numId="13">
    <w:abstractNumId w:val="22"/>
  </w:num>
  <w:num w:numId="14">
    <w:abstractNumId w:val="21"/>
  </w:num>
  <w:num w:numId="15">
    <w:abstractNumId w:val="23"/>
  </w:num>
  <w:num w:numId="16">
    <w:abstractNumId w:val="3"/>
  </w:num>
  <w:num w:numId="17">
    <w:abstractNumId w:val="8"/>
  </w:num>
  <w:num w:numId="18">
    <w:abstractNumId w:val="18"/>
  </w:num>
  <w:num w:numId="19">
    <w:abstractNumId w:val="2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4"/>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20"/>
  </w:num>
  <w:num w:numId="24">
    <w:abstractNumId w:val="12"/>
  </w:num>
  <w:num w:numId="25">
    <w:abstractNumId w:val="17"/>
  </w:num>
  <w:num w:numId="26">
    <w:abstractNumId w:val="1"/>
  </w:num>
  <w:num w:numId="27">
    <w:abstractNumId w:val="25"/>
  </w:num>
  <w:num w:numId="28">
    <w:abstractNumId w:val="19"/>
  </w:num>
  <w:num w:numId="29">
    <w:abstractNumId w:val="13"/>
  </w:num>
  <w:num w:numId="30">
    <w:abstractNumId w:val="11"/>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72F17"/>
    <w:rsid w:val="0007688B"/>
    <w:rsid w:val="000806D8"/>
    <w:rsid w:val="00081F9F"/>
    <w:rsid w:val="00082C80"/>
    <w:rsid w:val="00083847"/>
    <w:rsid w:val="00083C36"/>
    <w:rsid w:val="00085B5B"/>
    <w:rsid w:val="000A5DBD"/>
    <w:rsid w:val="000A69BF"/>
    <w:rsid w:val="000C1833"/>
    <w:rsid w:val="000C225A"/>
    <w:rsid w:val="000C4688"/>
    <w:rsid w:val="000C5D81"/>
    <w:rsid w:val="000C6781"/>
    <w:rsid w:val="000C742F"/>
    <w:rsid w:val="000D3C65"/>
    <w:rsid w:val="000D4FA3"/>
    <w:rsid w:val="000F1874"/>
    <w:rsid w:val="000F5E49"/>
    <w:rsid w:val="000F5FA2"/>
    <w:rsid w:val="000F7A87"/>
    <w:rsid w:val="00101B85"/>
    <w:rsid w:val="00111BFD"/>
    <w:rsid w:val="0011498B"/>
    <w:rsid w:val="00120147"/>
    <w:rsid w:val="00123140"/>
    <w:rsid w:val="00135830"/>
    <w:rsid w:val="001426E3"/>
    <w:rsid w:val="00145C34"/>
    <w:rsid w:val="001514D7"/>
    <w:rsid w:val="00162479"/>
    <w:rsid w:val="0016309D"/>
    <w:rsid w:val="00163BA3"/>
    <w:rsid w:val="00166B31"/>
    <w:rsid w:val="0017786A"/>
    <w:rsid w:val="00180771"/>
    <w:rsid w:val="001809DE"/>
    <w:rsid w:val="00186C06"/>
    <w:rsid w:val="00192808"/>
    <w:rsid w:val="001930A3"/>
    <w:rsid w:val="00194CB6"/>
    <w:rsid w:val="001A02FD"/>
    <w:rsid w:val="001A341E"/>
    <w:rsid w:val="001A751F"/>
    <w:rsid w:val="001B0EA6"/>
    <w:rsid w:val="001B1CDF"/>
    <w:rsid w:val="001B235A"/>
    <w:rsid w:val="001B4D3E"/>
    <w:rsid w:val="001B56F4"/>
    <w:rsid w:val="001C5462"/>
    <w:rsid w:val="001D0190"/>
    <w:rsid w:val="001D0EC8"/>
    <w:rsid w:val="001D3578"/>
    <w:rsid w:val="001D6302"/>
    <w:rsid w:val="001E3966"/>
    <w:rsid w:val="001E3D39"/>
    <w:rsid w:val="001E4B11"/>
    <w:rsid w:val="001E4D4F"/>
    <w:rsid w:val="001E7DD0"/>
    <w:rsid w:val="001F1BDA"/>
    <w:rsid w:val="0020095E"/>
    <w:rsid w:val="00201490"/>
    <w:rsid w:val="00206EE1"/>
    <w:rsid w:val="00210D30"/>
    <w:rsid w:val="002121AC"/>
    <w:rsid w:val="00213AF4"/>
    <w:rsid w:val="00214938"/>
    <w:rsid w:val="00222151"/>
    <w:rsid w:val="002270D8"/>
    <w:rsid w:val="00231E93"/>
    <w:rsid w:val="00234A34"/>
    <w:rsid w:val="002363F1"/>
    <w:rsid w:val="002445FC"/>
    <w:rsid w:val="0025255D"/>
    <w:rsid w:val="002614CE"/>
    <w:rsid w:val="00270480"/>
    <w:rsid w:val="002779AF"/>
    <w:rsid w:val="002823D8"/>
    <w:rsid w:val="0028531A"/>
    <w:rsid w:val="00285446"/>
    <w:rsid w:val="00290E04"/>
    <w:rsid w:val="00295593"/>
    <w:rsid w:val="002A15EC"/>
    <w:rsid w:val="002A3483"/>
    <w:rsid w:val="002A3587"/>
    <w:rsid w:val="002A386C"/>
    <w:rsid w:val="002A7A9F"/>
    <w:rsid w:val="002B6793"/>
    <w:rsid w:val="002B790C"/>
    <w:rsid w:val="002C30BC"/>
    <w:rsid w:val="002C7A88"/>
    <w:rsid w:val="002D232B"/>
    <w:rsid w:val="002D5E00"/>
    <w:rsid w:val="002D6DAC"/>
    <w:rsid w:val="002D7AD9"/>
    <w:rsid w:val="002E3FAD"/>
    <w:rsid w:val="002E4E16"/>
    <w:rsid w:val="002E7D0E"/>
    <w:rsid w:val="002F5517"/>
    <w:rsid w:val="002F7CCF"/>
    <w:rsid w:val="00301E8C"/>
    <w:rsid w:val="00304ADE"/>
    <w:rsid w:val="00306445"/>
    <w:rsid w:val="00311855"/>
    <w:rsid w:val="00316AA8"/>
    <w:rsid w:val="00320009"/>
    <w:rsid w:val="00320BA2"/>
    <w:rsid w:val="003210F3"/>
    <w:rsid w:val="00323AF9"/>
    <w:rsid w:val="0032424A"/>
    <w:rsid w:val="00330005"/>
    <w:rsid w:val="0034264B"/>
    <w:rsid w:val="00344E6F"/>
    <w:rsid w:val="0037548B"/>
    <w:rsid w:val="0037623A"/>
    <w:rsid w:val="00380AF7"/>
    <w:rsid w:val="00381331"/>
    <w:rsid w:val="0038191F"/>
    <w:rsid w:val="0038517A"/>
    <w:rsid w:val="00394A05"/>
    <w:rsid w:val="00397770"/>
    <w:rsid w:val="00397880"/>
    <w:rsid w:val="003A7016"/>
    <w:rsid w:val="003B6DFC"/>
    <w:rsid w:val="003C1D0D"/>
    <w:rsid w:val="003C3871"/>
    <w:rsid w:val="003D35FC"/>
    <w:rsid w:val="003E14DF"/>
    <w:rsid w:val="003E2A58"/>
    <w:rsid w:val="003E3D21"/>
    <w:rsid w:val="003E4046"/>
    <w:rsid w:val="003E6A9C"/>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5972"/>
    <w:rsid w:val="004667E7"/>
    <w:rsid w:val="0047012E"/>
    <w:rsid w:val="00475797"/>
    <w:rsid w:val="004811DD"/>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F6B46"/>
    <w:rsid w:val="0050058D"/>
    <w:rsid w:val="0050421B"/>
    <w:rsid w:val="0050695F"/>
    <w:rsid w:val="00507C4B"/>
    <w:rsid w:val="00525B80"/>
    <w:rsid w:val="0053098F"/>
    <w:rsid w:val="00543FE6"/>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108ED"/>
    <w:rsid w:val="00615AB0"/>
    <w:rsid w:val="0061778C"/>
    <w:rsid w:val="00630753"/>
    <w:rsid w:val="00636B90"/>
    <w:rsid w:val="00644467"/>
    <w:rsid w:val="0064738B"/>
    <w:rsid w:val="006508EA"/>
    <w:rsid w:val="006533FF"/>
    <w:rsid w:val="00654B5F"/>
    <w:rsid w:val="00656553"/>
    <w:rsid w:val="006600A8"/>
    <w:rsid w:val="0066028A"/>
    <w:rsid w:val="0068333D"/>
    <w:rsid w:val="006908AF"/>
    <w:rsid w:val="00697DB5"/>
    <w:rsid w:val="006A492A"/>
    <w:rsid w:val="006A62CB"/>
    <w:rsid w:val="006B1509"/>
    <w:rsid w:val="006C25F8"/>
    <w:rsid w:val="006C65B2"/>
    <w:rsid w:val="006D5576"/>
    <w:rsid w:val="006D71E9"/>
    <w:rsid w:val="006D78F0"/>
    <w:rsid w:val="006E5A55"/>
    <w:rsid w:val="006E5FE9"/>
    <w:rsid w:val="006E766D"/>
    <w:rsid w:val="006F38E1"/>
    <w:rsid w:val="006F4489"/>
    <w:rsid w:val="006F501F"/>
    <w:rsid w:val="00703E99"/>
    <w:rsid w:val="00705C9F"/>
    <w:rsid w:val="007111CC"/>
    <w:rsid w:val="00716951"/>
    <w:rsid w:val="007200F1"/>
    <w:rsid w:val="00725988"/>
    <w:rsid w:val="00735D9E"/>
    <w:rsid w:val="0075136C"/>
    <w:rsid w:val="00754CF7"/>
    <w:rsid w:val="007555A7"/>
    <w:rsid w:val="00756B94"/>
    <w:rsid w:val="0076517D"/>
    <w:rsid w:val="00771A68"/>
    <w:rsid w:val="00774B89"/>
    <w:rsid w:val="00777D58"/>
    <w:rsid w:val="00780B62"/>
    <w:rsid w:val="00785318"/>
    <w:rsid w:val="0078790E"/>
    <w:rsid w:val="007879FC"/>
    <w:rsid w:val="00787E2F"/>
    <w:rsid w:val="0079155A"/>
    <w:rsid w:val="007973EC"/>
    <w:rsid w:val="007B2260"/>
    <w:rsid w:val="007C212A"/>
    <w:rsid w:val="007C6931"/>
    <w:rsid w:val="007E2023"/>
    <w:rsid w:val="007E53A2"/>
    <w:rsid w:val="007E7D21"/>
    <w:rsid w:val="007F482F"/>
    <w:rsid w:val="00801F60"/>
    <w:rsid w:val="0080466B"/>
    <w:rsid w:val="00807CC5"/>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2519"/>
    <w:rsid w:val="008A362F"/>
    <w:rsid w:val="008A722F"/>
    <w:rsid w:val="008A7313"/>
    <w:rsid w:val="008A7D91"/>
    <w:rsid w:val="008B7FC7"/>
    <w:rsid w:val="008C17A4"/>
    <w:rsid w:val="008E1B4D"/>
    <w:rsid w:val="008E1E4A"/>
    <w:rsid w:val="008E3177"/>
    <w:rsid w:val="008E521A"/>
    <w:rsid w:val="008F0615"/>
    <w:rsid w:val="008F1FDB"/>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288C"/>
    <w:rsid w:val="009A73A3"/>
    <w:rsid w:val="009B6697"/>
    <w:rsid w:val="009C4C04"/>
    <w:rsid w:val="009C7CE0"/>
    <w:rsid w:val="009C7EEA"/>
    <w:rsid w:val="009F537E"/>
    <w:rsid w:val="009F7566"/>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7348D"/>
    <w:rsid w:val="00A7683B"/>
    <w:rsid w:val="00A83046"/>
    <w:rsid w:val="00A874EF"/>
    <w:rsid w:val="00A92D53"/>
    <w:rsid w:val="00A95415"/>
    <w:rsid w:val="00AA3C89"/>
    <w:rsid w:val="00AB1404"/>
    <w:rsid w:val="00AC4CDB"/>
    <w:rsid w:val="00AE3C92"/>
    <w:rsid w:val="00AE58C2"/>
    <w:rsid w:val="00AE5A18"/>
    <w:rsid w:val="00AF5EE5"/>
    <w:rsid w:val="00AF638A"/>
    <w:rsid w:val="00B00141"/>
    <w:rsid w:val="00B009AA"/>
    <w:rsid w:val="00B030C8"/>
    <w:rsid w:val="00B056E7"/>
    <w:rsid w:val="00B05759"/>
    <w:rsid w:val="00B05B71"/>
    <w:rsid w:val="00B10035"/>
    <w:rsid w:val="00B10762"/>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B35A9"/>
    <w:rsid w:val="00BC3804"/>
    <w:rsid w:val="00BD43B6"/>
    <w:rsid w:val="00BD5720"/>
    <w:rsid w:val="00BE475B"/>
    <w:rsid w:val="00BE64B3"/>
    <w:rsid w:val="00BF631D"/>
    <w:rsid w:val="00C03F8F"/>
    <w:rsid w:val="00C04BD2"/>
    <w:rsid w:val="00C13EEC"/>
    <w:rsid w:val="00C150B0"/>
    <w:rsid w:val="00C156A4"/>
    <w:rsid w:val="00C20FAA"/>
    <w:rsid w:val="00C2459D"/>
    <w:rsid w:val="00C354A2"/>
    <w:rsid w:val="00C360EF"/>
    <w:rsid w:val="00C42C95"/>
    <w:rsid w:val="00C439C9"/>
    <w:rsid w:val="00C55166"/>
    <w:rsid w:val="00C55E5B"/>
    <w:rsid w:val="00C55F34"/>
    <w:rsid w:val="00C720A4"/>
    <w:rsid w:val="00C7611C"/>
    <w:rsid w:val="00C83893"/>
    <w:rsid w:val="00C90F1A"/>
    <w:rsid w:val="00C93633"/>
    <w:rsid w:val="00C93744"/>
    <w:rsid w:val="00C94097"/>
    <w:rsid w:val="00CA4269"/>
    <w:rsid w:val="00CA5E89"/>
    <w:rsid w:val="00CA6A8D"/>
    <w:rsid w:val="00CA7330"/>
    <w:rsid w:val="00CB64F0"/>
    <w:rsid w:val="00CC2909"/>
    <w:rsid w:val="00CD1BBA"/>
    <w:rsid w:val="00D00715"/>
    <w:rsid w:val="00D032A3"/>
    <w:rsid w:val="00D05E6F"/>
    <w:rsid w:val="00D33442"/>
    <w:rsid w:val="00D44BAD"/>
    <w:rsid w:val="00D4569B"/>
    <w:rsid w:val="00D45B55"/>
    <w:rsid w:val="00D702F3"/>
    <w:rsid w:val="00D7097B"/>
    <w:rsid w:val="00D866DB"/>
    <w:rsid w:val="00D870B3"/>
    <w:rsid w:val="00D91DFA"/>
    <w:rsid w:val="00D97ED3"/>
    <w:rsid w:val="00DB1AB2"/>
    <w:rsid w:val="00DC0DA2"/>
    <w:rsid w:val="00DD1EB7"/>
    <w:rsid w:val="00DD3A65"/>
    <w:rsid w:val="00DD62C6"/>
    <w:rsid w:val="00E00498"/>
    <w:rsid w:val="00E2617A"/>
    <w:rsid w:val="00E52E2F"/>
    <w:rsid w:val="00E538E6"/>
    <w:rsid w:val="00E72DA0"/>
    <w:rsid w:val="00E802A2"/>
    <w:rsid w:val="00E82E7A"/>
    <w:rsid w:val="00E85C0B"/>
    <w:rsid w:val="00E93730"/>
    <w:rsid w:val="00E96869"/>
    <w:rsid w:val="00EA39E6"/>
    <w:rsid w:val="00EA5F9B"/>
    <w:rsid w:val="00EB4E90"/>
    <w:rsid w:val="00ED2EFB"/>
    <w:rsid w:val="00ED67AF"/>
    <w:rsid w:val="00EE128C"/>
    <w:rsid w:val="00EE3F26"/>
    <w:rsid w:val="00EF66D9"/>
    <w:rsid w:val="00EF6BA5"/>
    <w:rsid w:val="00EF780D"/>
    <w:rsid w:val="00EF7A98"/>
    <w:rsid w:val="00F0267E"/>
    <w:rsid w:val="00F2163C"/>
    <w:rsid w:val="00F32056"/>
    <w:rsid w:val="00F474C9"/>
    <w:rsid w:val="00F61675"/>
    <w:rsid w:val="00F6686B"/>
    <w:rsid w:val="00F677A0"/>
    <w:rsid w:val="00F67F74"/>
    <w:rsid w:val="00F73DE3"/>
    <w:rsid w:val="00F7706D"/>
    <w:rsid w:val="00F84DD2"/>
    <w:rsid w:val="00F84FAC"/>
    <w:rsid w:val="00F86BA9"/>
    <w:rsid w:val="00FA26DF"/>
    <w:rsid w:val="00FA3535"/>
    <w:rsid w:val="00FB0872"/>
    <w:rsid w:val="00FB54CC"/>
    <w:rsid w:val="00FD1A37"/>
    <w:rsid w:val="00FF095F"/>
    <w:rsid w:val="00FF09E6"/>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ary.wmo.int/doc_num.php?explnum_id=4981"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760717"/>
    <w:rsid w:val="00B22731"/>
    <w:rsid w:val="00B74217"/>
    <w:rsid w:val="00CE51E0"/>
    <w:rsid w:val="00CF672C"/>
    <w:rsid w:val="00EE70FF"/>
    <w:rsid w:val="00EF0501"/>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14B57630-AE61-4A19-AE32-F93FF298F37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3919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15-17 January 2018</dc:subject>
  <dc:creator>Secretariat</dc:creator>
  <cp:keywords>WIGOS</cp:keywords>
  <cp:lastModifiedBy>Igor Zahumensky</cp:lastModifiedBy>
  <cp:revision>5</cp:revision>
  <cp:lastPrinted>2018-12-14T14:42:00Z</cp:lastPrinted>
  <dcterms:created xsi:type="dcterms:W3CDTF">2018-12-14T13:23:00Z</dcterms:created>
  <dcterms:modified xsi:type="dcterms:W3CDTF">2018-12-14T14:46:00Z</dcterms:modified>
  <cp:category>ICG-WIGOS-8/Doc. 3</cp:category>
  <cp:contentStatus>DRAFT 1</cp:contentStatus>
</cp:coreProperties>
</file>