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135830" w:rsidTr="0076517D">
        <w:trPr>
          <w:trHeight w:val="282"/>
        </w:trPr>
        <w:tc>
          <w:tcPr>
            <w:tcW w:w="6912"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1552" behindDoc="1" locked="1" layoutInCell="1" allowOverlap="1" wp14:anchorId="427DBA33" wp14:editId="6C5D17B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2A15EC">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2A15EC" w:rsidP="002A15EC">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Seventh</w:t>
            </w:r>
            <w:r w:rsidR="00F84FAC">
              <w:rPr>
                <w:rFonts w:cstheme="minorBidi"/>
                <w:b/>
                <w:snapToGrid w:val="0"/>
                <w:color w:val="365F91" w:themeColor="accent1" w:themeShade="BF"/>
                <w:szCs w:val="22"/>
              </w:rPr>
              <w:t xml:space="preserve"> 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135830" w:rsidRPr="00837E38">
              <w:rPr>
                <w:snapToGrid w:val="0"/>
                <w:color w:val="365F91" w:themeColor="accent1" w:themeShade="BF"/>
                <w:szCs w:val="22"/>
              </w:rPr>
              <w:t xml:space="preserve">Geneva, Switzerland, </w:t>
            </w:r>
            <w:r>
              <w:rPr>
                <w:snapToGrid w:val="0"/>
                <w:color w:val="365F91" w:themeColor="accent1" w:themeShade="BF"/>
                <w:szCs w:val="22"/>
              </w:rPr>
              <w:t>15</w:t>
            </w:r>
            <w:r w:rsidR="00135830" w:rsidRPr="00837E38">
              <w:rPr>
                <w:snapToGrid w:val="0"/>
                <w:color w:val="365F91" w:themeColor="accent1" w:themeShade="BF"/>
                <w:szCs w:val="22"/>
              </w:rPr>
              <w:t>-</w:t>
            </w:r>
            <w:r>
              <w:rPr>
                <w:snapToGrid w:val="0"/>
                <w:color w:val="365F91" w:themeColor="accent1" w:themeShade="BF"/>
                <w:szCs w:val="22"/>
              </w:rPr>
              <w:t>17</w:t>
            </w:r>
            <w:r w:rsidR="00135830" w:rsidRPr="00837E38">
              <w:rPr>
                <w:snapToGrid w:val="0"/>
                <w:color w:val="365F91" w:themeColor="accent1" w:themeShade="BF"/>
                <w:szCs w:val="22"/>
              </w:rPr>
              <w:t xml:space="preserve"> </w:t>
            </w:r>
            <w:r>
              <w:rPr>
                <w:snapToGrid w:val="0"/>
                <w:color w:val="365F91" w:themeColor="accent1" w:themeShade="BF"/>
                <w:szCs w:val="22"/>
              </w:rPr>
              <w:t>January</w:t>
            </w:r>
            <w:r w:rsidR="00135830" w:rsidRPr="00837E38">
              <w:rPr>
                <w:snapToGrid w:val="0"/>
                <w:color w:val="365F91" w:themeColor="accent1" w:themeShade="BF"/>
                <w:szCs w:val="22"/>
              </w:rPr>
              <w:t xml:space="preserve"> 201</w:t>
            </w:r>
            <w:r w:rsidR="00135830" w:rsidRPr="00837E38">
              <w:rPr>
                <w:snapToGrid w:val="0"/>
                <w:color w:val="365F91" w:themeColor="accent1" w:themeShade="BF"/>
                <w:szCs w:val="22"/>
              </w:rPr>
              <w:fldChar w:fldCharType="end"/>
            </w:r>
            <w:r>
              <w:rPr>
                <w:snapToGrid w:val="0"/>
                <w:color w:val="365F91" w:themeColor="accent1" w:themeShade="BF"/>
                <w:szCs w:val="22"/>
              </w:rPr>
              <w:t>8</w:t>
            </w:r>
          </w:p>
        </w:tc>
        <w:tc>
          <w:tcPr>
            <w:tcW w:w="2977" w:type="dxa"/>
          </w:tcPr>
          <w:p w:rsidR="00993581" w:rsidRPr="001B235A" w:rsidRDefault="00F23016" w:rsidP="002F750B">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 xml:space="preserve">Doc. </w:t>
                </w:r>
                <w:r w:rsidR="002F750B">
                  <w:rPr>
                    <w:rFonts w:cs="Tahoma"/>
                    <w:b/>
                    <w:bCs/>
                    <w:color w:val="365F91" w:themeColor="accent1" w:themeShade="BF"/>
                    <w:lang w:val="en-US"/>
                  </w:rPr>
                  <w:t>5.1</w:t>
                </w:r>
              </w:sdtContent>
            </w:sdt>
            <w:r w:rsidR="000D4FA3" w:rsidRPr="001B235A">
              <w:rPr>
                <w:rFonts w:cs="Tahoma"/>
                <w:b/>
                <w:bCs/>
                <w:color w:val="365F91" w:themeColor="accent1" w:themeShade="BF"/>
              </w:rPr>
              <w:t xml:space="preserve"> </w:t>
            </w:r>
          </w:p>
        </w:tc>
      </w:tr>
      <w:tr w:rsidR="00993581" w:rsidRPr="003B6DFC" w:rsidTr="0076517D">
        <w:trPr>
          <w:trHeight w:val="730"/>
        </w:trPr>
        <w:tc>
          <w:tcPr>
            <w:tcW w:w="6912"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993581" w:rsidRPr="003B6DFC" w:rsidRDefault="00993581" w:rsidP="003E14DF">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E14DF">
                  <w:rPr>
                    <w:rFonts w:cs="Tahoma"/>
                    <w:color w:val="365F91" w:themeColor="accent1" w:themeShade="BF"/>
                    <w:lang w:val="en-US"/>
                  </w:rPr>
                  <w:t>Secretariat</w:t>
                </w:r>
              </w:sdtContent>
            </w:sdt>
          </w:p>
          <w:p w:rsidR="00993581" w:rsidRPr="003B6DFC" w:rsidRDefault="006F4489" w:rsidP="00745D4D">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0D4FA3" w:rsidRPr="003B6DFC">
              <w:rPr>
                <w:rFonts w:cs="Tahoma"/>
                <w:color w:val="365F91" w:themeColor="accent1" w:themeShade="BF"/>
              </w:rPr>
              <w:t>.</w:t>
            </w:r>
            <w:r w:rsidR="002A15EC">
              <w:rPr>
                <w:rFonts w:cs="Tahoma"/>
                <w:color w:val="365F91" w:themeColor="accent1" w:themeShade="BF"/>
              </w:rPr>
              <w:t>1</w:t>
            </w:r>
            <w:r w:rsidR="00745D4D">
              <w:rPr>
                <w:rFonts w:cs="Tahoma"/>
                <w:color w:val="365F91" w:themeColor="accent1" w:themeShade="BF"/>
              </w:rPr>
              <w:t>2</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745D4D" w:rsidRPr="00E14F45" w:rsidRDefault="00745D4D" w:rsidP="00745D4D">
      <w:pPr>
        <w:spacing w:before="120"/>
        <w:jc w:val="center"/>
        <w:rPr>
          <w:b/>
          <w:bCs/>
        </w:rPr>
      </w:pPr>
      <w:r w:rsidRPr="00E14F45">
        <w:rPr>
          <w:b/>
          <w:bCs/>
        </w:rPr>
        <w:t>5. STATUS OF THE PRIORITY AREAS IMPLEMENTATION OF THE PLAN FOR THE WIGOS PRE-OPERATIONAL PHASE (PWPP)</w:t>
      </w:r>
    </w:p>
    <w:p w:rsidR="00745D4D" w:rsidRPr="00E14F45" w:rsidRDefault="00745D4D" w:rsidP="00745D4D">
      <w:pPr>
        <w:spacing w:before="120"/>
        <w:ind w:left="1134"/>
        <w:jc w:val="left"/>
      </w:pPr>
    </w:p>
    <w:p w:rsidR="003E2A58" w:rsidRPr="00745D4D" w:rsidRDefault="00745D4D" w:rsidP="00745D4D">
      <w:pPr>
        <w:spacing w:before="120"/>
        <w:jc w:val="center"/>
        <w:rPr>
          <w:b/>
          <w:bCs/>
        </w:rPr>
      </w:pPr>
      <w:r w:rsidRPr="00E14F45">
        <w:rPr>
          <w:b/>
          <w:bCs/>
        </w:rPr>
        <w:t xml:space="preserve">5.1 </w:t>
      </w:r>
      <w:r w:rsidRPr="00E14F45">
        <w:rPr>
          <w:b/>
        </w:rPr>
        <w:t>National WIGOS implementation</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DC30BC" w:rsidP="00C611E0">
            <w:pPr>
              <w:tabs>
                <w:tab w:val="left" w:pos="148"/>
              </w:tabs>
              <w:ind w:left="148" w:right="157"/>
              <w:jc w:val="center"/>
            </w:pPr>
            <w:r w:rsidRPr="00DC30BC">
              <w:t>The document provides the status of the priority area No. 1 of the PWPP.</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C30BC" w:rsidP="004D4766">
      <w:pPr>
        <w:tabs>
          <w:tab w:val="left" w:pos="709"/>
          <w:tab w:val="left" w:pos="851"/>
        </w:tabs>
        <w:jc w:val="center"/>
      </w:pPr>
      <w:r w:rsidRPr="00E14F45">
        <w:t>The session will be invited to review the progress made and to formulate recommendations how to proceed further in this priority area.</w:t>
      </w:r>
      <w:r w:rsidR="003E2A58" w:rsidRPr="00D6251E">
        <w:t xml:space="preserve">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66028A" w:rsidRP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Default="00F23016" w:rsidP="00756B94">
      <w:pPr>
        <w:spacing w:before="60" w:after="120"/>
        <w:jc w:val="left"/>
      </w:pPr>
      <w:hyperlink r:id="rId13" w:history="1">
        <w:r w:rsidR="00DC30BC" w:rsidRPr="00E14F45">
          <w:rPr>
            <w:rStyle w:val="Hyperlink"/>
          </w:rPr>
          <w:t>Final Report from EC-68, Geneva, 15-24 June 2016, Resolution 2 (EC-68)</w:t>
        </w:r>
      </w:hyperlink>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4"/>
          <w:headerReference w:type="default" r:id="rId15"/>
          <w:pgSz w:w="11907" w:h="16840" w:code="9"/>
          <w:pgMar w:top="1134" w:right="1134" w:bottom="1134" w:left="1134" w:header="720" w:footer="731" w:gutter="0"/>
          <w:cols w:space="720"/>
          <w:titlePg/>
          <w:docGrid w:linePitch="326"/>
        </w:sectPr>
      </w:pPr>
      <w:bookmarkStart w:id="2" w:name="_GoBack"/>
      <w:bookmarkEnd w:id="2"/>
    </w:p>
    <w:p w:rsidR="00572D5D" w:rsidRPr="00572D5D" w:rsidRDefault="00572D5D" w:rsidP="007111D3">
      <w:pPr>
        <w:spacing w:before="240"/>
        <w:jc w:val="left"/>
        <w:rPr>
          <w:b/>
          <w:bCs/>
        </w:rPr>
      </w:pPr>
      <w:r w:rsidRPr="00572D5D">
        <w:rPr>
          <w:b/>
          <w:bCs/>
        </w:rPr>
        <w:lastRenderedPageBreak/>
        <w:t>5.1.</w:t>
      </w:r>
      <w:r w:rsidRPr="00572D5D">
        <w:rPr>
          <w:b/>
          <w:bCs/>
        </w:rPr>
        <w:tab/>
      </w:r>
      <w:r w:rsidRPr="00572D5D">
        <w:rPr>
          <w:b/>
        </w:rPr>
        <w:t>National WIGOS implementation</w:t>
      </w:r>
    </w:p>
    <w:p w:rsidR="00572D5D" w:rsidRPr="00572D5D" w:rsidRDefault="00572D5D" w:rsidP="007111D3">
      <w:pPr>
        <w:spacing w:before="240"/>
        <w:jc w:val="left"/>
        <w:rPr>
          <w:b/>
          <w:bCs/>
        </w:rPr>
      </w:pPr>
      <w:r w:rsidRPr="00572D5D">
        <w:rPr>
          <w:b/>
          <w:bCs/>
        </w:rPr>
        <w:t>5.1.1</w:t>
      </w:r>
      <w:r w:rsidRPr="00572D5D">
        <w:rPr>
          <w:b/>
          <w:bCs/>
        </w:rPr>
        <w:tab/>
        <w:t>Background</w:t>
      </w:r>
      <w:r w:rsidRPr="00572D5D">
        <w:rPr>
          <w:b/>
          <w:bCs/>
          <w:vertAlign w:val="superscript"/>
        </w:rPr>
        <w:footnoteReference w:id="1"/>
      </w:r>
    </w:p>
    <w:p w:rsidR="00572D5D" w:rsidRPr="00572D5D" w:rsidRDefault="00572D5D" w:rsidP="007111D3">
      <w:pPr>
        <w:pBdr>
          <w:top w:val="nil"/>
          <w:left w:val="nil"/>
          <w:bottom w:val="nil"/>
          <w:right w:val="nil"/>
          <w:between w:val="nil"/>
          <w:bar w:val="nil"/>
        </w:pBdr>
        <w:tabs>
          <w:tab w:val="clear" w:pos="1134"/>
          <w:tab w:val="left" w:pos="0"/>
          <w:tab w:val="left" w:pos="567"/>
        </w:tabs>
        <w:spacing w:before="240"/>
        <w:jc w:val="left"/>
        <w:rPr>
          <w:color w:val="000000"/>
          <w:szCs w:val="22"/>
          <w:u w:color="000000"/>
          <w:bdr w:val="nil"/>
          <w:lang w:eastAsia="zh-TW"/>
        </w:rPr>
      </w:pPr>
      <w:r w:rsidRPr="00572D5D">
        <w:rPr>
          <w:color w:val="000000"/>
          <w:szCs w:val="22"/>
          <w:u w:color="000000"/>
          <w:bdr w:val="nil"/>
          <w:lang w:eastAsia="zh-TW"/>
        </w:rPr>
        <w:t xml:space="preserve">The leadership role of NMHSs in integrated observing systems is central to the success of WIGOS implementation. The development and promulgation of practical tools, templates, guidance and case studies will help Members develop their national WIGOS plans, establish appropriate governance and coordination mechanisms, build the relationships and partnerships that will help expand and share their national and regional observations to meet needs across relevant disciplines and communities, and implement quality monitoring and modern data management and practices to ensure that they are able to extract full value from their national observing systems. </w:t>
      </w:r>
    </w:p>
    <w:p w:rsidR="00572D5D" w:rsidRPr="00572D5D" w:rsidRDefault="00572D5D" w:rsidP="00362C73">
      <w:pPr>
        <w:spacing w:before="120"/>
        <w:jc w:val="left"/>
        <w:rPr>
          <w:rFonts w:eastAsia="Helvetica"/>
          <w:color w:val="000000"/>
          <w:u w:color="000000"/>
          <w:bdr w:val="nil"/>
          <w:lang w:eastAsia="zh-TW"/>
        </w:rPr>
      </w:pPr>
      <w:r w:rsidRPr="00572D5D">
        <w:rPr>
          <w:rFonts w:eastAsia="Helvetica"/>
          <w:color w:val="000000"/>
          <w:u w:color="000000"/>
          <w:bdr w:val="nil"/>
          <w:lang w:eastAsia="zh-TW"/>
        </w:rPr>
        <w:t>The following key items with milestones are proposed:</w:t>
      </w:r>
    </w:p>
    <w:p w:rsidR="00572D5D" w:rsidRPr="00572D5D" w:rsidRDefault="00572D5D" w:rsidP="00362C73">
      <w:pPr>
        <w:widowControl w:val="0"/>
        <w:pBdr>
          <w:top w:val="nil"/>
          <w:left w:val="nil"/>
          <w:bottom w:val="nil"/>
          <w:right w:val="nil"/>
          <w:between w:val="nil"/>
          <w:bar w:val="nil"/>
        </w:pBdr>
        <w:tabs>
          <w:tab w:val="clear" w:pos="1134"/>
          <w:tab w:val="left" w:pos="0"/>
          <w:tab w:val="left" w:pos="851"/>
        </w:tabs>
        <w:spacing w:before="120"/>
        <w:ind w:left="851" w:hanging="851"/>
        <w:jc w:val="left"/>
        <w:rPr>
          <w:color w:val="000000"/>
          <w:szCs w:val="22"/>
          <w:u w:color="000000"/>
          <w:bdr w:val="nil"/>
          <w:lang w:eastAsia="zh-TW"/>
        </w:rPr>
      </w:pPr>
      <w:r w:rsidRPr="00572D5D">
        <w:rPr>
          <w:color w:val="000000"/>
          <w:szCs w:val="18"/>
          <w:u w:color="000000"/>
          <w:bdr w:val="nil"/>
          <w:lang w:eastAsia="zh-TW"/>
        </w:rPr>
        <w:t>(a)</w:t>
      </w:r>
      <w:r w:rsidRPr="00572D5D">
        <w:rPr>
          <w:color w:val="000000"/>
          <w:szCs w:val="18"/>
          <w:u w:color="000000"/>
          <w:bdr w:val="nil"/>
          <w:lang w:eastAsia="zh-TW"/>
        </w:rPr>
        <w:tab/>
      </w:r>
      <w:r w:rsidRPr="00572D5D">
        <w:rPr>
          <w:color w:val="000000"/>
          <w:szCs w:val="22"/>
          <w:u w:color="000000"/>
          <w:bdr w:val="nil"/>
          <w:lang w:eastAsia="zh-TW"/>
        </w:rPr>
        <w:t>Guidance material and tools to help Members to plan, deliver, expand and evolve their national WIGOS implementation; progressively from 2016;</w:t>
      </w:r>
    </w:p>
    <w:p w:rsidR="00572D5D" w:rsidRPr="00572D5D" w:rsidRDefault="00572D5D" w:rsidP="00362C73">
      <w:pPr>
        <w:widowControl w:val="0"/>
        <w:pBdr>
          <w:top w:val="nil"/>
          <w:left w:val="nil"/>
          <w:bottom w:val="nil"/>
          <w:right w:val="nil"/>
          <w:between w:val="nil"/>
          <w:bar w:val="nil"/>
        </w:pBdr>
        <w:tabs>
          <w:tab w:val="clear" w:pos="1134"/>
          <w:tab w:val="left" w:pos="0"/>
          <w:tab w:val="left" w:pos="851"/>
        </w:tabs>
        <w:spacing w:before="120"/>
        <w:ind w:left="851" w:hanging="851"/>
        <w:jc w:val="left"/>
        <w:rPr>
          <w:color w:val="000000"/>
          <w:szCs w:val="22"/>
          <w:u w:color="000000"/>
          <w:bdr w:val="nil"/>
          <w:lang w:eastAsia="zh-TW"/>
        </w:rPr>
      </w:pPr>
      <w:r w:rsidRPr="00572D5D">
        <w:rPr>
          <w:color w:val="000000"/>
          <w:szCs w:val="18"/>
          <w:u w:color="000000"/>
          <w:bdr w:val="nil"/>
          <w:lang w:eastAsia="zh-TW"/>
        </w:rPr>
        <w:t>(b)</w:t>
      </w:r>
      <w:r w:rsidRPr="00572D5D">
        <w:rPr>
          <w:color w:val="000000"/>
          <w:szCs w:val="18"/>
          <w:u w:color="000000"/>
          <w:bdr w:val="nil"/>
          <w:lang w:eastAsia="zh-TW"/>
        </w:rPr>
        <w:tab/>
      </w:r>
      <w:r w:rsidRPr="00572D5D">
        <w:rPr>
          <w:color w:val="000000"/>
          <w:szCs w:val="22"/>
          <w:u w:color="000000"/>
          <w:bdr w:val="nil"/>
          <w:lang w:eastAsia="zh-TW"/>
        </w:rPr>
        <w:t>Activities to support Members in implementing national governance mechanisms and partnership arrangements; progressively from 2016;</w:t>
      </w:r>
    </w:p>
    <w:p w:rsidR="00572D5D" w:rsidRPr="00572D5D" w:rsidRDefault="00572D5D" w:rsidP="00362C73">
      <w:pPr>
        <w:widowControl w:val="0"/>
        <w:pBdr>
          <w:top w:val="nil"/>
          <w:left w:val="nil"/>
          <w:bottom w:val="nil"/>
          <w:right w:val="nil"/>
          <w:between w:val="nil"/>
          <w:bar w:val="nil"/>
        </w:pBdr>
        <w:tabs>
          <w:tab w:val="clear" w:pos="1134"/>
          <w:tab w:val="left" w:pos="0"/>
          <w:tab w:val="left" w:pos="851"/>
        </w:tabs>
        <w:spacing w:before="120"/>
        <w:ind w:left="851" w:hanging="851"/>
        <w:jc w:val="left"/>
        <w:rPr>
          <w:color w:val="000000"/>
          <w:szCs w:val="22"/>
          <w:u w:color="000000"/>
          <w:bdr w:val="nil"/>
          <w:lang w:eastAsia="zh-TW"/>
        </w:rPr>
      </w:pPr>
      <w:r w:rsidRPr="00572D5D">
        <w:rPr>
          <w:color w:val="000000"/>
          <w:szCs w:val="18"/>
          <w:u w:color="000000"/>
          <w:bdr w:val="nil"/>
          <w:lang w:eastAsia="zh-TW"/>
        </w:rPr>
        <w:t>(c)</w:t>
      </w:r>
      <w:r w:rsidRPr="00572D5D">
        <w:rPr>
          <w:color w:val="000000"/>
          <w:szCs w:val="18"/>
          <w:u w:color="000000"/>
          <w:bdr w:val="nil"/>
          <w:lang w:eastAsia="zh-TW"/>
        </w:rPr>
        <w:tab/>
      </w:r>
      <w:r w:rsidRPr="00572D5D">
        <w:rPr>
          <w:color w:val="000000"/>
          <w:szCs w:val="22"/>
          <w:u w:color="000000"/>
          <w:bdr w:val="nil"/>
          <w:lang w:eastAsia="zh-TW"/>
        </w:rPr>
        <w:t>Training material, including e-learning tools and training packages, especially for OSCAR/Surface, WIGOS Station Identifiers, WIGOS metadata to support implementation of WIGOS at a national level; progressively from 2016;</w:t>
      </w:r>
    </w:p>
    <w:p w:rsidR="00572D5D" w:rsidRPr="00572D5D" w:rsidRDefault="00572D5D" w:rsidP="00362C73">
      <w:pPr>
        <w:widowControl w:val="0"/>
        <w:pBdr>
          <w:top w:val="nil"/>
          <w:left w:val="nil"/>
          <w:bottom w:val="nil"/>
          <w:right w:val="nil"/>
          <w:between w:val="nil"/>
          <w:bar w:val="nil"/>
        </w:pBdr>
        <w:tabs>
          <w:tab w:val="clear" w:pos="1134"/>
          <w:tab w:val="left" w:pos="0"/>
          <w:tab w:val="left" w:pos="851"/>
        </w:tabs>
        <w:spacing w:before="120"/>
        <w:ind w:left="851" w:hanging="851"/>
        <w:jc w:val="left"/>
        <w:rPr>
          <w:color w:val="000000"/>
          <w:szCs w:val="22"/>
          <w:u w:color="000000"/>
          <w:bdr w:val="nil"/>
          <w:lang w:eastAsia="zh-TW"/>
        </w:rPr>
      </w:pPr>
      <w:r w:rsidRPr="00572D5D">
        <w:rPr>
          <w:color w:val="000000"/>
          <w:szCs w:val="18"/>
          <w:u w:color="000000"/>
          <w:bdr w:val="nil"/>
          <w:lang w:eastAsia="zh-TW"/>
        </w:rPr>
        <w:t>(d)</w:t>
      </w:r>
      <w:r w:rsidRPr="00572D5D">
        <w:rPr>
          <w:color w:val="000000"/>
          <w:szCs w:val="18"/>
          <w:u w:color="000000"/>
          <w:bdr w:val="nil"/>
          <w:lang w:eastAsia="zh-TW"/>
        </w:rPr>
        <w:tab/>
      </w:r>
      <w:r w:rsidRPr="00572D5D">
        <w:rPr>
          <w:color w:val="000000"/>
          <w:szCs w:val="22"/>
          <w:u w:color="000000"/>
          <w:bdr w:val="nil"/>
          <w:lang w:eastAsia="zh-TW"/>
        </w:rPr>
        <w:t>WIGOS readiness checklists and monitoring tools; available by 2016;</w:t>
      </w:r>
    </w:p>
    <w:p w:rsidR="00572D5D" w:rsidRPr="00572D5D" w:rsidRDefault="00572D5D" w:rsidP="00362C73">
      <w:pPr>
        <w:tabs>
          <w:tab w:val="clear" w:pos="1134"/>
          <w:tab w:val="left" w:pos="851"/>
        </w:tabs>
        <w:spacing w:before="120"/>
        <w:ind w:left="851" w:hanging="851"/>
        <w:jc w:val="left"/>
      </w:pPr>
      <w:r w:rsidRPr="00572D5D">
        <w:rPr>
          <w:szCs w:val="18"/>
        </w:rPr>
        <w:t>(e)</w:t>
      </w:r>
      <w:r w:rsidRPr="00572D5D">
        <w:rPr>
          <w:szCs w:val="18"/>
        </w:rPr>
        <w:tab/>
      </w:r>
      <w:r w:rsidRPr="00572D5D">
        <w:t>Communications and outreach material for various audiences, including observing system managers and partners; progressively from 2016.</w:t>
      </w:r>
    </w:p>
    <w:p w:rsidR="00572D5D" w:rsidRPr="00572D5D" w:rsidRDefault="00572D5D" w:rsidP="007111D3">
      <w:pPr>
        <w:spacing w:before="240"/>
        <w:jc w:val="left"/>
      </w:pPr>
      <w:r w:rsidRPr="00572D5D">
        <w:rPr>
          <w:b/>
          <w:bCs/>
        </w:rPr>
        <w:t>5.1.2</w:t>
      </w:r>
      <w:r w:rsidRPr="00572D5D">
        <w:rPr>
          <w:b/>
          <w:bCs/>
        </w:rPr>
        <w:tab/>
        <w:t>Progress achieved</w:t>
      </w:r>
    </w:p>
    <w:p w:rsidR="007C03E7" w:rsidRDefault="00572D5D" w:rsidP="00FB1627">
      <w:pPr>
        <w:pStyle w:val="Standard"/>
        <w:tabs>
          <w:tab w:val="left" w:pos="851"/>
        </w:tabs>
        <w:spacing w:before="240" w:after="0"/>
        <w:ind w:left="851" w:hanging="851"/>
        <w:jc w:val="left"/>
        <w:rPr>
          <w:rFonts w:ascii="Verdana" w:eastAsia="Arial" w:hAnsi="Verdana" w:cs="Arial"/>
          <w:sz w:val="20"/>
          <w:szCs w:val="20"/>
        </w:rPr>
      </w:pPr>
      <w:r w:rsidRPr="00572D5D">
        <w:rPr>
          <w:rFonts w:ascii="Verdana" w:eastAsia="Arial" w:hAnsi="Verdana" w:cs="Arial"/>
          <w:sz w:val="20"/>
          <w:szCs w:val="20"/>
        </w:rPr>
        <w:t>(a)</w:t>
      </w:r>
      <w:r w:rsidR="00FB1D8F">
        <w:rPr>
          <w:rFonts w:ascii="Verdana" w:eastAsia="Arial" w:hAnsi="Verdana" w:cs="Arial"/>
          <w:sz w:val="20"/>
          <w:szCs w:val="20"/>
        </w:rPr>
        <w:t xml:space="preserve"> </w:t>
      </w:r>
      <w:r w:rsidR="00FB1D8F">
        <w:rPr>
          <w:rFonts w:ascii="Verdana" w:eastAsia="Arial" w:hAnsi="Verdana" w:cs="Arial"/>
          <w:sz w:val="20"/>
          <w:szCs w:val="20"/>
        </w:rPr>
        <w:tab/>
      </w:r>
      <w:r w:rsidR="007C03E7" w:rsidRPr="007C03E7">
        <w:rPr>
          <w:rFonts w:ascii="Verdana" w:eastAsia="Arial" w:hAnsi="Verdana" w:cs="Arial"/>
          <w:sz w:val="20"/>
          <w:szCs w:val="20"/>
        </w:rPr>
        <w:t>Guidance on WIGOS Data Partnerships</w:t>
      </w:r>
      <w:r w:rsidR="007C03E7">
        <w:rPr>
          <w:rFonts w:ascii="Verdana" w:eastAsia="Arial" w:hAnsi="Verdana" w:cs="Arial"/>
          <w:sz w:val="20"/>
          <w:szCs w:val="20"/>
        </w:rPr>
        <w:t xml:space="preserve"> </w:t>
      </w:r>
      <w:r w:rsidR="002B5BB7">
        <w:rPr>
          <w:rFonts w:ascii="Verdana" w:eastAsia="Arial" w:hAnsi="Verdana" w:cs="Arial"/>
          <w:sz w:val="20"/>
          <w:szCs w:val="20"/>
        </w:rPr>
        <w:t>developed by TT-WDP</w:t>
      </w:r>
      <w:r w:rsidR="00F23016">
        <w:rPr>
          <w:rFonts w:ascii="Verdana" w:eastAsia="Arial" w:hAnsi="Verdana" w:cs="Arial"/>
          <w:sz w:val="20"/>
          <w:szCs w:val="20"/>
        </w:rPr>
        <w:t>.</w:t>
      </w:r>
    </w:p>
    <w:p w:rsidR="007421A6" w:rsidRDefault="007C03E7" w:rsidP="00FB1627">
      <w:pPr>
        <w:pStyle w:val="Standard"/>
        <w:tabs>
          <w:tab w:val="left" w:pos="851"/>
        </w:tabs>
        <w:spacing w:before="240" w:after="0"/>
        <w:ind w:left="851" w:hanging="851"/>
        <w:jc w:val="left"/>
        <w:rPr>
          <w:rFonts w:ascii="Verdana" w:eastAsia="Arial" w:hAnsi="Verdana" w:cs="Arial"/>
          <w:sz w:val="20"/>
          <w:szCs w:val="20"/>
        </w:rPr>
      </w:pPr>
      <w:r>
        <w:rPr>
          <w:rFonts w:ascii="Verdana" w:eastAsia="Arial" w:hAnsi="Verdana" w:cs="Arial"/>
          <w:sz w:val="20"/>
          <w:szCs w:val="20"/>
        </w:rPr>
        <w:tab/>
      </w:r>
      <w:hyperlink r:id="rId16" w:anchor=".WYrd2oR96Un" w:history="1">
        <w:proofErr w:type="gramStart"/>
        <w:r w:rsidR="007421A6" w:rsidRPr="007421A6">
          <w:rPr>
            <w:rStyle w:val="Hyperlink"/>
            <w:rFonts w:ascii="Verdana" w:eastAsia="Arial" w:hAnsi="Verdana" w:cs="Arial"/>
            <w:sz w:val="20"/>
            <w:szCs w:val="20"/>
          </w:rPr>
          <w:t>Classification Procedure for Automatic Weather Stations</w:t>
        </w:r>
      </w:hyperlink>
      <w:r w:rsidR="007421A6">
        <w:rPr>
          <w:rFonts w:ascii="Verdana" w:eastAsia="Arial" w:hAnsi="Verdana" w:cs="Arial"/>
          <w:sz w:val="20"/>
          <w:szCs w:val="20"/>
        </w:rPr>
        <w:t xml:space="preserve"> developed by MeteoSwiss.</w:t>
      </w:r>
      <w:proofErr w:type="gramEnd"/>
    </w:p>
    <w:p w:rsidR="00FB1D8F" w:rsidRDefault="00FB1D8F" w:rsidP="00072834">
      <w:pPr>
        <w:pStyle w:val="Standard"/>
        <w:tabs>
          <w:tab w:val="left" w:pos="851"/>
        </w:tabs>
        <w:spacing w:before="240" w:after="0"/>
        <w:ind w:left="851" w:hanging="851"/>
        <w:jc w:val="left"/>
        <w:rPr>
          <w:rFonts w:ascii="Verdana" w:hAnsi="Verdana"/>
          <w:sz w:val="20"/>
          <w:szCs w:val="20"/>
        </w:rPr>
      </w:pPr>
      <w:r>
        <w:rPr>
          <w:rFonts w:ascii="Verdana" w:eastAsia="Arial" w:hAnsi="Verdana" w:cs="Arial"/>
          <w:sz w:val="20"/>
          <w:szCs w:val="20"/>
        </w:rPr>
        <w:t>(b)</w:t>
      </w:r>
      <w:r>
        <w:rPr>
          <w:rFonts w:ascii="Verdana" w:eastAsia="Arial" w:hAnsi="Verdana" w:cs="Arial"/>
          <w:sz w:val="20"/>
          <w:szCs w:val="20"/>
        </w:rPr>
        <w:tab/>
      </w:r>
      <w:r w:rsidR="00DD3DE2">
        <w:rPr>
          <w:rFonts w:ascii="Verdana" w:eastAsia="Arial" w:hAnsi="Verdana" w:cs="Arial"/>
          <w:sz w:val="20"/>
          <w:szCs w:val="20"/>
        </w:rPr>
        <w:t xml:space="preserve">Assessment of national observing capabilities made for: Burkina Faso, </w:t>
      </w:r>
      <w:r w:rsidR="001A5F9A">
        <w:rPr>
          <w:rFonts w:ascii="Verdana" w:eastAsia="Arial" w:hAnsi="Verdana" w:cs="Arial"/>
          <w:sz w:val="20"/>
          <w:szCs w:val="20"/>
        </w:rPr>
        <w:t xml:space="preserve">Liberia, </w:t>
      </w:r>
      <w:r w:rsidR="00DD3DE2">
        <w:rPr>
          <w:rFonts w:ascii="Verdana" w:eastAsia="Arial" w:hAnsi="Verdana" w:cs="Arial"/>
          <w:sz w:val="20"/>
          <w:szCs w:val="20"/>
        </w:rPr>
        <w:t xml:space="preserve">Niger, </w:t>
      </w:r>
      <w:r w:rsidR="00DB47F1" w:rsidRPr="00DB47F1">
        <w:rPr>
          <w:rFonts w:ascii="Verdana" w:eastAsia="Arial" w:hAnsi="Verdana" w:cs="Arial"/>
          <w:sz w:val="20"/>
          <w:szCs w:val="20"/>
        </w:rPr>
        <w:t>Papua New Guinea</w:t>
      </w:r>
      <w:r w:rsidR="00DB47F1">
        <w:rPr>
          <w:rFonts w:ascii="Verdana" w:eastAsia="Arial" w:hAnsi="Verdana" w:cs="Arial"/>
          <w:sz w:val="20"/>
          <w:szCs w:val="20"/>
        </w:rPr>
        <w:t xml:space="preserve">, </w:t>
      </w:r>
      <w:r w:rsidR="00DD3DE2">
        <w:rPr>
          <w:rFonts w:ascii="Verdana" w:eastAsia="Arial" w:hAnsi="Verdana" w:cs="Arial"/>
          <w:sz w:val="20"/>
          <w:szCs w:val="20"/>
        </w:rPr>
        <w:t xml:space="preserve">Senegal, </w:t>
      </w:r>
      <w:r w:rsidR="00FB1627">
        <w:rPr>
          <w:rFonts w:ascii="Verdana" w:eastAsia="Arial" w:hAnsi="Verdana" w:cs="Arial"/>
          <w:sz w:val="20"/>
          <w:szCs w:val="20"/>
        </w:rPr>
        <w:t>Sierra Leone</w:t>
      </w:r>
      <w:r w:rsidR="001A5F9A">
        <w:rPr>
          <w:rFonts w:ascii="Verdana" w:eastAsia="Arial" w:hAnsi="Verdana" w:cs="Arial"/>
          <w:sz w:val="20"/>
          <w:szCs w:val="20"/>
        </w:rPr>
        <w:t xml:space="preserve">; </w:t>
      </w:r>
    </w:p>
    <w:p w:rsidR="009A0C37" w:rsidRDefault="007111D3" w:rsidP="009A0C37">
      <w:pPr>
        <w:pStyle w:val="Standard"/>
        <w:tabs>
          <w:tab w:val="left" w:pos="851"/>
        </w:tabs>
        <w:spacing w:before="240" w:after="0"/>
        <w:ind w:left="851" w:hanging="851"/>
        <w:jc w:val="left"/>
        <w:rPr>
          <w:rFonts w:ascii="Verdana" w:hAnsi="Verdana"/>
          <w:sz w:val="20"/>
          <w:szCs w:val="20"/>
        </w:rPr>
      </w:pPr>
      <w:r w:rsidRPr="007111D3">
        <w:rPr>
          <w:rFonts w:ascii="Verdana" w:hAnsi="Verdana"/>
          <w:sz w:val="20"/>
          <w:szCs w:val="20"/>
        </w:rPr>
        <w:t xml:space="preserve">(c) </w:t>
      </w:r>
      <w:r w:rsidR="00FB1D8F">
        <w:rPr>
          <w:rFonts w:ascii="Verdana" w:hAnsi="Verdana"/>
          <w:sz w:val="20"/>
          <w:szCs w:val="20"/>
        </w:rPr>
        <w:tab/>
      </w:r>
      <w:r w:rsidRPr="007111D3">
        <w:rPr>
          <w:rFonts w:ascii="Verdana" w:hAnsi="Verdana"/>
          <w:sz w:val="20"/>
          <w:szCs w:val="20"/>
        </w:rPr>
        <w:t>Training material for OSCAR/Surface</w:t>
      </w:r>
      <w:r w:rsidR="00816243">
        <w:rPr>
          <w:rFonts w:ascii="Verdana" w:hAnsi="Verdana"/>
          <w:sz w:val="20"/>
          <w:szCs w:val="20"/>
        </w:rPr>
        <w:t xml:space="preserve">: </w:t>
      </w:r>
      <w:r w:rsidR="00816243" w:rsidRPr="00816243">
        <w:rPr>
          <w:rFonts w:ascii="Verdana" w:hAnsi="Verdana"/>
          <w:sz w:val="20"/>
          <w:szCs w:val="20"/>
        </w:rPr>
        <w:t xml:space="preserve">Training resources </w:t>
      </w:r>
      <w:r w:rsidR="009A0C37">
        <w:rPr>
          <w:rFonts w:ascii="Verdana" w:hAnsi="Verdana"/>
          <w:sz w:val="20"/>
          <w:szCs w:val="20"/>
        </w:rPr>
        <w:t>on the</w:t>
      </w:r>
      <w:r w:rsidR="00816243" w:rsidRPr="00816243">
        <w:rPr>
          <w:rFonts w:ascii="Verdana" w:hAnsi="Verdana"/>
          <w:sz w:val="20"/>
          <w:szCs w:val="20"/>
        </w:rPr>
        <w:t xml:space="preserve"> WMO Moodle site </w:t>
      </w:r>
      <w:r w:rsidR="009A0C37">
        <w:rPr>
          <w:rFonts w:ascii="Verdana" w:hAnsi="Verdana"/>
          <w:sz w:val="20"/>
          <w:szCs w:val="20"/>
        </w:rPr>
        <w:t>developed (</w:t>
      </w:r>
      <w:hyperlink r:id="rId17" w:history="1">
        <w:r w:rsidR="009A0C37" w:rsidRPr="00FF14FA">
          <w:rPr>
            <w:rStyle w:val="Hyperlink"/>
            <w:rFonts w:ascii="Verdana" w:hAnsi="Verdana"/>
            <w:sz w:val="20"/>
            <w:szCs w:val="20"/>
          </w:rPr>
          <w:t>http://etrp.wmo.int/moodle/course/view.php?id=129</w:t>
        </w:r>
      </w:hyperlink>
      <w:r w:rsidR="009A0C37">
        <w:rPr>
          <w:rFonts w:ascii="Verdana" w:hAnsi="Verdana"/>
          <w:sz w:val="20"/>
          <w:szCs w:val="20"/>
        </w:rPr>
        <w:t>)</w:t>
      </w:r>
      <w:r w:rsidR="00FB1627">
        <w:rPr>
          <w:rFonts w:ascii="Verdana" w:hAnsi="Verdana"/>
          <w:sz w:val="20"/>
          <w:szCs w:val="20"/>
        </w:rPr>
        <w:t>;</w:t>
      </w:r>
    </w:p>
    <w:p w:rsidR="00072834" w:rsidRDefault="00072834" w:rsidP="009A0C37">
      <w:pPr>
        <w:pStyle w:val="Standard"/>
        <w:tabs>
          <w:tab w:val="left" w:pos="851"/>
        </w:tabs>
        <w:spacing w:before="240" w:after="0"/>
        <w:ind w:left="851" w:hanging="851"/>
        <w:jc w:val="left"/>
        <w:rPr>
          <w:rFonts w:ascii="Verdana" w:eastAsia="Arial" w:hAnsi="Verdana" w:cs="Arial"/>
          <w:sz w:val="20"/>
          <w:szCs w:val="20"/>
        </w:rPr>
      </w:pPr>
      <w:r>
        <w:rPr>
          <w:rFonts w:ascii="Verdana" w:hAnsi="Verdana"/>
          <w:sz w:val="20"/>
          <w:szCs w:val="20"/>
        </w:rPr>
        <w:t>(d)</w:t>
      </w:r>
      <w:r>
        <w:rPr>
          <w:rFonts w:ascii="Verdana" w:hAnsi="Verdana"/>
          <w:sz w:val="20"/>
          <w:szCs w:val="20"/>
        </w:rPr>
        <w:tab/>
      </w:r>
      <w:hyperlink r:id="rId18" w:history="1">
        <w:r>
          <w:rPr>
            <w:rStyle w:val="Hyperlink"/>
            <w:rFonts w:ascii="Verdana" w:eastAsia="Arial" w:hAnsi="Verdana" w:cs="Arial"/>
            <w:sz w:val="20"/>
            <w:szCs w:val="20"/>
          </w:rPr>
          <w:t>I</w:t>
        </w:r>
        <w:r w:rsidRPr="00FF68F6">
          <w:rPr>
            <w:rStyle w:val="Hyperlink"/>
            <w:rFonts w:ascii="Verdana" w:eastAsia="Arial" w:hAnsi="Verdana" w:cs="Arial"/>
            <w:sz w:val="20"/>
            <w:szCs w:val="20"/>
          </w:rPr>
          <w:t>ndicators for monitoring progress in the WIGOS national implementation</w:t>
        </w:r>
      </w:hyperlink>
      <w:r>
        <w:rPr>
          <w:rFonts w:ascii="Verdana" w:eastAsia="Arial" w:hAnsi="Verdana" w:cs="Arial"/>
          <w:sz w:val="20"/>
          <w:szCs w:val="20"/>
        </w:rPr>
        <w:t xml:space="preserve"> developed and endorsed by EC-69;</w:t>
      </w:r>
    </w:p>
    <w:p w:rsidR="006C1161" w:rsidRDefault="002B5BB7" w:rsidP="009A0C37">
      <w:pPr>
        <w:pStyle w:val="Standard"/>
        <w:tabs>
          <w:tab w:val="left" w:pos="851"/>
        </w:tabs>
        <w:spacing w:before="240" w:after="0"/>
        <w:ind w:left="851" w:hanging="851"/>
        <w:jc w:val="left"/>
        <w:rPr>
          <w:rFonts w:ascii="Verdana" w:eastAsia="Arial" w:hAnsi="Verdana" w:cs="Arial"/>
          <w:sz w:val="20"/>
          <w:szCs w:val="20"/>
        </w:rPr>
      </w:pPr>
      <w:r>
        <w:rPr>
          <w:rFonts w:ascii="Verdana" w:eastAsia="Arial" w:hAnsi="Verdana" w:cs="Arial"/>
          <w:sz w:val="20"/>
          <w:szCs w:val="20"/>
        </w:rPr>
        <w:t>(e)</w:t>
      </w:r>
      <w:r>
        <w:rPr>
          <w:rFonts w:ascii="Verdana" w:eastAsia="Arial" w:hAnsi="Verdana" w:cs="Arial"/>
          <w:sz w:val="20"/>
          <w:szCs w:val="20"/>
        </w:rPr>
        <w:tab/>
      </w:r>
      <w:r w:rsidR="006C1161">
        <w:rPr>
          <w:rFonts w:ascii="Verdana" w:eastAsia="Arial" w:hAnsi="Verdana" w:cs="Arial"/>
          <w:sz w:val="20"/>
          <w:szCs w:val="20"/>
        </w:rPr>
        <w:t>WIGOS Newsletters: four issues</w:t>
      </w:r>
      <w:r w:rsidR="00FB1627">
        <w:rPr>
          <w:rFonts w:ascii="Verdana" w:eastAsia="Arial" w:hAnsi="Verdana" w:cs="Arial"/>
          <w:sz w:val="20"/>
          <w:szCs w:val="20"/>
        </w:rPr>
        <w:t>;</w:t>
      </w:r>
    </w:p>
    <w:p w:rsidR="002B5BB7" w:rsidRDefault="006C1161" w:rsidP="009A0C37">
      <w:pPr>
        <w:pStyle w:val="Standard"/>
        <w:tabs>
          <w:tab w:val="left" w:pos="851"/>
        </w:tabs>
        <w:spacing w:before="240" w:after="0"/>
        <w:ind w:left="851" w:hanging="851"/>
        <w:jc w:val="left"/>
        <w:rPr>
          <w:rFonts w:ascii="Verdana" w:hAnsi="Verdana"/>
          <w:sz w:val="20"/>
          <w:szCs w:val="20"/>
        </w:rPr>
      </w:pPr>
      <w:r>
        <w:rPr>
          <w:rFonts w:ascii="Verdana" w:eastAsia="Arial" w:hAnsi="Verdana" w:cs="Arial"/>
          <w:sz w:val="20"/>
          <w:szCs w:val="20"/>
        </w:rPr>
        <w:t xml:space="preserve"> </w:t>
      </w:r>
    </w:p>
    <w:p w:rsidR="00FF09E6" w:rsidRDefault="009A0C37" w:rsidP="009A0C37">
      <w:pPr>
        <w:pStyle w:val="Standard"/>
        <w:tabs>
          <w:tab w:val="left" w:pos="851"/>
        </w:tabs>
        <w:spacing w:before="240" w:after="0"/>
        <w:jc w:val="left"/>
        <w:rPr>
          <w:rFonts w:ascii="Verdana" w:hAnsi="Verdana"/>
          <w:sz w:val="20"/>
          <w:szCs w:val="20"/>
        </w:rPr>
      </w:pPr>
      <w:r>
        <w:rPr>
          <w:rFonts w:ascii="Verdana" w:hAnsi="Verdana"/>
          <w:sz w:val="20"/>
          <w:szCs w:val="20"/>
        </w:rPr>
        <w:t xml:space="preserve"> </w:t>
      </w:r>
    </w:p>
    <w:p w:rsidR="007111D3" w:rsidRPr="001E3966" w:rsidRDefault="007111D3" w:rsidP="007111D3">
      <w:pPr>
        <w:pStyle w:val="Standard"/>
        <w:spacing w:before="240" w:after="0"/>
        <w:jc w:val="left"/>
        <w:rPr>
          <w:rFonts w:ascii="Verdana" w:hAnsi="Verdana"/>
          <w:sz w:val="20"/>
          <w:szCs w:val="20"/>
        </w:rPr>
      </w:pP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__________</w:t>
      </w:r>
    </w:p>
    <w:bookmarkEnd w:id="1"/>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19"/>
      <w:headerReference w:type="default" r:id="rId20"/>
      <w:headerReference w:type="first" r:id="rId2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1E" w:rsidRDefault="00336D1E">
      <w:r>
        <w:separator/>
      </w:r>
    </w:p>
    <w:p w:rsidR="00336D1E" w:rsidRDefault="00336D1E"/>
    <w:p w:rsidR="00336D1E" w:rsidRDefault="00336D1E"/>
  </w:endnote>
  <w:endnote w:type="continuationSeparator" w:id="0">
    <w:p w:rsidR="00336D1E" w:rsidRDefault="00336D1E">
      <w:r>
        <w:continuationSeparator/>
      </w:r>
    </w:p>
    <w:p w:rsidR="00336D1E" w:rsidRDefault="00336D1E"/>
    <w:p w:rsidR="00336D1E" w:rsidRDefault="0033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1E" w:rsidRDefault="00336D1E">
      <w:r>
        <w:separator/>
      </w:r>
    </w:p>
  </w:footnote>
  <w:footnote w:type="continuationSeparator" w:id="0">
    <w:p w:rsidR="00336D1E" w:rsidRDefault="00336D1E">
      <w:r>
        <w:continuationSeparator/>
      </w:r>
    </w:p>
    <w:p w:rsidR="00336D1E" w:rsidRDefault="00336D1E"/>
    <w:p w:rsidR="00336D1E" w:rsidRDefault="00336D1E"/>
  </w:footnote>
  <w:footnote w:id="1">
    <w:p w:rsidR="00572D5D" w:rsidRPr="003D5DCD" w:rsidRDefault="00572D5D" w:rsidP="00572D5D">
      <w:pPr>
        <w:pStyle w:val="FootnoteText"/>
        <w:spacing w:before="0"/>
        <w:ind w:left="0" w:firstLine="0"/>
        <w:rPr>
          <w:sz w:val="18"/>
          <w:szCs w:val="18"/>
        </w:rPr>
      </w:pPr>
      <w:r w:rsidRPr="003D5DCD">
        <w:rPr>
          <w:rStyle w:val="FootnoteReference"/>
          <w:sz w:val="18"/>
          <w:szCs w:val="18"/>
        </w:rPr>
        <w:footnoteRef/>
      </w:r>
      <w:r w:rsidRPr="003D5DCD">
        <w:rPr>
          <w:sz w:val="18"/>
          <w:szCs w:val="18"/>
        </w:rPr>
        <w:t xml:space="preserve"> An extract from the PWPP (</w:t>
      </w:r>
      <w:r>
        <w:rPr>
          <w:sz w:val="18"/>
          <w:szCs w:val="18"/>
        </w:rPr>
        <w:t>3.1</w:t>
      </w:r>
      <w:r w:rsidRPr="003D5DC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F23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572D5D">
    <w:pPr>
      <w:pStyle w:val="Header"/>
      <w:spacing w:after="120"/>
    </w:pPr>
    <w:r>
      <w:rPr>
        <w:noProof/>
        <w:lang w:eastAsia="zh-CN"/>
      </w:rPr>
      <mc:AlternateContent>
        <mc:Choice Requires="wps">
          <w:drawing>
            <wp:anchor distT="0" distB="0" distL="114300" distR="114300" simplePos="0" relativeHeight="251666944" behindDoc="0" locked="0" layoutInCell="1" allowOverlap="1" wp14:anchorId="2C89E251" wp14:editId="40BC1AF0">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6704" behindDoc="0" locked="0" layoutInCell="1" allowOverlap="1" wp14:anchorId="0B62370B" wp14:editId="51E649E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7728" behindDoc="0" locked="0" layoutInCell="1" allowOverlap="1" wp14:anchorId="0AAE29DE" wp14:editId="5688E24B">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0A5DBD">
      <w:t>Doc.</w:t>
    </w:r>
    <w:r w:rsidR="00572D5D">
      <w:t>5.1</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4"/>
  </w:num>
  <w:num w:numId="9">
    <w:abstractNumId w:val="4"/>
  </w:num>
  <w:num w:numId="10">
    <w:abstractNumId w:val="9"/>
  </w:num>
  <w:num w:numId="11">
    <w:abstractNumId w:val="15"/>
  </w:num>
  <w:num w:numId="12">
    <w:abstractNumId w:val="0"/>
  </w:num>
  <w:num w:numId="13">
    <w:abstractNumId w:val="22"/>
  </w:num>
  <w:num w:numId="14">
    <w:abstractNumId w:val="21"/>
  </w:num>
  <w:num w:numId="15">
    <w:abstractNumId w:val="23"/>
  </w:num>
  <w:num w:numId="16">
    <w:abstractNumId w:val="3"/>
  </w:num>
  <w:num w:numId="17">
    <w:abstractNumId w:val="8"/>
  </w:num>
  <w:num w:numId="18">
    <w:abstractNumId w:val="18"/>
  </w:num>
  <w:num w:numId="19">
    <w:abstractNumId w:val="2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4"/>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0"/>
  </w:num>
  <w:num w:numId="24">
    <w:abstractNumId w:val="12"/>
  </w:num>
  <w:num w:numId="25">
    <w:abstractNumId w:val="17"/>
  </w:num>
  <w:num w:numId="26">
    <w:abstractNumId w:val="1"/>
  </w:num>
  <w:num w:numId="27">
    <w:abstractNumId w:val="25"/>
  </w:num>
  <w:num w:numId="28">
    <w:abstractNumId w:val="19"/>
  </w:num>
  <w:num w:numId="29">
    <w:abstractNumId w:val="13"/>
  </w:num>
  <w:num w:numId="30">
    <w:abstractNumId w:val="11"/>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2834"/>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1191"/>
    <w:rsid w:val="000D3C65"/>
    <w:rsid w:val="000D4FA3"/>
    <w:rsid w:val="000F1874"/>
    <w:rsid w:val="000F5E49"/>
    <w:rsid w:val="000F5FA2"/>
    <w:rsid w:val="000F7A87"/>
    <w:rsid w:val="00101B85"/>
    <w:rsid w:val="00111BFD"/>
    <w:rsid w:val="0011498B"/>
    <w:rsid w:val="00120147"/>
    <w:rsid w:val="00123140"/>
    <w:rsid w:val="00135830"/>
    <w:rsid w:val="001426E3"/>
    <w:rsid w:val="00145C34"/>
    <w:rsid w:val="001514D7"/>
    <w:rsid w:val="00162479"/>
    <w:rsid w:val="0016309D"/>
    <w:rsid w:val="00163BA3"/>
    <w:rsid w:val="00166B31"/>
    <w:rsid w:val="0017786A"/>
    <w:rsid w:val="00180771"/>
    <w:rsid w:val="001809DE"/>
    <w:rsid w:val="00186C06"/>
    <w:rsid w:val="00192808"/>
    <w:rsid w:val="001930A3"/>
    <w:rsid w:val="00194CB6"/>
    <w:rsid w:val="001A02FD"/>
    <w:rsid w:val="001A341E"/>
    <w:rsid w:val="001A5F9A"/>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63F1"/>
    <w:rsid w:val="002445FC"/>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AD9"/>
    <w:rsid w:val="002E3FAD"/>
    <w:rsid w:val="002E4E16"/>
    <w:rsid w:val="002E7D0E"/>
    <w:rsid w:val="002F5517"/>
    <w:rsid w:val="002F750B"/>
    <w:rsid w:val="002F7CCF"/>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62C73"/>
    <w:rsid w:val="0037548B"/>
    <w:rsid w:val="0037623A"/>
    <w:rsid w:val="00380AF7"/>
    <w:rsid w:val="00381331"/>
    <w:rsid w:val="0038191F"/>
    <w:rsid w:val="0038517A"/>
    <w:rsid w:val="00394A05"/>
    <w:rsid w:val="00397770"/>
    <w:rsid w:val="00397880"/>
    <w:rsid w:val="003A7016"/>
    <w:rsid w:val="003B6DFC"/>
    <w:rsid w:val="003C1D0D"/>
    <w:rsid w:val="003C3871"/>
    <w:rsid w:val="003D35FC"/>
    <w:rsid w:val="003E14DF"/>
    <w:rsid w:val="003E2A58"/>
    <w:rsid w:val="003E3D21"/>
    <w:rsid w:val="003E4046"/>
    <w:rsid w:val="003F125B"/>
    <w:rsid w:val="003F6655"/>
    <w:rsid w:val="003F7B3F"/>
    <w:rsid w:val="00400A34"/>
    <w:rsid w:val="004027E4"/>
    <w:rsid w:val="0040787C"/>
    <w:rsid w:val="0041078D"/>
    <w:rsid w:val="00410A71"/>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5797"/>
    <w:rsid w:val="004811DD"/>
    <w:rsid w:val="00484894"/>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732D7"/>
    <w:rsid w:val="0068333D"/>
    <w:rsid w:val="006908AF"/>
    <w:rsid w:val="00697DB5"/>
    <w:rsid w:val="006A492A"/>
    <w:rsid w:val="006A62CB"/>
    <w:rsid w:val="006B1509"/>
    <w:rsid w:val="006C1161"/>
    <w:rsid w:val="006C25F8"/>
    <w:rsid w:val="006C65B2"/>
    <w:rsid w:val="006D5576"/>
    <w:rsid w:val="006D71E9"/>
    <w:rsid w:val="006D78F0"/>
    <w:rsid w:val="006E5A55"/>
    <w:rsid w:val="006E5FE9"/>
    <w:rsid w:val="006E766D"/>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4B89"/>
    <w:rsid w:val="00777D58"/>
    <w:rsid w:val="00780B62"/>
    <w:rsid w:val="00785318"/>
    <w:rsid w:val="0078790E"/>
    <w:rsid w:val="007879FC"/>
    <w:rsid w:val="00787E2F"/>
    <w:rsid w:val="0079155A"/>
    <w:rsid w:val="007973EC"/>
    <w:rsid w:val="007B2260"/>
    <w:rsid w:val="007C03E7"/>
    <w:rsid w:val="007C212A"/>
    <w:rsid w:val="007C6931"/>
    <w:rsid w:val="007E2023"/>
    <w:rsid w:val="007E7D21"/>
    <w:rsid w:val="007F482F"/>
    <w:rsid w:val="00801F60"/>
    <w:rsid w:val="0080466B"/>
    <w:rsid w:val="00807CC5"/>
    <w:rsid w:val="00816243"/>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2519"/>
    <w:rsid w:val="008A362F"/>
    <w:rsid w:val="008A722F"/>
    <w:rsid w:val="008A7313"/>
    <w:rsid w:val="008A7D91"/>
    <w:rsid w:val="008B7FC7"/>
    <w:rsid w:val="008C17A4"/>
    <w:rsid w:val="008E1B4D"/>
    <w:rsid w:val="008E1E4A"/>
    <w:rsid w:val="008E3177"/>
    <w:rsid w:val="008E521A"/>
    <w:rsid w:val="008F0615"/>
    <w:rsid w:val="008F1FDB"/>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6697"/>
    <w:rsid w:val="009C4C04"/>
    <w:rsid w:val="009C7CE0"/>
    <w:rsid w:val="009C7EEA"/>
    <w:rsid w:val="009F537E"/>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5415"/>
    <w:rsid w:val="00AA3C89"/>
    <w:rsid w:val="00AB1404"/>
    <w:rsid w:val="00AC4CDB"/>
    <w:rsid w:val="00AE3C92"/>
    <w:rsid w:val="00AE58C2"/>
    <w:rsid w:val="00AE5A18"/>
    <w:rsid w:val="00AF5EE5"/>
    <w:rsid w:val="00AF638A"/>
    <w:rsid w:val="00B00141"/>
    <w:rsid w:val="00B009AA"/>
    <w:rsid w:val="00B030C8"/>
    <w:rsid w:val="00B056E7"/>
    <w:rsid w:val="00B05759"/>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C3804"/>
    <w:rsid w:val="00BD43B6"/>
    <w:rsid w:val="00BD5720"/>
    <w:rsid w:val="00BE475B"/>
    <w:rsid w:val="00BE64B3"/>
    <w:rsid w:val="00BF631D"/>
    <w:rsid w:val="00C03F8F"/>
    <w:rsid w:val="00C04BD2"/>
    <w:rsid w:val="00C13EEC"/>
    <w:rsid w:val="00C150B0"/>
    <w:rsid w:val="00C156A4"/>
    <w:rsid w:val="00C20FAA"/>
    <w:rsid w:val="00C2459D"/>
    <w:rsid w:val="00C304B4"/>
    <w:rsid w:val="00C354A2"/>
    <w:rsid w:val="00C360EF"/>
    <w:rsid w:val="00C42C95"/>
    <w:rsid w:val="00C439C9"/>
    <w:rsid w:val="00C55166"/>
    <w:rsid w:val="00C55E5B"/>
    <w:rsid w:val="00C611E0"/>
    <w:rsid w:val="00C720A4"/>
    <w:rsid w:val="00C7611C"/>
    <w:rsid w:val="00C83893"/>
    <w:rsid w:val="00C90F1A"/>
    <w:rsid w:val="00C93633"/>
    <w:rsid w:val="00C93744"/>
    <w:rsid w:val="00C94097"/>
    <w:rsid w:val="00CA4269"/>
    <w:rsid w:val="00CA5E89"/>
    <w:rsid w:val="00CA6A8D"/>
    <w:rsid w:val="00CA7330"/>
    <w:rsid w:val="00CB64F0"/>
    <w:rsid w:val="00CC2909"/>
    <w:rsid w:val="00CD1BBA"/>
    <w:rsid w:val="00D032A3"/>
    <w:rsid w:val="00D05E6F"/>
    <w:rsid w:val="00D33442"/>
    <w:rsid w:val="00D44BAD"/>
    <w:rsid w:val="00D4569B"/>
    <w:rsid w:val="00D45B55"/>
    <w:rsid w:val="00D702F3"/>
    <w:rsid w:val="00D7097B"/>
    <w:rsid w:val="00D866DB"/>
    <w:rsid w:val="00D870B3"/>
    <w:rsid w:val="00D91DFA"/>
    <w:rsid w:val="00D97ED3"/>
    <w:rsid w:val="00DB1AB2"/>
    <w:rsid w:val="00DB47F1"/>
    <w:rsid w:val="00DC0DA2"/>
    <w:rsid w:val="00DC30BC"/>
    <w:rsid w:val="00DD1EB7"/>
    <w:rsid w:val="00DD3A65"/>
    <w:rsid w:val="00DD3DE2"/>
    <w:rsid w:val="00DD62C6"/>
    <w:rsid w:val="00E00498"/>
    <w:rsid w:val="00E2617A"/>
    <w:rsid w:val="00E4462B"/>
    <w:rsid w:val="00E52E2F"/>
    <w:rsid w:val="00E538E6"/>
    <w:rsid w:val="00E72DA0"/>
    <w:rsid w:val="00E802A2"/>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2163C"/>
    <w:rsid w:val="00F23016"/>
    <w:rsid w:val="00F32056"/>
    <w:rsid w:val="00F474C9"/>
    <w:rsid w:val="00F61675"/>
    <w:rsid w:val="00F6686B"/>
    <w:rsid w:val="00F677A0"/>
    <w:rsid w:val="00F67F74"/>
    <w:rsid w:val="00F73DE3"/>
    <w:rsid w:val="00F7706D"/>
    <w:rsid w:val="00F84DD2"/>
    <w:rsid w:val="00F84FAC"/>
    <w:rsid w:val="00F86BA9"/>
    <w:rsid w:val="00FA26DF"/>
    <w:rsid w:val="00FA3535"/>
    <w:rsid w:val="00FB0872"/>
    <w:rsid w:val="00FB1627"/>
    <w:rsid w:val="00FB1D8F"/>
    <w:rsid w:val="00FB54CC"/>
    <w:rsid w:val="00FD1A37"/>
    <w:rsid w:val="00FF095F"/>
    <w:rsid w:val="00FF09E6"/>
    <w:rsid w:val="00FF2DB3"/>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brary.wmo.int/opac/index.php?lvl=notice_display&amp;id=19656" TargetMode="External"/><Relationship Id="rId18" Type="http://schemas.openxmlformats.org/officeDocument/2006/relationships/hyperlink" Target="http://www.wmo.int/pages/prog/www/wigos/documents/Tools/Annex-to-Decision-5.1(1)-11_EC-69.docx"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etrp.wmo.int/moodle/course/view.php?id=129" TargetMode="External"/><Relationship Id="rId2" Type="http://schemas.openxmlformats.org/officeDocument/2006/relationships/customXml" Target="../customXml/item2.xml"/><Relationship Id="rId16" Type="http://schemas.openxmlformats.org/officeDocument/2006/relationships/hyperlink" Target="https://library.wmo.int/opac/index.php?lvl=notice_display&amp;id=1995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F3052"/>
    <w:rsid w:val="002D5E4D"/>
    <w:rsid w:val="00355189"/>
    <w:rsid w:val="004420BF"/>
    <w:rsid w:val="004651DE"/>
    <w:rsid w:val="005C6B75"/>
    <w:rsid w:val="005C6CB3"/>
    <w:rsid w:val="00760717"/>
    <w:rsid w:val="00AA6CDC"/>
    <w:rsid w:val="00B22731"/>
    <w:rsid w:val="00CE163A"/>
    <w:rsid w:val="00CE51E0"/>
    <w:rsid w:val="00CF672C"/>
    <w:rsid w:val="00EE70FF"/>
    <w:rsid w:val="00EF0501"/>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BC23B5EA-B52C-4D88-9513-F5F2D93C960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3222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Igor Zahumensky</cp:lastModifiedBy>
  <cp:revision>9</cp:revision>
  <cp:lastPrinted>2017-12-21T08:33:00Z</cp:lastPrinted>
  <dcterms:created xsi:type="dcterms:W3CDTF">2017-11-30T14:50:00Z</dcterms:created>
  <dcterms:modified xsi:type="dcterms:W3CDTF">2017-12-21T08:44:00Z</dcterms:modified>
  <cp:category>Doc. 5.1</cp:category>
  <cp:contentStatus>DRAFT 1</cp:contentStatus>
</cp:coreProperties>
</file>