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8907F2" w:rsidRPr="00306148" w:rsidTr="00586C7F">
        <w:tblPrEx>
          <w:tblCellMar>
            <w:top w:w="0" w:type="dxa"/>
            <w:bottom w:w="0" w:type="dxa"/>
          </w:tblCellMar>
        </w:tblPrEx>
        <w:trPr>
          <w:cantSplit/>
          <w:trHeight w:val="417"/>
        </w:trPr>
        <w:tc>
          <w:tcPr>
            <w:tcW w:w="4908" w:type="dxa"/>
          </w:tcPr>
          <w:p w:rsidR="008907F2" w:rsidRPr="00306148" w:rsidRDefault="008907F2" w:rsidP="00586C7F">
            <w:pPr>
              <w:keepNext/>
              <w:tabs>
                <w:tab w:val="left" w:pos="-722"/>
                <w:tab w:val="left" w:pos="6946"/>
              </w:tabs>
              <w:suppressAutoHyphens/>
              <w:spacing w:line="252" w:lineRule="auto"/>
              <w:outlineLvl w:val="6"/>
              <w:rPr>
                <w:rFonts w:eastAsia="Times New Roman"/>
                <w:b/>
                <w:bCs/>
                <w:spacing w:val="-2"/>
                <w:sz w:val="20"/>
                <w:szCs w:val="20"/>
                <w:lang w:val="en-GB" w:eastAsia="en-US"/>
              </w:rPr>
            </w:pPr>
            <w:bookmarkStart w:id="0" w:name="_GoBack"/>
            <w:bookmarkEnd w:id="0"/>
            <w:r w:rsidRPr="00306148">
              <w:rPr>
                <w:rFonts w:eastAsia="Times New Roman"/>
                <w:b/>
                <w:bCs/>
                <w:spacing w:val="-2"/>
                <w:sz w:val="20"/>
                <w:szCs w:val="20"/>
                <w:lang w:val="en-GB" w:eastAsia="en-US"/>
              </w:rPr>
              <w:t>World Meteorological Organization</w:t>
            </w:r>
          </w:p>
        </w:tc>
        <w:tc>
          <w:tcPr>
            <w:tcW w:w="729" w:type="dxa"/>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4481" w:type="dxa"/>
            <w:gridSpan w:val="3"/>
          </w:tcPr>
          <w:p w:rsidR="008907F2" w:rsidRPr="00306148" w:rsidRDefault="008907F2" w:rsidP="0057467F">
            <w:pPr>
              <w:tabs>
                <w:tab w:val="left" w:pos="-722"/>
                <w:tab w:val="center" w:pos="4153"/>
                <w:tab w:val="left" w:pos="6946"/>
                <w:tab w:val="right" w:pos="8306"/>
              </w:tabs>
              <w:suppressAutoHyphens/>
              <w:spacing w:line="252" w:lineRule="auto"/>
              <w:jc w:val="right"/>
              <w:rPr>
                <w:b/>
                <w:sz w:val="20"/>
                <w:szCs w:val="20"/>
                <w:lang w:val="en-GB"/>
              </w:rPr>
            </w:pPr>
            <w:r w:rsidRPr="00306148">
              <w:rPr>
                <w:b/>
                <w:bCs/>
                <w:sz w:val="20"/>
                <w:szCs w:val="20"/>
                <w:lang w:val="en-GB"/>
              </w:rPr>
              <w:t>ICG-WIGOS-5</w:t>
            </w:r>
            <w:r w:rsidRPr="00306148">
              <w:rPr>
                <w:b/>
                <w:sz w:val="20"/>
                <w:szCs w:val="20"/>
                <w:lang w:val="en-GB"/>
              </w:rPr>
              <w:t>/Doc.</w:t>
            </w:r>
            <w:r w:rsidR="0057467F" w:rsidRPr="00306148">
              <w:rPr>
                <w:b/>
                <w:sz w:val="20"/>
                <w:szCs w:val="20"/>
                <w:lang w:val="en-GB"/>
              </w:rPr>
              <w:t>4.</w:t>
            </w:r>
            <w:r w:rsidR="00F263F3">
              <w:rPr>
                <w:b/>
                <w:sz w:val="20"/>
                <w:szCs w:val="20"/>
                <w:lang w:val="en-GB"/>
              </w:rPr>
              <w:t>3.</w:t>
            </w:r>
            <w:r w:rsidR="0057467F" w:rsidRPr="00306148">
              <w:rPr>
                <w:b/>
                <w:sz w:val="20"/>
                <w:szCs w:val="20"/>
                <w:lang w:val="en-GB"/>
              </w:rPr>
              <w:t>1</w:t>
            </w:r>
          </w:p>
        </w:tc>
      </w:tr>
      <w:tr w:rsidR="008907F2" w:rsidRPr="00306148" w:rsidTr="00586C7F">
        <w:tblPrEx>
          <w:tblCellMar>
            <w:top w:w="0" w:type="dxa"/>
            <w:bottom w:w="0" w:type="dxa"/>
          </w:tblCellMar>
        </w:tblPrEx>
        <w:trPr>
          <w:cantSplit/>
          <w:trHeight w:val="276"/>
        </w:trPr>
        <w:tc>
          <w:tcPr>
            <w:tcW w:w="4908" w:type="dxa"/>
            <w:vMerge w:val="restart"/>
          </w:tcPr>
          <w:p w:rsidR="008907F2" w:rsidRPr="00306148" w:rsidRDefault="008907F2" w:rsidP="00586C7F">
            <w:pPr>
              <w:tabs>
                <w:tab w:val="left" w:pos="815"/>
              </w:tabs>
              <w:spacing w:before="60" w:after="60"/>
              <w:rPr>
                <w:bCs/>
                <w:sz w:val="20"/>
                <w:szCs w:val="20"/>
                <w:lang w:val="en-GB"/>
              </w:rPr>
            </w:pPr>
            <w:r w:rsidRPr="00306148">
              <w:rPr>
                <w:b/>
                <w:sz w:val="20"/>
                <w:szCs w:val="20"/>
                <w:lang w:val="en-GB"/>
              </w:rPr>
              <w:t>INTER-COMMISSION</w:t>
            </w:r>
            <w:r w:rsidRPr="00306148">
              <w:rPr>
                <w:b/>
                <w:bCs/>
                <w:sz w:val="20"/>
                <w:szCs w:val="20"/>
                <w:lang w:val="en-GB"/>
              </w:rPr>
              <w:t xml:space="preserve"> COORDINATION GROUP ON WIGOS (ICG-WIGOS-5)</w:t>
            </w:r>
          </w:p>
        </w:tc>
        <w:tc>
          <w:tcPr>
            <w:tcW w:w="729" w:type="dxa"/>
            <w:vMerge w:val="restart"/>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Submitted by:</w:t>
            </w:r>
          </w:p>
        </w:tc>
        <w:tc>
          <w:tcPr>
            <w:tcW w:w="2339" w:type="dxa"/>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fldChar w:fldCharType="begin">
                <w:ffData>
                  <w:name w:val="Text1"/>
                  <w:enabled/>
                  <w:calcOnExit w:val="0"/>
                  <w:textInput>
                    <w:default w:val="Secretary-General"/>
                  </w:textInput>
                </w:ffData>
              </w:fldChar>
            </w:r>
            <w:r w:rsidRPr="00306148">
              <w:rPr>
                <w:rFonts w:eastAsia="Times New Roman"/>
                <w:sz w:val="20"/>
                <w:szCs w:val="20"/>
                <w:lang w:val="en-GB" w:eastAsia="en-US"/>
              </w:rPr>
              <w:instrText xml:space="preserve"> FORMTEXT </w:instrText>
            </w:r>
            <w:r w:rsidRPr="00306148">
              <w:rPr>
                <w:rFonts w:eastAsia="Times New Roman"/>
                <w:sz w:val="20"/>
                <w:szCs w:val="20"/>
                <w:lang w:val="en-GB" w:eastAsia="en-US"/>
              </w:rPr>
            </w:r>
            <w:r w:rsidRPr="00306148">
              <w:rPr>
                <w:rFonts w:eastAsia="Times New Roman"/>
                <w:sz w:val="20"/>
                <w:szCs w:val="20"/>
                <w:lang w:val="en-GB" w:eastAsia="en-US"/>
              </w:rPr>
              <w:fldChar w:fldCharType="separate"/>
            </w:r>
            <w:r w:rsidRPr="00306148">
              <w:rPr>
                <w:rFonts w:eastAsia="Times New Roman"/>
                <w:sz w:val="20"/>
                <w:szCs w:val="20"/>
                <w:lang w:val="en-GB" w:eastAsia="en-US"/>
              </w:rPr>
              <w:t>Secretariat</w:t>
            </w:r>
            <w:r w:rsidRPr="00306148">
              <w:rPr>
                <w:rFonts w:eastAsia="Times New Roman"/>
                <w:sz w:val="20"/>
                <w:szCs w:val="20"/>
                <w:lang w:val="en-GB" w:eastAsia="en-US"/>
              </w:rPr>
              <w:fldChar w:fldCharType="end"/>
            </w:r>
          </w:p>
        </w:tc>
      </w:tr>
      <w:tr w:rsidR="008907F2" w:rsidRPr="00306148" w:rsidTr="00586C7F">
        <w:tblPrEx>
          <w:tblCellMar>
            <w:top w:w="0" w:type="dxa"/>
            <w:bottom w:w="0" w:type="dxa"/>
          </w:tblCellMar>
        </w:tblPrEx>
        <w:trPr>
          <w:cantSplit/>
          <w:trHeight w:val="338"/>
        </w:trPr>
        <w:tc>
          <w:tcPr>
            <w:tcW w:w="4908" w:type="dxa"/>
            <w:vMerge/>
          </w:tcPr>
          <w:p w:rsidR="008907F2" w:rsidRPr="00306148" w:rsidRDefault="008907F2" w:rsidP="00586C7F">
            <w:pPr>
              <w:tabs>
                <w:tab w:val="left" w:pos="-722"/>
                <w:tab w:val="left" w:pos="6946"/>
              </w:tabs>
              <w:suppressAutoHyphens/>
              <w:spacing w:line="252" w:lineRule="auto"/>
              <w:rPr>
                <w:rFonts w:eastAsia="Times New Roman"/>
                <w:b/>
                <w:bCs/>
                <w:spacing w:val="-2"/>
                <w:sz w:val="20"/>
                <w:szCs w:val="20"/>
                <w:lang w:val="en-GB" w:eastAsia="en-US"/>
              </w:rPr>
            </w:pPr>
          </w:p>
        </w:tc>
        <w:tc>
          <w:tcPr>
            <w:tcW w:w="729" w:type="dxa"/>
            <w:vMerge/>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Date:</w:t>
            </w:r>
          </w:p>
        </w:tc>
        <w:tc>
          <w:tcPr>
            <w:tcW w:w="2339" w:type="dxa"/>
            <w:vAlign w:val="center"/>
          </w:tcPr>
          <w:p w:rsidR="008907F2" w:rsidRPr="00306148" w:rsidRDefault="008907F2" w:rsidP="008907F2">
            <w:pPr>
              <w:jc w:val="right"/>
              <w:rPr>
                <w:rFonts w:eastAsia="Times New Roman"/>
                <w:sz w:val="20"/>
                <w:szCs w:val="20"/>
                <w:lang w:val="en-GB" w:eastAsia="en-US"/>
              </w:rPr>
            </w:pPr>
            <w:r w:rsidRPr="00306148">
              <w:rPr>
                <w:rFonts w:eastAsia="Times New Roman"/>
                <w:sz w:val="20"/>
                <w:szCs w:val="20"/>
                <w:lang w:val="en-GB" w:eastAsia="en-US"/>
              </w:rPr>
              <w:t>1</w:t>
            </w:r>
            <w:r w:rsidR="000C30D3" w:rsidRPr="00306148">
              <w:rPr>
                <w:rFonts w:eastAsia="Times New Roman"/>
                <w:sz w:val="20"/>
                <w:szCs w:val="20"/>
                <w:lang w:val="en-GB" w:eastAsia="en-US"/>
              </w:rPr>
              <w:t>6</w:t>
            </w:r>
            <w:r w:rsidRPr="00306148">
              <w:rPr>
                <w:rFonts w:eastAsia="Times New Roman"/>
                <w:sz w:val="20"/>
                <w:szCs w:val="20"/>
                <w:lang w:val="en-GB" w:eastAsia="en-US"/>
              </w:rPr>
              <w:t>.XII.2015</w:t>
            </w:r>
          </w:p>
        </w:tc>
      </w:tr>
      <w:tr w:rsidR="008907F2" w:rsidRPr="00306148" w:rsidTr="00586C7F">
        <w:tblPrEx>
          <w:tblCellMar>
            <w:top w:w="0" w:type="dxa"/>
            <w:bottom w:w="0" w:type="dxa"/>
          </w:tblCellMar>
        </w:tblPrEx>
        <w:trPr>
          <w:cantSplit/>
          <w:trHeight w:val="269"/>
        </w:trPr>
        <w:tc>
          <w:tcPr>
            <w:tcW w:w="4908" w:type="dxa"/>
            <w:vMerge w:val="restart"/>
          </w:tcPr>
          <w:p w:rsidR="008907F2" w:rsidRPr="00306148" w:rsidRDefault="008907F2" w:rsidP="00586C7F">
            <w:pPr>
              <w:tabs>
                <w:tab w:val="left" w:pos="815"/>
              </w:tabs>
              <w:spacing w:before="120" w:after="120"/>
              <w:rPr>
                <w:b/>
                <w:i/>
                <w:sz w:val="20"/>
                <w:szCs w:val="20"/>
                <w:lang w:val="en-GB"/>
              </w:rPr>
            </w:pPr>
            <w:r w:rsidRPr="00306148">
              <w:rPr>
                <w:b/>
                <w:i/>
                <w:sz w:val="20"/>
                <w:szCs w:val="20"/>
                <w:lang w:val="en-GB"/>
              </w:rPr>
              <w:t>FIFTH SESSION</w:t>
            </w:r>
          </w:p>
          <w:p w:rsidR="008907F2" w:rsidRPr="00306148" w:rsidRDefault="008907F2" w:rsidP="00586C7F">
            <w:pPr>
              <w:widowControl w:val="0"/>
              <w:rPr>
                <w:rFonts w:cs="Arial"/>
                <w:sz w:val="20"/>
                <w:szCs w:val="20"/>
                <w:lang w:val="en-GB"/>
              </w:rPr>
            </w:pPr>
            <w:r w:rsidRPr="00306148">
              <w:rPr>
                <w:sz w:val="20"/>
                <w:szCs w:val="20"/>
                <w:lang w:val="en-GB"/>
              </w:rPr>
              <w:t xml:space="preserve">GENEVA, </w:t>
            </w:r>
            <w:r w:rsidRPr="00306148">
              <w:rPr>
                <w:rFonts w:cs="Arial"/>
                <w:sz w:val="20"/>
                <w:szCs w:val="20"/>
                <w:lang w:val="en-GB"/>
              </w:rPr>
              <w:t xml:space="preserve">SWITZERLAND </w:t>
            </w:r>
          </w:p>
          <w:p w:rsidR="008907F2" w:rsidRPr="00306148" w:rsidRDefault="008907F2" w:rsidP="00586C7F">
            <w:pPr>
              <w:widowControl w:val="0"/>
              <w:rPr>
                <w:rFonts w:eastAsia="Times New Roman"/>
                <w:snapToGrid w:val="0"/>
                <w:sz w:val="20"/>
                <w:szCs w:val="20"/>
                <w:lang w:val="en-GB" w:eastAsia="en-US"/>
              </w:rPr>
            </w:pPr>
            <w:r w:rsidRPr="00306148">
              <w:rPr>
                <w:sz w:val="20"/>
                <w:szCs w:val="20"/>
                <w:lang w:val="en-GB"/>
              </w:rPr>
              <w:t>25-28 January 2016</w:t>
            </w:r>
          </w:p>
        </w:tc>
        <w:tc>
          <w:tcPr>
            <w:tcW w:w="729" w:type="dxa"/>
            <w:vMerge/>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26" w:type="dxa"/>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 xml:space="preserve">Original Language: </w:t>
            </w:r>
          </w:p>
        </w:tc>
        <w:tc>
          <w:tcPr>
            <w:tcW w:w="2355"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fldChar w:fldCharType="begin">
                <w:ffData>
                  <w:name w:val="Text1"/>
                  <w:enabled/>
                  <w:calcOnExit w:val="0"/>
                  <w:textInput>
                    <w:default w:val="English"/>
                  </w:textInput>
                </w:ffData>
              </w:fldChar>
            </w:r>
            <w:r w:rsidRPr="00306148">
              <w:rPr>
                <w:rFonts w:eastAsia="Times New Roman"/>
                <w:sz w:val="20"/>
                <w:szCs w:val="20"/>
                <w:lang w:val="en-GB" w:eastAsia="en-US"/>
              </w:rPr>
              <w:instrText xml:space="preserve"> FORMTEXT </w:instrText>
            </w:r>
            <w:r w:rsidRPr="00306148">
              <w:rPr>
                <w:rFonts w:eastAsia="Times New Roman"/>
                <w:sz w:val="20"/>
                <w:szCs w:val="20"/>
                <w:lang w:val="en-GB" w:eastAsia="en-US"/>
              </w:rPr>
            </w:r>
            <w:r w:rsidRPr="00306148">
              <w:rPr>
                <w:rFonts w:eastAsia="Times New Roman"/>
                <w:sz w:val="20"/>
                <w:szCs w:val="20"/>
                <w:lang w:val="en-GB" w:eastAsia="en-US"/>
              </w:rPr>
              <w:fldChar w:fldCharType="separate"/>
            </w:r>
            <w:r w:rsidRPr="00306148">
              <w:rPr>
                <w:rFonts w:eastAsia="Times New Roman"/>
                <w:sz w:val="20"/>
                <w:szCs w:val="20"/>
                <w:lang w:val="en-GB" w:eastAsia="en-US"/>
              </w:rPr>
              <w:t>English</w:t>
            </w:r>
            <w:r w:rsidRPr="00306148">
              <w:rPr>
                <w:rFonts w:eastAsia="Times New Roman"/>
                <w:sz w:val="20"/>
                <w:szCs w:val="20"/>
                <w:lang w:val="en-GB" w:eastAsia="en-US"/>
              </w:rPr>
              <w:fldChar w:fldCharType="end"/>
            </w:r>
          </w:p>
        </w:tc>
      </w:tr>
      <w:tr w:rsidR="008907F2" w:rsidRPr="00306148" w:rsidTr="00586C7F">
        <w:tblPrEx>
          <w:tblCellMar>
            <w:top w:w="0" w:type="dxa"/>
            <w:bottom w:w="0" w:type="dxa"/>
          </w:tblCellMar>
        </w:tblPrEx>
        <w:trPr>
          <w:cantSplit/>
          <w:trHeight w:val="288"/>
        </w:trPr>
        <w:tc>
          <w:tcPr>
            <w:tcW w:w="4908" w:type="dxa"/>
            <w:vMerge/>
            <w:tcBorders>
              <w:bottom w:val="single" w:sz="4" w:space="0" w:color="auto"/>
            </w:tcBorders>
          </w:tcPr>
          <w:p w:rsidR="008907F2" w:rsidRPr="00306148" w:rsidRDefault="008907F2" w:rsidP="00586C7F">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GB" w:eastAsia="en-US"/>
              </w:rPr>
            </w:pPr>
          </w:p>
        </w:tc>
        <w:tc>
          <w:tcPr>
            <w:tcW w:w="729" w:type="dxa"/>
            <w:vMerge/>
            <w:tcBorders>
              <w:bottom w:val="single" w:sz="4" w:space="0" w:color="auto"/>
            </w:tcBorders>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26" w:type="dxa"/>
            <w:tcBorders>
              <w:bottom w:val="single" w:sz="4" w:space="0" w:color="auto"/>
            </w:tcBorders>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Agenda Item:</w:t>
            </w:r>
          </w:p>
        </w:tc>
        <w:tc>
          <w:tcPr>
            <w:tcW w:w="2355" w:type="dxa"/>
            <w:gridSpan w:val="2"/>
            <w:tcBorders>
              <w:bottom w:val="single" w:sz="4" w:space="0" w:color="auto"/>
            </w:tcBorders>
            <w:vAlign w:val="center"/>
          </w:tcPr>
          <w:p w:rsidR="008907F2" w:rsidRPr="00306148" w:rsidRDefault="0057467F" w:rsidP="00F263F3">
            <w:pPr>
              <w:jc w:val="right"/>
              <w:rPr>
                <w:rFonts w:eastAsia="Times New Roman"/>
                <w:sz w:val="20"/>
                <w:szCs w:val="20"/>
                <w:lang w:val="en-GB" w:eastAsia="en-US"/>
              </w:rPr>
            </w:pPr>
            <w:r w:rsidRPr="00306148">
              <w:rPr>
                <w:rFonts w:eastAsia="Times New Roman"/>
                <w:sz w:val="20"/>
                <w:szCs w:val="20"/>
                <w:lang w:val="en-GB" w:eastAsia="en-US"/>
              </w:rPr>
              <w:t>4.</w:t>
            </w:r>
            <w:r w:rsidR="00F263F3">
              <w:rPr>
                <w:rFonts w:eastAsia="Times New Roman"/>
                <w:sz w:val="20"/>
                <w:szCs w:val="20"/>
                <w:lang w:val="en-GB" w:eastAsia="en-US"/>
              </w:rPr>
              <w:t>3</w:t>
            </w:r>
          </w:p>
        </w:tc>
      </w:tr>
    </w:tbl>
    <w:p w:rsidR="00FE3510" w:rsidRPr="00306148" w:rsidRDefault="00FE3510" w:rsidP="00FE3510">
      <w:pPr>
        <w:pStyle w:val="Heading1"/>
        <w:ind w:hanging="993"/>
        <w:jc w:val="center"/>
        <w:rPr>
          <w:caps/>
          <w:lang w:val="en-GB"/>
        </w:rPr>
      </w:pPr>
    </w:p>
    <w:p w:rsidR="00795AE4" w:rsidRPr="00306148" w:rsidRDefault="00795AE4" w:rsidP="00795AE4">
      <w:pPr>
        <w:rPr>
          <w:lang w:val="en-GB"/>
        </w:rPr>
      </w:pPr>
    </w:p>
    <w:p w:rsidR="0057467F" w:rsidRPr="00306148" w:rsidRDefault="0057467F" w:rsidP="0057467F">
      <w:pPr>
        <w:pStyle w:val="Heading1"/>
        <w:ind w:hanging="993"/>
        <w:jc w:val="center"/>
        <w:rPr>
          <w:caps/>
          <w:lang w:val="en-GB"/>
        </w:rPr>
      </w:pPr>
      <w:r w:rsidRPr="00306148">
        <w:rPr>
          <w:caps/>
          <w:lang w:val="en-GB"/>
        </w:rPr>
        <w:t>4.</w:t>
      </w:r>
      <w:r w:rsidR="00F263F3">
        <w:rPr>
          <w:caps/>
          <w:lang w:val="en-GB"/>
        </w:rPr>
        <w:t>3</w:t>
      </w:r>
      <w:r w:rsidRPr="00306148">
        <w:rPr>
          <w:caps/>
          <w:lang w:val="en-GB"/>
        </w:rPr>
        <w:tab/>
        <w:t>PROGRESS TOWARDS IMPLEMENTATION OF WIGOS</w:t>
      </w:r>
    </w:p>
    <w:p w:rsidR="0057467F" w:rsidRPr="00306148" w:rsidRDefault="0057467F" w:rsidP="0057467F">
      <w:pPr>
        <w:rPr>
          <w:lang w:val="en-GB"/>
        </w:rPr>
      </w:pPr>
    </w:p>
    <w:p w:rsidR="000C3C80" w:rsidRPr="00306148" w:rsidRDefault="0057467F" w:rsidP="0057467F">
      <w:pPr>
        <w:pStyle w:val="Heading1"/>
        <w:ind w:hanging="993"/>
        <w:jc w:val="center"/>
        <w:rPr>
          <w:lang w:val="en-GB"/>
        </w:rPr>
      </w:pPr>
      <w:r w:rsidRPr="00306148">
        <w:rPr>
          <w:caps/>
          <w:lang w:val="en-GB"/>
        </w:rPr>
        <w:tab/>
        <w:t>4.</w:t>
      </w:r>
      <w:r w:rsidR="00F263F3">
        <w:rPr>
          <w:caps/>
          <w:lang w:val="en-GB"/>
        </w:rPr>
        <w:t>3.</w:t>
      </w:r>
      <w:r w:rsidRPr="00306148">
        <w:rPr>
          <w:caps/>
          <w:lang w:val="en-GB"/>
        </w:rPr>
        <w:t>1.</w:t>
      </w:r>
      <w:r w:rsidRPr="00306148">
        <w:rPr>
          <w:caps/>
          <w:lang w:val="en-GB"/>
        </w:rPr>
        <w:tab/>
        <w:t>REVIEW OF OUTCOMES FROM TT-PWPP-2</w:t>
      </w:r>
    </w:p>
    <w:p w:rsidR="00FE3510" w:rsidRPr="00306148" w:rsidRDefault="00FE3510" w:rsidP="00FE3510">
      <w:pPr>
        <w:jc w:val="center"/>
        <w:rPr>
          <w:rFonts w:cs="Arial"/>
          <w:lang w:val="en-GB"/>
        </w:rPr>
      </w:pPr>
      <w:r w:rsidRPr="00306148">
        <w:rPr>
          <w:rFonts w:cs="Arial"/>
          <w:lang w:val="en-GB"/>
        </w:rPr>
        <w:t>(Submitted by the Secretariat)</w:t>
      </w:r>
    </w:p>
    <w:p w:rsidR="00FE3510" w:rsidRPr="00306148" w:rsidRDefault="00FE3510" w:rsidP="00FE3510">
      <w:pPr>
        <w:rPr>
          <w:rFonts w:cs="Arial"/>
          <w:lang w:val="en-GB"/>
        </w:rPr>
      </w:pPr>
    </w:p>
    <w:p w:rsidR="00CF1D99" w:rsidRPr="00306148" w:rsidRDefault="00CF1D99" w:rsidP="00FE3510">
      <w:pPr>
        <w:rPr>
          <w:rFonts w:cs="Arial"/>
          <w:lang w:val="en-GB"/>
        </w:rPr>
      </w:pPr>
    </w:p>
    <w:p w:rsidR="00FE3510" w:rsidRPr="00306148" w:rsidRDefault="00FE3510" w:rsidP="00FE3510">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306148">
        <w:tblPrEx>
          <w:tblCellMar>
            <w:top w:w="0" w:type="dxa"/>
            <w:bottom w:w="0" w:type="dxa"/>
          </w:tblCellMar>
        </w:tblPrEx>
        <w:trPr>
          <w:trHeight w:val="1742"/>
          <w:jc w:val="center"/>
        </w:trPr>
        <w:tc>
          <w:tcPr>
            <w:tcW w:w="8494" w:type="dxa"/>
            <w:tcBorders>
              <w:top w:val="single" w:sz="6" w:space="0" w:color="auto"/>
              <w:bottom w:val="single" w:sz="6" w:space="0" w:color="auto"/>
            </w:tcBorders>
          </w:tcPr>
          <w:p w:rsidR="00FE3510" w:rsidRPr="00306148" w:rsidRDefault="00FE3510" w:rsidP="009B45DB">
            <w:pPr>
              <w:rPr>
                <w:rFonts w:cs="Arial"/>
                <w:lang w:val="en-GB"/>
              </w:rPr>
            </w:pPr>
          </w:p>
          <w:p w:rsidR="00FE3510" w:rsidRPr="00306148" w:rsidRDefault="00FE3510" w:rsidP="009B45DB">
            <w:pPr>
              <w:jc w:val="center"/>
              <w:rPr>
                <w:rFonts w:cs="Arial"/>
                <w:lang w:val="en-GB"/>
              </w:rPr>
            </w:pPr>
            <w:r w:rsidRPr="00306148">
              <w:rPr>
                <w:rFonts w:cs="Arial"/>
                <w:b/>
                <w:lang w:val="en-GB"/>
              </w:rPr>
              <w:t>Summary and purpose of document</w:t>
            </w:r>
          </w:p>
          <w:p w:rsidR="00FE3510" w:rsidRPr="00306148" w:rsidRDefault="00FE3510" w:rsidP="009B45DB">
            <w:pPr>
              <w:tabs>
                <w:tab w:val="left" w:pos="0"/>
              </w:tabs>
              <w:ind w:right="157"/>
              <w:jc w:val="both"/>
              <w:rPr>
                <w:rFonts w:cs="Arial"/>
                <w:lang w:val="en-GB"/>
              </w:rPr>
            </w:pPr>
          </w:p>
          <w:p w:rsidR="00FE3510" w:rsidRPr="00306148" w:rsidRDefault="00FE3510" w:rsidP="0057467F">
            <w:pPr>
              <w:tabs>
                <w:tab w:val="left" w:pos="148"/>
              </w:tabs>
              <w:ind w:left="148" w:right="157"/>
              <w:jc w:val="center"/>
              <w:rPr>
                <w:rFonts w:cs="Arial"/>
                <w:lang w:val="en-GB"/>
              </w:rPr>
            </w:pPr>
            <w:r w:rsidRPr="00306148">
              <w:rPr>
                <w:rFonts w:cs="Arial"/>
                <w:lang w:val="en-GB"/>
              </w:rPr>
              <w:t xml:space="preserve">This document provides information on </w:t>
            </w:r>
            <w:r w:rsidR="0057467F" w:rsidRPr="00306148">
              <w:rPr>
                <w:rFonts w:cs="Arial"/>
                <w:lang w:val="en-GB"/>
              </w:rPr>
              <w:t>outcomes from TT-PWPP-2</w:t>
            </w:r>
            <w:r w:rsidR="001E0593" w:rsidRPr="00306148">
              <w:rPr>
                <w:rFonts w:cs="Arial"/>
                <w:lang w:val="en-GB"/>
              </w:rPr>
              <w:t>.</w:t>
            </w:r>
          </w:p>
        </w:tc>
      </w:tr>
    </w:tbl>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tabs>
          <w:tab w:val="center" w:pos="4680"/>
        </w:tabs>
        <w:jc w:val="center"/>
        <w:rPr>
          <w:rFonts w:cs="Arial"/>
          <w:b/>
          <w:caps/>
          <w:lang w:val="en-GB"/>
        </w:rPr>
      </w:pPr>
      <w:r w:rsidRPr="00306148">
        <w:rPr>
          <w:rFonts w:cs="Arial"/>
          <w:b/>
          <w:caps/>
          <w:lang w:val="en-GB"/>
        </w:rPr>
        <w:t>Action proposed</w:t>
      </w:r>
    </w:p>
    <w:p w:rsidR="00FE3510" w:rsidRPr="00306148" w:rsidRDefault="00FE3510" w:rsidP="00FE3510">
      <w:pPr>
        <w:tabs>
          <w:tab w:val="center" w:pos="4680"/>
        </w:tabs>
        <w:rPr>
          <w:rFonts w:cs="Arial"/>
          <w:lang w:val="en-GB"/>
        </w:rPr>
      </w:pPr>
    </w:p>
    <w:p w:rsidR="00AF66A8" w:rsidRPr="00306148" w:rsidRDefault="00FE3510" w:rsidP="00A067CB">
      <w:pPr>
        <w:tabs>
          <w:tab w:val="left" w:pos="709"/>
          <w:tab w:val="left" w:pos="851"/>
        </w:tabs>
        <w:jc w:val="center"/>
        <w:rPr>
          <w:rFonts w:cs="Arial"/>
          <w:lang w:val="en-GB"/>
        </w:rPr>
      </w:pPr>
      <w:r w:rsidRPr="00306148">
        <w:rPr>
          <w:lang w:val="en-GB"/>
        </w:rPr>
        <w:t xml:space="preserve">The session will be informed </w:t>
      </w:r>
      <w:r w:rsidR="009F71D9" w:rsidRPr="00306148">
        <w:rPr>
          <w:rFonts w:cs="Arial"/>
          <w:lang w:val="en-GB"/>
        </w:rPr>
        <w:t xml:space="preserve">on the </w:t>
      </w:r>
      <w:r w:rsidR="0057467F" w:rsidRPr="00306148">
        <w:rPr>
          <w:rFonts w:cs="Arial"/>
          <w:lang w:val="en-GB"/>
        </w:rPr>
        <w:t xml:space="preserve">on outcomes from TT-PWPP-2 to be taken into account when considering the relevant Agenda Item. </w:t>
      </w:r>
      <w:r w:rsidR="00AF66A8" w:rsidRPr="00306148">
        <w:rPr>
          <w:rFonts w:cs="Arial"/>
          <w:lang w:val="en-GB"/>
        </w:rPr>
        <w:t xml:space="preserve"> </w:t>
      </w:r>
    </w:p>
    <w:p w:rsidR="006C1B6E" w:rsidRPr="00306148" w:rsidRDefault="006C1B6E" w:rsidP="00B75497">
      <w:pPr>
        <w:tabs>
          <w:tab w:val="left" w:pos="-1440"/>
          <w:tab w:val="left" w:pos="840"/>
        </w:tabs>
        <w:spacing w:before="60" w:after="120"/>
        <w:ind w:firstLine="840"/>
        <w:jc w:val="both"/>
        <w:rPr>
          <w:lang w:val="en-GB"/>
        </w:rPr>
      </w:pPr>
    </w:p>
    <w:p w:rsidR="00CF1D99" w:rsidRPr="00306148" w:rsidRDefault="00CF1D99" w:rsidP="00B75497">
      <w:pPr>
        <w:tabs>
          <w:tab w:val="left" w:pos="-1440"/>
          <w:tab w:val="left" w:pos="840"/>
        </w:tabs>
        <w:spacing w:before="60" w:after="120"/>
        <w:ind w:firstLine="840"/>
        <w:jc w:val="both"/>
        <w:rPr>
          <w:lang w:val="en-GB"/>
        </w:rPr>
      </w:pPr>
    </w:p>
    <w:p w:rsidR="00BC096D" w:rsidRPr="00306148" w:rsidRDefault="00BC096D" w:rsidP="00B75497">
      <w:pPr>
        <w:tabs>
          <w:tab w:val="left" w:pos="-1440"/>
          <w:tab w:val="left" w:pos="840"/>
        </w:tabs>
        <w:spacing w:before="60" w:after="120"/>
        <w:ind w:firstLine="840"/>
        <w:jc w:val="both"/>
        <w:rPr>
          <w:lang w:val="en-GB"/>
        </w:rPr>
      </w:pPr>
    </w:p>
    <w:p w:rsidR="00BF376C" w:rsidRPr="00306148" w:rsidRDefault="00BF376C" w:rsidP="00B75497">
      <w:pPr>
        <w:tabs>
          <w:tab w:val="left" w:pos="-1440"/>
          <w:tab w:val="left" w:pos="840"/>
        </w:tabs>
        <w:spacing w:before="60" w:after="120"/>
        <w:ind w:firstLine="840"/>
        <w:jc w:val="both"/>
        <w:rPr>
          <w:lang w:val="en-GB"/>
        </w:rPr>
      </w:pPr>
    </w:p>
    <w:p w:rsidR="00BF376C" w:rsidRPr="00306148" w:rsidRDefault="00BF376C" w:rsidP="00B75497">
      <w:pPr>
        <w:tabs>
          <w:tab w:val="left" w:pos="-1440"/>
          <w:tab w:val="left" w:pos="840"/>
        </w:tabs>
        <w:spacing w:before="60" w:after="120"/>
        <w:ind w:firstLine="840"/>
        <w:jc w:val="both"/>
        <w:rPr>
          <w:lang w:val="en-GB"/>
        </w:rPr>
      </w:pPr>
    </w:p>
    <w:p w:rsidR="00BC096D" w:rsidRPr="00306148" w:rsidRDefault="00BC096D" w:rsidP="00B75497">
      <w:pPr>
        <w:tabs>
          <w:tab w:val="left" w:pos="-1440"/>
          <w:tab w:val="left" w:pos="840"/>
        </w:tabs>
        <w:spacing w:before="60" w:after="120"/>
        <w:ind w:firstLine="840"/>
        <w:jc w:val="both"/>
        <w:rPr>
          <w:lang w:val="en-GB"/>
        </w:rPr>
      </w:pPr>
    </w:p>
    <w:p w:rsidR="00FE3510" w:rsidRPr="00306148" w:rsidRDefault="00574E8E" w:rsidP="00574E8E">
      <w:pPr>
        <w:tabs>
          <w:tab w:val="left" w:pos="-1440"/>
          <w:tab w:val="left" w:pos="840"/>
        </w:tabs>
        <w:spacing w:before="60" w:after="120"/>
        <w:jc w:val="both"/>
        <w:rPr>
          <w:b/>
          <w:lang w:val="en-GB"/>
        </w:rPr>
      </w:pPr>
      <w:r w:rsidRPr="00306148">
        <w:rPr>
          <w:b/>
          <w:lang w:val="en-GB"/>
        </w:rPr>
        <w:t>References:</w:t>
      </w:r>
    </w:p>
    <w:p w:rsidR="00F715D8" w:rsidRPr="00306148" w:rsidRDefault="0057467F" w:rsidP="00795AE4">
      <w:pPr>
        <w:tabs>
          <w:tab w:val="left" w:pos="-1440"/>
          <w:tab w:val="left" w:pos="840"/>
        </w:tabs>
        <w:spacing w:before="60" w:after="120"/>
        <w:jc w:val="both"/>
        <w:rPr>
          <w:color w:val="0000FF"/>
          <w:lang w:val="en-GB"/>
        </w:rPr>
      </w:pPr>
      <w:hyperlink r:id="rId7" w:history="1">
        <w:r w:rsidRPr="00306148">
          <w:rPr>
            <w:rStyle w:val="Hyperlink"/>
            <w:lang w:val="en-GB"/>
          </w:rPr>
          <w:t>Final R</w:t>
        </w:r>
        <w:r w:rsidRPr="00306148">
          <w:rPr>
            <w:rStyle w:val="Hyperlink"/>
            <w:lang w:val="en-GB"/>
          </w:rPr>
          <w:t>e</w:t>
        </w:r>
        <w:r w:rsidRPr="00306148">
          <w:rPr>
            <w:rStyle w:val="Hyperlink"/>
            <w:lang w:val="en-GB"/>
          </w:rPr>
          <w:t>port from ICG-WIGOS Task Te</w:t>
        </w:r>
        <w:r w:rsidRPr="00306148">
          <w:rPr>
            <w:rStyle w:val="Hyperlink"/>
            <w:lang w:val="en-GB"/>
          </w:rPr>
          <w:t>a</w:t>
        </w:r>
        <w:r w:rsidRPr="00306148">
          <w:rPr>
            <w:rStyle w:val="Hyperlink"/>
            <w:lang w:val="en-GB"/>
          </w:rPr>
          <w:t xml:space="preserve">m on </w:t>
        </w:r>
        <w:r w:rsidRPr="00306148">
          <w:rPr>
            <w:rStyle w:val="Hyperlink"/>
            <w:lang w:val="en-GB"/>
          </w:rPr>
          <w:t>P</w:t>
        </w:r>
        <w:r w:rsidRPr="00306148">
          <w:rPr>
            <w:rStyle w:val="Hyperlink"/>
            <w:lang w:val="en-GB"/>
          </w:rPr>
          <w:t>lanning for the WIGOS Pre-Operational Phase, Second Session, Geneva, 15-17 September 2015</w:t>
        </w:r>
      </w:hyperlink>
    </w:p>
    <w:p w:rsidR="008024DA" w:rsidRPr="00306148" w:rsidRDefault="00A30F78" w:rsidP="006C1B6E">
      <w:pPr>
        <w:spacing w:before="60" w:after="120"/>
        <w:jc w:val="center"/>
        <w:rPr>
          <w:rFonts w:cs="Arial"/>
          <w:lang w:val="en-GB"/>
        </w:rPr>
      </w:pPr>
      <w:r w:rsidRPr="00306148">
        <w:rPr>
          <w:rFonts w:cs="Arial"/>
          <w:lang w:val="en-GB"/>
        </w:rPr>
        <w:t>____________</w:t>
      </w:r>
    </w:p>
    <w:p w:rsidR="00764BAD" w:rsidRPr="00306148" w:rsidRDefault="00764BAD" w:rsidP="00673FC9">
      <w:pPr>
        <w:tabs>
          <w:tab w:val="left" w:pos="720"/>
        </w:tabs>
        <w:spacing w:before="60" w:after="120"/>
        <w:jc w:val="center"/>
        <w:rPr>
          <w:rFonts w:cs="Arial"/>
          <w:lang w:val="en-GB"/>
        </w:rPr>
      </w:pPr>
    </w:p>
    <w:p w:rsidR="00764BAD" w:rsidRPr="00306148" w:rsidRDefault="00764BAD" w:rsidP="006C1B6E">
      <w:pPr>
        <w:spacing w:before="60" w:after="120"/>
        <w:jc w:val="center"/>
        <w:rPr>
          <w:rFonts w:cs="Arial"/>
          <w:lang w:val="en-GB"/>
        </w:rPr>
        <w:sectPr w:rsidR="00764BAD" w:rsidRPr="00306148" w:rsidSect="00FE3510">
          <w:headerReference w:type="even" r:id="rId8"/>
          <w:headerReference w:type="default" r:id="rId9"/>
          <w:headerReference w:type="first" r:id="rId10"/>
          <w:pgSz w:w="11907" w:h="16840" w:code="9"/>
          <w:pgMar w:top="1134" w:right="1134" w:bottom="1134" w:left="1134" w:header="720" w:footer="731" w:gutter="0"/>
          <w:cols w:space="720"/>
          <w:titlePg/>
          <w:docGrid w:linePitch="326"/>
        </w:sectPr>
      </w:pPr>
    </w:p>
    <w:p w:rsidR="00764BAD" w:rsidRPr="00306148" w:rsidRDefault="0057467F" w:rsidP="0057467F">
      <w:pPr>
        <w:spacing w:before="60" w:after="120"/>
        <w:rPr>
          <w:rFonts w:cs="Arial"/>
          <w:b/>
          <w:lang w:val="en-GB"/>
        </w:rPr>
      </w:pPr>
      <w:r w:rsidRPr="00306148">
        <w:rPr>
          <w:b/>
          <w:caps/>
          <w:lang w:val="en-GB"/>
        </w:rPr>
        <w:lastRenderedPageBreak/>
        <w:t>4.</w:t>
      </w:r>
      <w:r w:rsidR="00F263F3">
        <w:rPr>
          <w:b/>
          <w:caps/>
          <w:lang w:val="en-GB"/>
        </w:rPr>
        <w:t>3.</w:t>
      </w:r>
      <w:r w:rsidRPr="00306148">
        <w:rPr>
          <w:b/>
          <w:caps/>
          <w:lang w:val="en-GB"/>
        </w:rPr>
        <w:t>1.</w:t>
      </w:r>
      <w:r w:rsidRPr="00306148">
        <w:rPr>
          <w:b/>
          <w:caps/>
          <w:lang w:val="en-GB"/>
        </w:rPr>
        <w:tab/>
        <w:t>REVIEW OF OUTCOMES FROM TT-PWPP-2</w:t>
      </w:r>
    </w:p>
    <w:p w:rsidR="0011534F" w:rsidRPr="00306148" w:rsidRDefault="0011534F" w:rsidP="00B71A96">
      <w:pPr>
        <w:autoSpaceDE w:val="0"/>
        <w:autoSpaceDN w:val="0"/>
        <w:adjustRightInd w:val="0"/>
        <w:jc w:val="both"/>
        <w:rPr>
          <w:rFonts w:ascii="ArialMT" w:eastAsia="MS Mincho" w:hAnsi="ArialMT" w:cs="ArialMT"/>
          <w:color w:val="000000"/>
          <w:lang w:val="en-GB" w:eastAsia="zh-TW"/>
        </w:rPr>
      </w:pPr>
    </w:p>
    <w:p w:rsidR="007B7295" w:rsidRPr="00306148" w:rsidRDefault="007B7295" w:rsidP="007B7295">
      <w:pPr>
        <w:autoSpaceDE w:val="0"/>
        <w:autoSpaceDN w:val="0"/>
        <w:adjustRightInd w:val="0"/>
        <w:jc w:val="both"/>
        <w:rPr>
          <w:rFonts w:eastAsia="MS Mincho" w:cs="Arial"/>
          <w:b/>
          <w:color w:val="000000"/>
          <w:lang w:val="en-GB" w:eastAsia="zh-TW"/>
        </w:rPr>
      </w:pPr>
      <w:r w:rsidRPr="00306148">
        <w:rPr>
          <w:rFonts w:eastAsia="MS Mincho" w:cs="Arial"/>
          <w:b/>
          <w:color w:val="000000"/>
          <w:lang w:val="en-GB" w:eastAsia="zh-TW"/>
        </w:rPr>
        <w:t xml:space="preserve">I. Background </w:t>
      </w:r>
    </w:p>
    <w:p w:rsidR="007B7295" w:rsidRPr="00306148" w:rsidRDefault="007B7295" w:rsidP="007B7295">
      <w:pPr>
        <w:autoSpaceDE w:val="0"/>
        <w:autoSpaceDN w:val="0"/>
        <w:adjustRightInd w:val="0"/>
        <w:jc w:val="both"/>
        <w:rPr>
          <w:rFonts w:eastAsia="MS Mincho" w:cs="Arial"/>
          <w:b/>
          <w:color w:val="000000"/>
          <w:lang w:val="en-GB" w:eastAsia="zh-TW"/>
        </w:rPr>
      </w:pPr>
    </w:p>
    <w:p w:rsidR="007B7295" w:rsidRPr="00306148" w:rsidRDefault="007B7295" w:rsidP="00F263F3">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The Second Session of the Inter-Commission Coordination Group on the WMO Integrated Global Observing System (ICG-WIGOS) Task Team on the Plan for the WIGOS Pre-operational Phase (TT-WPP-2) was held at the WMO Secretariat in Geneva, Switzerland, from 15 to 17 September 2015. The session was chaired by Dr Sue Barrell (Australia), Co-Chair of ICG-WIGOS and Vice President of CBS, and Prof Bertrand Calpini, Co-Chair of ICG-WIGOS and President of CIMO.</w:t>
      </w:r>
    </w:p>
    <w:p w:rsidR="007B7295" w:rsidRPr="00306148" w:rsidRDefault="007B7295" w:rsidP="007B7295">
      <w:pPr>
        <w:autoSpaceDE w:val="0"/>
        <w:autoSpaceDN w:val="0"/>
        <w:adjustRightInd w:val="0"/>
        <w:jc w:val="both"/>
        <w:rPr>
          <w:rFonts w:ascii="ArialMT" w:eastAsia="MS Mincho" w:hAnsi="ArialMT" w:cs="ArialMT"/>
          <w:color w:val="000000"/>
          <w:lang w:val="en-GB" w:eastAsia="zh-TW"/>
        </w:rPr>
      </w:pPr>
    </w:p>
    <w:p w:rsidR="007B7295" w:rsidRPr="00306148" w:rsidRDefault="007B7295"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The session discussed each of the five key priority areas for the WIGOS Pre-operational Phase (2016-2019). Concise timelines with deadlines and deliverables for each of the priority areas were developed (</w:t>
      </w:r>
      <w:hyperlink r:id="rId11" w:history="1">
        <w:r w:rsidRPr="00F263F3">
          <w:rPr>
            <w:rStyle w:val="Hyperlink"/>
            <w:lang w:val="en-GB"/>
          </w:rPr>
          <w:t>See Appendices II – VI of the Final Report</w:t>
        </w:r>
      </w:hyperlink>
      <w:r w:rsidRPr="00306148">
        <w:rPr>
          <w:lang w:val="en-GB"/>
        </w:rPr>
        <w:t>).</w:t>
      </w:r>
    </w:p>
    <w:p w:rsidR="007B7295" w:rsidRPr="00306148" w:rsidRDefault="007B7295" w:rsidP="007B7295">
      <w:pPr>
        <w:autoSpaceDE w:val="0"/>
        <w:autoSpaceDN w:val="0"/>
        <w:adjustRightInd w:val="0"/>
        <w:jc w:val="both"/>
        <w:rPr>
          <w:rFonts w:ascii="ArialMT" w:eastAsia="MS Mincho" w:hAnsi="ArialMT" w:cs="ArialMT"/>
          <w:color w:val="000000"/>
          <w:lang w:val="en-GB" w:eastAsia="zh-TW"/>
        </w:rPr>
      </w:pPr>
    </w:p>
    <w:p w:rsidR="007B7295" w:rsidRPr="00306148" w:rsidRDefault="007B7295"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TT-PWPP-2 further formulated the way forward for the WIGOS development and agreed on a number of deliverables to be presented to ICG-WIGOS-5, with a view to subsequent submission to EC-68 for approval (see below under II.).</w:t>
      </w:r>
    </w:p>
    <w:p w:rsidR="007B7295" w:rsidRPr="00306148" w:rsidRDefault="007B7295" w:rsidP="007B7295">
      <w:pPr>
        <w:autoSpaceDE w:val="0"/>
        <w:autoSpaceDN w:val="0"/>
        <w:adjustRightInd w:val="0"/>
        <w:jc w:val="both"/>
        <w:rPr>
          <w:rFonts w:ascii="ArialMT" w:eastAsia="MS Mincho" w:hAnsi="ArialMT" w:cs="ArialMT"/>
          <w:color w:val="000000"/>
          <w:lang w:val="en-GB" w:eastAsia="zh-TW"/>
        </w:rPr>
      </w:pPr>
    </w:p>
    <w:p w:rsidR="007B7295" w:rsidRPr="00306148" w:rsidRDefault="007B7295"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Finally, the session reviewed the linkages between WIGOS and other WMO priority areas and provided its recommendations on how to improve the exploitation of the synergies between them.</w:t>
      </w:r>
    </w:p>
    <w:p w:rsidR="007B7295" w:rsidRPr="00306148" w:rsidRDefault="007B7295" w:rsidP="007B7295">
      <w:pPr>
        <w:autoSpaceDE w:val="0"/>
        <w:autoSpaceDN w:val="0"/>
        <w:adjustRightInd w:val="0"/>
        <w:jc w:val="both"/>
        <w:rPr>
          <w:lang w:val="en-GB"/>
        </w:rPr>
      </w:pPr>
    </w:p>
    <w:p w:rsidR="007B7295" w:rsidRPr="00306148" w:rsidRDefault="007B7295" w:rsidP="00F817E6">
      <w:pPr>
        <w:autoSpaceDE w:val="0"/>
        <w:autoSpaceDN w:val="0"/>
        <w:adjustRightInd w:val="0"/>
        <w:spacing w:after="120"/>
        <w:jc w:val="both"/>
        <w:rPr>
          <w:rFonts w:eastAsia="MS Mincho" w:cs="Arial"/>
          <w:b/>
          <w:color w:val="000000"/>
          <w:lang w:val="en-GB" w:eastAsia="zh-TW"/>
        </w:rPr>
      </w:pPr>
      <w:r w:rsidRPr="00306148">
        <w:rPr>
          <w:rFonts w:eastAsia="MS Mincho" w:cs="Arial"/>
          <w:b/>
          <w:color w:val="000000"/>
          <w:lang w:val="en-GB" w:eastAsia="zh-TW"/>
        </w:rPr>
        <w:t>II. Outcomes</w:t>
      </w:r>
    </w:p>
    <w:p w:rsidR="00F817E6" w:rsidRPr="00306148" w:rsidRDefault="00306148" w:rsidP="00F817E6">
      <w:pPr>
        <w:autoSpaceDE w:val="0"/>
        <w:autoSpaceDN w:val="0"/>
        <w:adjustRightInd w:val="0"/>
        <w:spacing w:before="60" w:after="60"/>
        <w:jc w:val="both"/>
        <w:rPr>
          <w:rFonts w:eastAsia="MS Mincho" w:cs="Arial"/>
          <w:b/>
          <w:i/>
          <w:color w:val="000000"/>
          <w:lang w:val="en-GB" w:eastAsia="zh-TW"/>
        </w:rPr>
      </w:pPr>
      <w:r w:rsidRPr="00306148">
        <w:rPr>
          <w:rFonts w:eastAsia="MS Mincho" w:cs="Arial"/>
          <w:b/>
          <w:i/>
          <w:color w:val="000000"/>
          <w:lang w:val="en-GB" w:eastAsia="zh-TW"/>
        </w:rPr>
        <w:t>i</w:t>
      </w:r>
      <w:r w:rsidR="00F817E6" w:rsidRPr="00306148">
        <w:rPr>
          <w:rFonts w:eastAsia="MS Mincho" w:cs="Arial"/>
          <w:b/>
          <w:i/>
          <w:color w:val="000000"/>
          <w:lang w:val="en-GB" w:eastAsia="zh-TW"/>
        </w:rPr>
        <w:t>) National WIGOS Implementation</w:t>
      </w:r>
    </w:p>
    <w:p w:rsidR="007B7295" w:rsidRPr="00306148" w:rsidRDefault="0020219F"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TT-PWPP-2 agreed that a </w:t>
      </w:r>
      <w:r w:rsidR="0011498D" w:rsidRPr="00306148">
        <w:rPr>
          <w:lang w:val="en-GB"/>
        </w:rPr>
        <w:t>‘</w:t>
      </w:r>
      <w:r w:rsidRPr="00306148">
        <w:rPr>
          <w:lang w:val="en-GB"/>
        </w:rPr>
        <w:t>cookbook</w:t>
      </w:r>
      <w:r w:rsidR="0011498D" w:rsidRPr="00306148">
        <w:rPr>
          <w:lang w:val="en-GB"/>
        </w:rPr>
        <w:t>’</w:t>
      </w:r>
      <w:r w:rsidRPr="00306148">
        <w:rPr>
          <w:lang w:val="en-GB"/>
        </w:rPr>
        <w:t xml:space="preserve"> approach to the overall WIGOS implementation imposed on all WMO Members was not appropriate; however, a step-by-step guidance to OSCAR/Surface and WDQMS would be useful. It would be further developed and incorporated into the Guide to WIGOS. </w:t>
      </w:r>
    </w:p>
    <w:p w:rsidR="0020219F" w:rsidRPr="00306148" w:rsidRDefault="0020219F" w:rsidP="0020219F">
      <w:pPr>
        <w:autoSpaceDE w:val="0"/>
        <w:autoSpaceDN w:val="0"/>
        <w:adjustRightInd w:val="0"/>
        <w:jc w:val="both"/>
        <w:rPr>
          <w:rFonts w:ascii="ArialMT" w:eastAsia="MS Mincho" w:hAnsi="ArialMT" w:cs="ArialMT"/>
          <w:color w:val="000000"/>
          <w:lang w:val="en-GB" w:eastAsia="zh-TW"/>
        </w:rPr>
      </w:pPr>
    </w:p>
    <w:p w:rsidR="0011498D" w:rsidRPr="00306148" w:rsidRDefault="00DF0102" w:rsidP="0011498D">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It was recognized that beyond the technical aspects involving OSCAR/Surface and the WDQMS, the biggest issue facing the WMO Members in their national implementations have to do with partnering with external (non-NMHS) data providers. It was agreed that there would be value in the development of a set of "partnership principles", with nationally relevant examples, to assist Members. The idea of establishing a Task Team on Data Partnerships was discussed, and it was recommended that ICG-WIGOS-5 establish such a team.</w:t>
      </w:r>
    </w:p>
    <w:p w:rsidR="0011498D" w:rsidRPr="00306148" w:rsidRDefault="0011498D" w:rsidP="0011498D">
      <w:pPr>
        <w:autoSpaceDE w:val="0"/>
        <w:autoSpaceDN w:val="0"/>
        <w:adjustRightInd w:val="0"/>
        <w:jc w:val="both"/>
        <w:rPr>
          <w:rFonts w:ascii="ArialMT" w:eastAsia="MS Mincho" w:hAnsi="ArialMT" w:cs="ArialMT"/>
          <w:color w:val="000000"/>
          <w:lang w:val="en-GB" w:eastAsia="zh-TW"/>
        </w:rPr>
      </w:pPr>
    </w:p>
    <w:p w:rsidR="00DF0102" w:rsidRPr="00306148" w:rsidRDefault="0011498D" w:rsidP="0011498D">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It was agreed that successful national WIGOS implementation requires well-targeted communication at all levels in order to stimulate the uptake of WIGOS among the Members. It was further agreed that development and deployment of effective e-learning materials addressing technical and management aspects of WIGOS is essential to help prepare Members for being “WIGOS Ready” by Cg-</w:t>
      </w:r>
      <w:r w:rsidR="007D42F2" w:rsidRPr="00306148">
        <w:rPr>
          <w:lang w:val="en-GB"/>
        </w:rPr>
        <w:t>18</w:t>
      </w:r>
      <w:r w:rsidRPr="00306148">
        <w:rPr>
          <w:lang w:val="en-GB"/>
        </w:rPr>
        <w:t>.</w:t>
      </w:r>
    </w:p>
    <w:p w:rsidR="0011498D" w:rsidRPr="00306148" w:rsidRDefault="0011498D" w:rsidP="0011498D">
      <w:pPr>
        <w:autoSpaceDE w:val="0"/>
        <w:autoSpaceDN w:val="0"/>
        <w:adjustRightInd w:val="0"/>
        <w:jc w:val="both"/>
        <w:rPr>
          <w:rFonts w:ascii="ArialMT" w:eastAsia="MS Mincho" w:hAnsi="ArialMT" w:cs="ArialMT"/>
          <w:color w:val="000000"/>
          <w:lang w:val="en-GB" w:eastAsia="zh-TW"/>
        </w:rPr>
      </w:pPr>
    </w:p>
    <w:p w:rsidR="0011498D" w:rsidRPr="00306148" w:rsidRDefault="007D42F2"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The Secretariat was tasked to draft the concept of WIGOS readiness levels for approval at ICG-WIGOS-5. The lowest level of readiness would include (i) registration in OSCAR/Surface of all stations for which observations are exchanged internationally, (ii) implementation of WIGOS metadata; (iii) implementation of new Station IDs and (iv) development of a national process for receiving and acting on quality problem information from the WDQMS.</w:t>
      </w:r>
    </w:p>
    <w:p w:rsidR="0011498D" w:rsidRPr="00306148" w:rsidRDefault="0011498D" w:rsidP="0011498D">
      <w:pPr>
        <w:autoSpaceDE w:val="0"/>
        <w:autoSpaceDN w:val="0"/>
        <w:adjustRightInd w:val="0"/>
        <w:jc w:val="both"/>
        <w:rPr>
          <w:rFonts w:ascii="ArialMT" w:eastAsia="MS Mincho" w:hAnsi="ArialMT" w:cs="ArialMT"/>
          <w:color w:val="000000"/>
          <w:lang w:val="en-GB" w:eastAsia="zh-TW"/>
        </w:rPr>
      </w:pPr>
    </w:p>
    <w:p w:rsidR="00306148" w:rsidRPr="00306148" w:rsidRDefault="00306148" w:rsidP="00306148">
      <w:pPr>
        <w:autoSpaceDE w:val="0"/>
        <w:autoSpaceDN w:val="0"/>
        <w:adjustRightInd w:val="0"/>
        <w:spacing w:after="60"/>
        <w:jc w:val="both"/>
        <w:rPr>
          <w:rFonts w:ascii="ArialMT" w:eastAsia="MS Mincho" w:hAnsi="ArialMT" w:cs="ArialMT"/>
          <w:i/>
          <w:color w:val="000000"/>
          <w:lang w:val="en-GB" w:eastAsia="zh-TW"/>
        </w:rPr>
      </w:pPr>
      <w:r w:rsidRPr="00306148">
        <w:rPr>
          <w:rFonts w:eastAsia="MS Mincho" w:cs="Arial"/>
          <w:b/>
          <w:i/>
          <w:color w:val="000000"/>
          <w:lang w:val="en-GB" w:eastAsia="zh-TW"/>
        </w:rPr>
        <w:t xml:space="preserve">ii) </w:t>
      </w:r>
      <w:r w:rsidRPr="00306148">
        <w:rPr>
          <w:rStyle w:val="None"/>
          <w:b/>
          <w:bCs/>
          <w:i/>
          <w:lang w:val="en-GB"/>
        </w:rPr>
        <w:t>WIGOS Regulatory Material complemented with necessary guidance material to assist  Members with the implementation of the WIGOS technical regulations</w:t>
      </w:r>
    </w:p>
    <w:p w:rsidR="00306148" w:rsidRPr="00306148" w:rsidRDefault="00306148" w:rsidP="007B7295">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 xml:space="preserve">The 2019 edition of the </w:t>
      </w:r>
      <w:r w:rsidRPr="00306148">
        <w:rPr>
          <w:rStyle w:val="None"/>
          <w:i/>
          <w:iCs/>
          <w:lang w:val="en-GB"/>
        </w:rPr>
        <w:t>Manual on WIGOS</w:t>
      </w:r>
      <w:r w:rsidRPr="00306148">
        <w:rPr>
          <w:lang w:val="en-GB"/>
        </w:rPr>
        <w:t xml:space="preserve"> is planned to include (i) a full integration of the existing </w:t>
      </w:r>
      <w:r w:rsidRPr="00306148">
        <w:rPr>
          <w:rStyle w:val="None"/>
          <w:i/>
          <w:iCs/>
          <w:lang w:val="en-GB"/>
        </w:rPr>
        <w:t>Manual on the Global Observing System</w:t>
      </w:r>
      <w:r w:rsidRPr="00306148">
        <w:rPr>
          <w:lang w:val="en-GB"/>
        </w:rPr>
        <w:t xml:space="preserve">, the existing version of which will be retired at that point, and (ii) new text on the Regional Basic Observing Networks (RBON), which will replace </w:t>
      </w:r>
      <w:r w:rsidRPr="00306148">
        <w:rPr>
          <w:lang w:val="en-GB"/>
        </w:rPr>
        <w:lastRenderedPageBreak/>
        <w:t>and expand upon the existing Regional Basic Synoptic Networks (RBSN) and Regional Basic Climate Networks (RBCN).</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306148">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 xml:space="preserve">Concerning the plans for the </w:t>
      </w:r>
      <w:r w:rsidRPr="00306148">
        <w:rPr>
          <w:rStyle w:val="None"/>
          <w:i/>
          <w:iCs/>
          <w:lang w:val="en-GB"/>
        </w:rPr>
        <w:t xml:space="preserve">Guide to WIGOS, </w:t>
      </w:r>
      <w:r w:rsidRPr="00306148">
        <w:rPr>
          <w:lang w:val="en-GB"/>
        </w:rPr>
        <w:t xml:space="preserve">the participants were briefed on the need to have material available for Members by July 1 2016, which is the date on which the </w:t>
      </w:r>
      <w:r w:rsidRPr="00306148">
        <w:rPr>
          <w:rStyle w:val="None"/>
          <w:i/>
          <w:iCs/>
          <w:lang w:val="en-GB"/>
        </w:rPr>
        <w:t>Manual on WIGOS</w:t>
      </w:r>
      <w:r w:rsidRPr="00306148">
        <w:rPr>
          <w:lang w:val="en-GB"/>
        </w:rPr>
        <w:t xml:space="preserve"> takes effect. Guidance is most urgently needed in the following areas:</w:t>
      </w:r>
    </w:p>
    <w:p w:rsidR="00306148" w:rsidRPr="00306148" w:rsidRDefault="00306148" w:rsidP="00306148">
      <w:pPr>
        <w:pStyle w:val="Body"/>
        <w:widowControl w:val="0"/>
        <w:numPr>
          <w:ilvl w:val="3"/>
          <w:numId w:val="45"/>
        </w:numPr>
        <w:tabs>
          <w:tab w:val="left" w:pos="426"/>
        </w:tabs>
        <w:ind w:hanging="2313"/>
        <w:jc w:val="left"/>
      </w:pPr>
      <w:r w:rsidRPr="00306148">
        <w:t>OSCAR, Metadata, Station IDs and Quality monitoring;</w:t>
      </w:r>
    </w:p>
    <w:p w:rsidR="00306148" w:rsidRPr="00306148" w:rsidRDefault="00306148" w:rsidP="00306148">
      <w:pPr>
        <w:pStyle w:val="Body"/>
        <w:widowControl w:val="0"/>
        <w:numPr>
          <w:ilvl w:val="3"/>
          <w:numId w:val="45"/>
        </w:numPr>
        <w:tabs>
          <w:tab w:val="left" w:pos="426"/>
        </w:tabs>
        <w:ind w:hanging="2313"/>
        <w:jc w:val="left"/>
      </w:pPr>
      <w:r w:rsidRPr="00306148">
        <w:t>Regional WIGOS Centres, AWS, National partnerships;</w:t>
      </w:r>
    </w:p>
    <w:p w:rsidR="00306148" w:rsidRPr="00306148" w:rsidRDefault="00306148" w:rsidP="00306148">
      <w:pPr>
        <w:pStyle w:val="Body"/>
        <w:widowControl w:val="0"/>
        <w:numPr>
          <w:ilvl w:val="3"/>
          <w:numId w:val="45"/>
        </w:numPr>
        <w:tabs>
          <w:tab w:val="left" w:pos="426"/>
        </w:tabs>
        <w:ind w:hanging="2313"/>
        <w:jc w:val="left"/>
      </w:pPr>
      <w:r w:rsidRPr="00306148">
        <w:t>National observing strategy, RBON, and integration of space-based observations.</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F263F3" w:rsidRDefault="00F263F3" w:rsidP="00F263F3">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F263F3">
        <w:rPr>
          <w:rFonts w:ascii="ArialMT" w:eastAsia="MS Mincho" w:hAnsi="ArialMT" w:cs="ArialMT"/>
          <w:color w:val="000000"/>
          <w:lang w:val="en-GB" w:eastAsia="zh-TW"/>
        </w:rPr>
        <w:t>The guidance material for the areas listed under item 1</w:t>
      </w:r>
      <w:r>
        <w:rPr>
          <w:rFonts w:ascii="ArialMT" w:eastAsia="MS Mincho" w:hAnsi="ArialMT" w:cs="ArialMT"/>
          <w:color w:val="000000"/>
          <w:lang w:val="en-GB" w:eastAsia="zh-TW"/>
        </w:rPr>
        <w:t>.</w:t>
      </w:r>
      <w:r w:rsidRPr="00F263F3">
        <w:rPr>
          <w:rFonts w:ascii="ArialMT" w:eastAsia="MS Mincho" w:hAnsi="ArialMT" w:cs="ArialMT"/>
          <w:color w:val="000000"/>
          <w:lang w:val="en-GB" w:eastAsia="zh-TW"/>
        </w:rPr>
        <w:t xml:space="preserve"> in par</w:t>
      </w:r>
      <w:r>
        <w:rPr>
          <w:rFonts w:ascii="ArialMT" w:eastAsia="MS Mincho" w:hAnsi="ArialMT" w:cs="ArialMT"/>
          <w:color w:val="000000"/>
          <w:lang w:val="en-GB" w:eastAsia="zh-TW"/>
        </w:rPr>
        <w:t xml:space="preserve">agraph </w:t>
      </w:r>
      <w:r w:rsidRPr="00F263F3">
        <w:rPr>
          <w:rFonts w:ascii="ArialMT" w:eastAsia="MS Mincho" w:hAnsi="ArialMT" w:cs="ArialMT"/>
          <w:color w:val="000000"/>
          <w:lang w:val="en-GB" w:eastAsia="zh-TW"/>
        </w:rPr>
        <w:t>4.</w:t>
      </w:r>
      <w:r>
        <w:rPr>
          <w:rFonts w:ascii="ArialMT" w:eastAsia="MS Mincho" w:hAnsi="ArialMT" w:cs="ArialMT"/>
          <w:color w:val="000000"/>
          <w:lang w:val="en-GB" w:eastAsia="zh-TW"/>
        </w:rPr>
        <w:t>3</w:t>
      </w:r>
      <w:r w:rsidRPr="00F263F3">
        <w:rPr>
          <w:rFonts w:ascii="ArialMT" w:eastAsia="MS Mincho" w:hAnsi="ArialMT" w:cs="ArialMT"/>
          <w:color w:val="000000"/>
          <w:lang w:val="en-GB" w:eastAsia="zh-TW"/>
        </w:rPr>
        <w:t>.</w:t>
      </w:r>
      <w:r>
        <w:rPr>
          <w:rFonts w:ascii="ArialMT" w:eastAsia="MS Mincho" w:hAnsi="ArialMT" w:cs="ArialMT"/>
          <w:color w:val="000000"/>
          <w:lang w:val="en-GB" w:eastAsia="zh-TW"/>
        </w:rPr>
        <w:t>1.10</w:t>
      </w:r>
      <w:r w:rsidRPr="00F263F3">
        <w:rPr>
          <w:rFonts w:ascii="ArialMT" w:eastAsia="MS Mincho" w:hAnsi="ArialMT" w:cs="ArialMT"/>
          <w:color w:val="000000"/>
          <w:lang w:val="en-GB" w:eastAsia="zh-TW"/>
        </w:rPr>
        <w:t xml:space="preserve"> is needed in the initial version of the Guide to WIGOS, and the material for those listed under 2</w:t>
      </w:r>
      <w:r>
        <w:rPr>
          <w:rFonts w:ascii="ArialMT" w:eastAsia="MS Mincho" w:hAnsi="ArialMT" w:cs="ArialMT"/>
          <w:color w:val="000000"/>
          <w:lang w:val="en-GB" w:eastAsia="zh-TW"/>
        </w:rPr>
        <w:t>.</w:t>
      </w:r>
      <w:r w:rsidRPr="00F263F3">
        <w:rPr>
          <w:rFonts w:ascii="ArialMT" w:eastAsia="MS Mincho" w:hAnsi="ArialMT" w:cs="ArialMT"/>
          <w:color w:val="000000"/>
          <w:lang w:val="en-GB" w:eastAsia="zh-TW"/>
        </w:rPr>
        <w:t xml:space="preserve"> and 3</w:t>
      </w:r>
      <w:r>
        <w:rPr>
          <w:rFonts w:ascii="ArialMT" w:eastAsia="MS Mincho" w:hAnsi="ArialMT" w:cs="ArialMT"/>
          <w:color w:val="000000"/>
          <w:lang w:val="en-GB" w:eastAsia="zh-TW"/>
        </w:rPr>
        <w:t>.</w:t>
      </w:r>
      <w:r w:rsidRPr="00F263F3">
        <w:rPr>
          <w:rFonts w:ascii="ArialMT" w:eastAsia="MS Mincho" w:hAnsi="ArialMT" w:cs="ArialMT"/>
          <w:color w:val="000000"/>
          <w:lang w:val="en-GB" w:eastAsia="zh-TW"/>
        </w:rPr>
        <w:t xml:space="preserve"> should be developed in subsequent steps.</w:t>
      </w:r>
    </w:p>
    <w:p w:rsidR="00F263F3" w:rsidRPr="00F263F3" w:rsidRDefault="00F263F3" w:rsidP="00F263F3">
      <w:pPr>
        <w:autoSpaceDE w:val="0"/>
        <w:autoSpaceDN w:val="0"/>
        <w:adjustRightInd w:val="0"/>
        <w:jc w:val="both"/>
        <w:rPr>
          <w:rFonts w:ascii="ArialMT" w:eastAsia="MS Mincho" w:hAnsi="ArialMT" w:cs="ArialMT"/>
          <w:color w:val="000000"/>
          <w:lang w:val="en-GB" w:eastAsia="zh-TW"/>
        </w:rPr>
      </w:pP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The initial Guide to WIGOS would be drafted by the Secretariat, and presented to ICG-WIGOS-5 in 2016 for review prior to submission to EC-68.</w:t>
      </w:r>
    </w:p>
    <w:p w:rsidR="005A41CB" w:rsidRPr="00306148" w:rsidRDefault="005A41CB"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It was decided that any regulatory and guidance material developed by the Secretariat should be reviewed by a Review Board prior to being submitted to the relevant Constituent Body Session. Such a Review Board would be constituted at ICG-WIGOS-5.</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306148">
      <w:pPr>
        <w:autoSpaceDE w:val="0"/>
        <w:autoSpaceDN w:val="0"/>
        <w:adjustRightInd w:val="0"/>
        <w:spacing w:after="60"/>
        <w:jc w:val="both"/>
        <w:rPr>
          <w:rFonts w:ascii="ArialMT" w:eastAsia="MS Mincho" w:hAnsi="ArialMT" w:cs="ArialMT"/>
          <w:i/>
          <w:color w:val="000000"/>
          <w:lang w:val="en-GB" w:eastAsia="zh-TW"/>
        </w:rPr>
      </w:pPr>
      <w:r w:rsidRPr="00306148">
        <w:rPr>
          <w:rStyle w:val="None"/>
          <w:b/>
          <w:bCs/>
          <w:i/>
          <w:lang w:val="en-GB"/>
        </w:rPr>
        <w:t>iii) Further development of the WIGOS Information Resource (WIR), with special emphasis on the operational deployment of the OSCAR databases</w:t>
      </w: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TT-PWPP recognized the need for all WMO Members to be given the opportunity to participate in training for OSCAR. It also strongly recommended to investigate the potential use of e-learning tools in support of this, both due to the need of several staff from each NMHS being trained in this, and due to ongoing turn-over of staff.</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lang w:val="en-GB"/>
        </w:rPr>
        <w:t>The “Standardisation of Observations References Tool” (SORT) was considered to be very useful, however such a tool should be based on a WMO-wide solution rather than on a custom solution unique to WIGOS. While waiting for such a solution to be developed, the design and definition work on SORT would be given lower priority.</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306148">
      <w:pPr>
        <w:autoSpaceDE w:val="0"/>
        <w:autoSpaceDN w:val="0"/>
        <w:adjustRightInd w:val="0"/>
        <w:spacing w:after="60"/>
        <w:jc w:val="both"/>
        <w:rPr>
          <w:rFonts w:eastAsia="MS Mincho" w:cs="Arial"/>
          <w:b/>
          <w:i/>
          <w:color w:val="000000"/>
          <w:lang w:val="en-GB" w:eastAsia="zh-TW"/>
        </w:rPr>
      </w:pPr>
      <w:r w:rsidRPr="00306148">
        <w:rPr>
          <w:rFonts w:eastAsia="MS Mincho" w:cs="Arial"/>
          <w:b/>
          <w:i/>
          <w:color w:val="000000"/>
          <w:lang w:val="en-GB" w:eastAsia="zh-TW"/>
        </w:rPr>
        <w:t xml:space="preserve">iv) </w:t>
      </w:r>
      <w:r w:rsidRPr="00306148">
        <w:rPr>
          <w:rStyle w:val="None"/>
          <w:rFonts w:cs="Arial"/>
          <w:b/>
          <w:bCs/>
          <w:i/>
          <w:lang w:val="en-GB"/>
        </w:rPr>
        <w:t>Development and implementation of the WIGOS Data Quality Monitoring System</w:t>
      </w: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rFonts w:eastAsia="Calibri" w:cs="Arial"/>
          <w:lang w:val="en-GB"/>
        </w:rPr>
        <w:t>Since the WDQMS will be one of the most important areas of technical development in the WIGOS Pre-operational Phase, the idea of establishing an ICG-WIGOS Task Team to follow this development was discussed. The meeting agreed that since the scope of the overall Quality Management task in the WIGOS Framework Implementation Plan now had been down to focusing exclusively on observational data quality monitoring during the Pre-operational Phase, the work of the existing Task Team on WIGOS Quality Management (TT-WQM) should be considered finished, and the meeting thanked the members of TT-WQM for their contributions. The session decided to propose to ICG-WIGOS-5 the establishment of a new task team on Quality Monitoring.</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57467F">
      <w:pPr>
        <w:numPr>
          <w:ilvl w:val="2"/>
          <w:numId w:val="42"/>
        </w:numPr>
        <w:autoSpaceDE w:val="0"/>
        <w:autoSpaceDN w:val="0"/>
        <w:adjustRightInd w:val="0"/>
        <w:ind w:left="0" w:firstLine="0"/>
        <w:jc w:val="both"/>
        <w:rPr>
          <w:rFonts w:ascii="ArialMT" w:eastAsia="MS Mincho" w:hAnsi="ArialMT" w:cs="ArialMT"/>
          <w:color w:val="000000"/>
          <w:lang w:val="en-GB" w:eastAsia="zh-TW"/>
        </w:rPr>
      </w:pPr>
      <w:r w:rsidRPr="00306148">
        <w:rPr>
          <w:rFonts w:eastAsia="Calibri" w:cs="Arial"/>
          <w:lang w:val="en-GB"/>
        </w:rPr>
        <w:t>The WDQMS should be seen as an integral part of the WIR.</w:t>
      </w:r>
    </w:p>
    <w:p w:rsidR="00306148" w:rsidRPr="00306148" w:rsidRDefault="00306148" w:rsidP="00306148">
      <w:pPr>
        <w:autoSpaceDE w:val="0"/>
        <w:autoSpaceDN w:val="0"/>
        <w:adjustRightInd w:val="0"/>
        <w:jc w:val="both"/>
        <w:rPr>
          <w:rFonts w:ascii="ArialMT" w:eastAsia="MS Mincho" w:hAnsi="ArialMT" w:cs="ArialMT"/>
          <w:color w:val="000000"/>
          <w:lang w:val="en-GB" w:eastAsia="zh-TW"/>
        </w:rPr>
      </w:pPr>
    </w:p>
    <w:p w:rsidR="00306148" w:rsidRPr="00306148" w:rsidRDefault="00306148" w:rsidP="00306148">
      <w:pPr>
        <w:autoSpaceDE w:val="0"/>
        <w:autoSpaceDN w:val="0"/>
        <w:adjustRightInd w:val="0"/>
        <w:spacing w:after="60"/>
        <w:jc w:val="both"/>
        <w:rPr>
          <w:rFonts w:ascii="ArialMT" w:eastAsia="MS Mincho" w:hAnsi="ArialMT" w:cs="ArialMT"/>
          <w:i/>
          <w:color w:val="000000"/>
          <w:lang w:val="en-GB" w:eastAsia="zh-TW"/>
        </w:rPr>
      </w:pPr>
      <w:r w:rsidRPr="00306148">
        <w:rPr>
          <w:rStyle w:val="None"/>
          <w:b/>
          <w:bCs/>
          <w:i/>
          <w:lang w:val="en-GB"/>
        </w:rPr>
        <w:t>v) Concept development and initial establishment of Regional WIGOS Centres</w:t>
      </w:r>
    </w:p>
    <w:p w:rsidR="00306148" w:rsidRPr="00306148" w:rsidRDefault="00306148" w:rsidP="0057467F">
      <w:pPr>
        <w:numPr>
          <w:ilvl w:val="2"/>
          <w:numId w:val="42"/>
        </w:numPr>
        <w:autoSpaceDE w:val="0"/>
        <w:autoSpaceDN w:val="0"/>
        <w:adjustRightInd w:val="0"/>
        <w:ind w:left="0" w:firstLine="0"/>
        <w:jc w:val="both"/>
        <w:rPr>
          <w:rStyle w:val="None"/>
          <w:rFonts w:ascii="ArialMT" w:eastAsia="MS Mincho" w:hAnsi="ArialMT" w:cs="ArialMT"/>
          <w:color w:val="000000"/>
          <w:lang w:val="en-GB" w:eastAsia="zh-TW"/>
        </w:rPr>
      </w:pPr>
      <w:r w:rsidRPr="00306148">
        <w:rPr>
          <w:rStyle w:val="None"/>
          <w:lang w:val="en-GB"/>
        </w:rPr>
        <w:t xml:space="preserve">The Secretariat was requested to develop a short Concept Note for the Regional WIGOS </w:t>
      </w:r>
      <w:r w:rsidR="00F263F3">
        <w:rPr>
          <w:rStyle w:val="None"/>
          <w:lang w:val="en-GB"/>
        </w:rPr>
        <w:t>Centres</w:t>
      </w:r>
      <w:r w:rsidRPr="00306148">
        <w:rPr>
          <w:rStyle w:val="None"/>
          <w:lang w:val="en-GB"/>
        </w:rPr>
        <w:t xml:space="preserve">, focusing exclusively on the expected tasks and responsibilities of the RWCs, without going into detail regarding the process for proposing, approving, establishing and reviewing such </w:t>
      </w:r>
      <w:r w:rsidR="00F263F3">
        <w:rPr>
          <w:rStyle w:val="None"/>
          <w:lang w:val="en-GB"/>
        </w:rPr>
        <w:t>Centres</w:t>
      </w:r>
      <w:r w:rsidRPr="00306148">
        <w:rPr>
          <w:rStyle w:val="None"/>
          <w:lang w:val="en-GB"/>
        </w:rPr>
        <w:t>. This should be presented in a number of relevant WMO contexts for further developments, starting with the PTC/PRA meeting in January 2016.</w:t>
      </w:r>
    </w:p>
    <w:p w:rsidR="00306148" w:rsidRPr="00306148" w:rsidRDefault="00306148" w:rsidP="00306148">
      <w:pPr>
        <w:autoSpaceDE w:val="0"/>
        <w:autoSpaceDN w:val="0"/>
        <w:adjustRightInd w:val="0"/>
        <w:jc w:val="both"/>
        <w:rPr>
          <w:rStyle w:val="None"/>
          <w:lang w:val="en-GB"/>
        </w:rPr>
      </w:pPr>
    </w:p>
    <w:p w:rsidR="00306148" w:rsidRPr="00306148" w:rsidRDefault="00306148" w:rsidP="00306148">
      <w:pPr>
        <w:autoSpaceDE w:val="0"/>
        <w:autoSpaceDN w:val="0"/>
        <w:adjustRightInd w:val="0"/>
        <w:spacing w:after="120"/>
        <w:jc w:val="both"/>
        <w:rPr>
          <w:rStyle w:val="None"/>
          <w:b/>
          <w:i/>
          <w:lang w:val="en-GB"/>
        </w:rPr>
      </w:pPr>
      <w:r w:rsidRPr="00306148">
        <w:rPr>
          <w:rStyle w:val="None"/>
          <w:b/>
          <w:i/>
          <w:lang w:val="en-GB"/>
        </w:rPr>
        <w:t>vi) Deliverables to ICG-WIGOS-5 and EC-68</w:t>
      </w:r>
    </w:p>
    <w:p w:rsidR="00306148" w:rsidRPr="00306148" w:rsidRDefault="00306148" w:rsidP="0057467F">
      <w:pPr>
        <w:numPr>
          <w:ilvl w:val="2"/>
          <w:numId w:val="42"/>
        </w:numPr>
        <w:autoSpaceDE w:val="0"/>
        <w:autoSpaceDN w:val="0"/>
        <w:adjustRightInd w:val="0"/>
        <w:ind w:left="0" w:firstLine="0"/>
        <w:jc w:val="both"/>
        <w:rPr>
          <w:rStyle w:val="None"/>
          <w:rFonts w:ascii="ArialMT" w:eastAsia="MS Mincho" w:hAnsi="ArialMT" w:cs="ArialMT"/>
          <w:color w:val="000000"/>
          <w:lang w:val="en-GB" w:eastAsia="zh-TW"/>
        </w:rPr>
      </w:pPr>
      <w:r w:rsidRPr="00306148">
        <w:rPr>
          <w:rStyle w:val="None"/>
          <w:lang w:val="en-GB"/>
        </w:rPr>
        <w:t>TT-PWPP agreed that the following deliverables should be developed by the Secretariat and provided to ICG-WIGOS-5 for its consideration and further actions prior to submission to EC-68:</w:t>
      </w:r>
    </w:p>
    <w:p w:rsidR="00306148" w:rsidRPr="00306148" w:rsidRDefault="00306148" w:rsidP="00306148">
      <w:pPr>
        <w:pStyle w:val="ListParagraph"/>
        <w:widowControl w:val="0"/>
        <w:numPr>
          <w:ilvl w:val="0"/>
          <w:numId w:val="48"/>
        </w:numPr>
        <w:pBdr>
          <w:top w:val="nil"/>
          <w:left w:val="nil"/>
          <w:bottom w:val="nil"/>
          <w:right w:val="nil"/>
          <w:between w:val="nil"/>
          <w:bar w:val="nil"/>
        </w:pBdr>
        <w:tabs>
          <w:tab w:val="left" w:pos="1134"/>
        </w:tabs>
        <w:spacing w:before="60" w:after="60"/>
        <w:ind w:firstLine="87"/>
        <w:rPr>
          <w:lang w:val="en-GB"/>
        </w:rPr>
      </w:pPr>
      <w:r w:rsidRPr="00306148">
        <w:rPr>
          <w:lang w:val="en-GB"/>
        </w:rPr>
        <w:lastRenderedPageBreak/>
        <w:t xml:space="preserve">A set of simple timelines, one for each of the five priority areas; </w:t>
      </w:r>
    </w:p>
    <w:p w:rsidR="00306148" w:rsidRPr="00306148" w:rsidRDefault="00306148" w:rsidP="00306148">
      <w:pPr>
        <w:pStyle w:val="ListParagraph"/>
        <w:widowControl w:val="0"/>
        <w:numPr>
          <w:ilvl w:val="0"/>
          <w:numId w:val="48"/>
        </w:numPr>
        <w:pBdr>
          <w:top w:val="nil"/>
          <w:left w:val="nil"/>
          <w:bottom w:val="nil"/>
          <w:right w:val="nil"/>
          <w:between w:val="nil"/>
          <w:bar w:val="nil"/>
        </w:pBdr>
        <w:tabs>
          <w:tab w:val="left" w:pos="1134"/>
        </w:tabs>
        <w:spacing w:before="60" w:after="60"/>
        <w:ind w:firstLine="87"/>
        <w:rPr>
          <w:lang w:val="en-GB"/>
        </w:rPr>
      </w:pPr>
      <w:r w:rsidRPr="00306148">
        <w:rPr>
          <w:lang w:val="en-GB"/>
        </w:rPr>
        <w:t>An overarching roadmap for WIGOS Pre-operational Phase with a focus on the implications for the NMHSs;</w:t>
      </w:r>
    </w:p>
    <w:p w:rsidR="00306148" w:rsidRPr="00306148" w:rsidRDefault="00306148" w:rsidP="00306148">
      <w:pPr>
        <w:pStyle w:val="ListParagraph"/>
        <w:widowControl w:val="0"/>
        <w:numPr>
          <w:ilvl w:val="0"/>
          <w:numId w:val="48"/>
        </w:numPr>
        <w:pBdr>
          <w:top w:val="nil"/>
          <w:left w:val="nil"/>
          <w:bottom w:val="nil"/>
          <w:right w:val="nil"/>
          <w:between w:val="nil"/>
          <w:bar w:val="nil"/>
        </w:pBdr>
        <w:tabs>
          <w:tab w:val="left" w:pos="1134"/>
        </w:tabs>
        <w:spacing w:before="60" w:after="60"/>
        <w:ind w:firstLine="87"/>
        <w:rPr>
          <w:lang w:val="en-GB"/>
        </w:rPr>
      </w:pPr>
      <w:r w:rsidRPr="00306148">
        <w:rPr>
          <w:lang w:val="en-GB"/>
        </w:rPr>
        <w:t>A graphical representation of various stages of WIGOS Readiness of the WMO Members, the lowest stage of which should be reached by all WMO Members by the end of the Pre-operational Period.</w:t>
      </w:r>
    </w:p>
    <w:p w:rsidR="00306148" w:rsidRPr="00306148" w:rsidRDefault="00306148" w:rsidP="00306148">
      <w:pPr>
        <w:pStyle w:val="ListParagraph"/>
        <w:widowControl w:val="0"/>
        <w:numPr>
          <w:ilvl w:val="0"/>
          <w:numId w:val="48"/>
        </w:numPr>
        <w:pBdr>
          <w:top w:val="nil"/>
          <w:left w:val="nil"/>
          <w:bottom w:val="nil"/>
          <w:right w:val="nil"/>
          <w:between w:val="nil"/>
          <w:bar w:val="nil"/>
        </w:pBdr>
        <w:tabs>
          <w:tab w:val="left" w:pos="1134"/>
        </w:tabs>
        <w:spacing w:before="60" w:after="60"/>
        <w:ind w:firstLine="87"/>
        <w:rPr>
          <w:lang w:val="en-GB"/>
        </w:rPr>
      </w:pPr>
      <w:r w:rsidRPr="00306148">
        <w:rPr>
          <w:lang w:val="en-GB"/>
        </w:rPr>
        <w:t xml:space="preserve">A short (one-page) Concept Note for Regional WIGOS </w:t>
      </w:r>
      <w:r w:rsidR="00F263F3">
        <w:rPr>
          <w:lang w:val="en-GB"/>
        </w:rPr>
        <w:t>Centres</w:t>
      </w:r>
      <w:r w:rsidRPr="00306148">
        <w:rPr>
          <w:lang w:val="en-GB"/>
        </w:rPr>
        <w:t>, describing the main intended functions and responsibilities of the RWCs, but not the process for proposing, approving, establishing and reviewing them;</w:t>
      </w:r>
    </w:p>
    <w:p w:rsidR="00306148" w:rsidRPr="00306148" w:rsidRDefault="00306148" w:rsidP="00306148">
      <w:pPr>
        <w:pStyle w:val="ListParagraph"/>
        <w:widowControl w:val="0"/>
        <w:numPr>
          <w:ilvl w:val="0"/>
          <w:numId w:val="48"/>
        </w:numPr>
        <w:pBdr>
          <w:top w:val="nil"/>
          <w:left w:val="nil"/>
          <w:bottom w:val="nil"/>
          <w:right w:val="nil"/>
          <w:between w:val="nil"/>
          <w:bar w:val="nil"/>
        </w:pBdr>
        <w:tabs>
          <w:tab w:val="left" w:pos="1134"/>
        </w:tabs>
        <w:spacing w:before="60" w:after="60"/>
        <w:ind w:firstLine="87"/>
        <w:rPr>
          <w:lang w:val="en-GB"/>
        </w:rPr>
      </w:pPr>
      <w:r w:rsidRPr="00306148">
        <w:rPr>
          <w:lang w:val="en-GB"/>
        </w:rPr>
        <w:t>A draft updated and revised WIGOS Framework Implementation Plan reflecting the new tasks of the WIGOS Pre-operational Phase (updated in track change, referenced to the version approved by EC-66).</w:t>
      </w:r>
    </w:p>
    <w:p w:rsidR="00306148" w:rsidRPr="00306148" w:rsidRDefault="00306148" w:rsidP="00306148">
      <w:pPr>
        <w:autoSpaceDE w:val="0"/>
        <w:autoSpaceDN w:val="0"/>
        <w:adjustRightInd w:val="0"/>
        <w:jc w:val="both"/>
        <w:rPr>
          <w:rStyle w:val="None"/>
          <w:rFonts w:ascii="ArialMT" w:eastAsia="MS Mincho" w:hAnsi="ArialMT" w:cs="ArialMT"/>
          <w:color w:val="000000"/>
          <w:lang w:val="en-GB" w:eastAsia="zh-TW"/>
        </w:rPr>
      </w:pPr>
    </w:p>
    <w:p w:rsidR="00F263F3" w:rsidRDefault="00F263F3" w:rsidP="00F263F3">
      <w:pPr>
        <w:pStyle w:val="Body"/>
        <w:widowControl w:val="0"/>
        <w:tabs>
          <w:tab w:val="left" w:pos="1134"/>
        </w:tabs>
        <w:spacing w:before="60" w:after="60"/>
        <w:jc w:val="left"/>
      </w:pPr>
      <w:r w:rsidRPr="0065326B">
        <w:rPr>
          <w:rStyle w:val="None"/>
          <w:b/>
          <w:bCs/>
        </w:rPr>
        <w:t>Review of linkages with other WMO Priorities (GFCS, DRR, Polar Activities)</w:t>
      </w:r>
    </w:p>
    <w:p w:rsidR="00F263F3" w:rsidRPr="00F263F3" w:rsidRDefault="00F263F3" w:rsidP="00F263F3">
      <w:pPr>
        <w:pStyle w:val="Body"/>
        <w:widowControl w:val="0"/>
        <w:numPr>
          <w:ilvl w:val="2"/>
          <w:numId w:val="42"/>
        </w:numPr>
        <w:tabs>
          <w:tab w:val="left" w:pos="1134"/>
        </w:tabs>
        <w:spacing w:before="60" w:after="60"/>
        <w:ind w:left="0" w:firstLine="0"/>
      </w:pPr>
      <w:r w:rsidRPr="0065326B">
        <w:t xml:space="preserve">The need to strengthen the </w:t>
      </w:r>
      <w:r>
        <w:t xml:space="preserve">links to the other WMO priority </w:t>
      </w:r>
      <w:r w:rsidRPr="0065326B">
        <w:t>areas</w:t>
      </w:r>
      <w:r>
        <w:t xml:space="preserve"> and GCOS</w:t>
      </w:r>
      <w:r w:rsidRPr="0065326B">
        <w:t xml:space="preserve"> was stressed</w:t>
      </w:r>
      <w:r>
        <w:t>.</w:t>
      </w:r>
      <w:r w:rsidRPr="0065326B">
        <w:t xml:space="preserve"> </w:t>
      </w:r>
      <w:r>
        <w:t>I</w:t>
      </w:r>
      <w:r w:rsidRPr="0065326B">
        <w:t xml:space="preserve">t was noted that while several of them rely heavily on observations in order to meet their goals, engaging them in a dialog to articulate their requirements for observational data continues to be difficult.  </w:t>
      </w:r>
    </w:p>
    <w:p w:rsidR="00B71A96" w:rsidRPr="007B7295" w:rsidRDefault="00B71A96" w:rsidP="00B71A96">
      <w:pPr>
        <w:keepNext/>
        <w:kinsoku w:val="0"/>
        <w:overflowPunct w:val="0"/>
        <w:outlineLvl w:val="0"/>
        <w:rPr>
          <w:b/>
          <w:bCs/>
          <w:spacing w:val="1"/>
          <w:kern w:val="32"/>
          <w:lang w:val="en-GB"/>
        </w:rPr>
      </w:pPr>
    </w:p>
    <w:p w:rsidR="00912B01" w:rsidRPr="007B7295" w:rsidRDefault="00BC229A" w:rsidP="00861F90">
      <w:pPr>
        <w:tabs>
          <w:tab w:val="left" w:pos="720"/>
        </w:tabs>
        <w:autoSpaceDE w:val="0"/>
        <w:autoSpaceDN w:val="0"/>
        <w:adjustRightInd w:val="0"/>
        <w:jc w:val="center"/>
        <w:rPr>
          <w:lang w:val="en-GB"/>
        </w:rPr>
      </w:pPr>
      <w:r w:rsidRPr="007B7295">
        <w:rPr>
          <w:rFonts w:ascii="ArialMT" w:eastAsia="MS Mincho" w:hAnsi="ArialMT" w:cs="ArialMT"/>
          <w:color w:val="000000"/>
          <w:lang w:val="en-GB" w:eastAsia="zh-TW"/>
        </w:rPr>
        <w:t>________</w:t>
      </w:r>
    </w:p>
    <w:sectPr w:rsidR="00912B01" w:rsidRPr="007B7295" w:rsidSect="00FE3510">
      <w:headerReference w:type="first" r:id="rId12"/>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98" w:rsidRDefault="004E0198">
      <w:r>
        <w:separator/>
      </w:r>
    </w:p>
  </w:endnote>
  <w:endnote w:type="continuationSeparator" w:id="0">
    <w:p w:rsidR="004E0198" w:rsidRDefault="004E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98" w:rsidRDefault="004E0198">
      <w:r>
        <w:separator/>
      </w:r>
    </w:p>
  </w:footnote>
  <w:footnote w:type="continuationSeparator" w:id="0">
    <w:p w:rsidR="004E0198" w:rsidRDefault="004E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 xml:space="preserve">/Doc. </w:t>
    </w:r>
    <w:r w:rsidR="0057467F">
      <w:rPr>
        <w:sz w:val="20"/>
        <w:szCs w:val="20"/>
        <w:lang w:val="de-DE"/>
      </w:rPr>
      <w:t>4.</w:t>
    </w:r>
    <w:r w:rsidR="00F263F3">
      <w:rPr>
        <w:sz w:val="20"/>
        <w:szCs w:val="20"/>
        <w:lang w:val="de-DE"/>
      </w:rPr>
      <w:t>3.</w:t>
    </w:r>
    <w:r w:rsidR="0057467F">
      <w:rPr>
        <w:sz w:val="20"/>
        <w:szCs w:val="20"/>
        <w:lang w:val="de-DE"/>
      </w:rPr>
      <w:t>1</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784429">
      <w:rPr>
        <w:rStyle w:val="PageNumber"/>
        <w:noProof/>
        <w:sz w:val="20"/>
        <w:szCs w:val="20"/>
      </w:rPr>
      <w:t>4</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8907F2" w:rsidP="00861F90">
    <w:pPr>
      <w:pStyle w:val="Header"/>
      <w:jc w:val="center"/>
      <w:rPr>
        <w:sz w:val="20"/>
        <w:szCs w:val="20"/>
      </w:rPr>
    </w:pPr>
    <w:r>
      <w:rPr>
        <w:sz w:val="20"/>
        <w:szCs w:val="20"/>
        <w:lang w:val="de-DE"/>
      </w:rPr>
      <w:t>ICG-WIGOS-5</w:t>
    </w:r>
    <w:r w:rsidR="001A4E81" w:rsidRPr="00861F90">
      <w:rPr>
        <w:sz w:val="20"/>
        <w:szCs w:val="20"/>
        <w:lang w:val="de-DE"/>
      </w:rPr>
      <w:t xml:space="preserve">/Doc. </w:t>
    </w:r>
    <w:r w:rsidR="0057467F">
      <w:rPr>
        <w:sz w:val="20"/>
        <w:szCs w:val="20"/>
        <w:lang w:val="de-DE"/>
      </w:rPr>
      <w:t>4.</w:t>
    </w:r>
    <w:r w:rsidR="00F263F3">
      <w:rPr>
        <w:sz w:val="20"/>
        <w:szCs w:val="20"/>
        <w:lang w:val="de-DE"/>
      </w:rPr>
      <w:t>3.</w:t>
    </w:r>
    <w:r w:rsidR="0057467F">
      <w:rPr>
        <w:sz w:val="20"/>
        <w:szCs w:val="20"/>
        <w:lang w:val="de-DE"/>
      </w:rPr>
      <w:t>1</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784429">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4A550FD"/>
    <w:multiLevelType w:val="multilevel"/>
    <w:tmpl w:val="518CF1AE"/>
    <w:lvl w:ilvl="0">
      <w:start w:val="4"/>
      <w:numFmt w:val="decimal"/>
      <w:lvlText w:val="%1"/>
      <w:lvlJc w:val="left"/>
      <w:pPr>
        <w:ind w:left="480" w:hanging="480"/>
      </w:pPr>
      <w:rPr>
        <w:rFonts w:ascii="Arial" w:eastAsia="SimSun" w:hAnsi="Arial" w:cs="Times New Roman"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3.1.%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7">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9C6DA0"/>
    <w:multiLevelType w:val="hybridMultilevel"/>
    <w:tmpl w:val="D1B4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0">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86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C8D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EE0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0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48DF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116F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F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2925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3B272E"/>
    <w:multiLevelType w:val="hybridMultilevel"/>
    <w:tmpl w:val="BCF21DF8"/>
    <w:numStyleLink w:val="ImportedStyle3"/>
  </w:abstractNum>
  <w:abstractNum w:abstractNumId="31">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2">
    <w:nsid w:val="58946902"/>
    <w:multiLevelType w:val="multilevel"/>
    <w:tmpl w:val="AFFCFFCE"/>
    <w:numStyleLink w:val="List1"/>
  </w:abstractNum>
  <w:abstractNum w:abstractNumId="33">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4">
    <w:nsid w:val="73B65690"/>
    <w:multiLevelType w:val="multilevel"/>
    <w:tmpl w:val="10F6265E"/>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ascii="Arial" w:eastAsia="SimSun" w:hAnsi="Arial" w:cs="Times New Roman" w:hint="default"/>
        <w:color w:val="auto"/>
      </w:rPr>
    </w:lvl>
    <w:lvl w:ilvl="2">
      <w:start w:val="1"/>
      <w:numFmt w:val="decimal"/>
      <w:lvlText w:val="%1.%2.%3"/>
      <w:lvlJc w:val="left"/>
      <w:pPr>
        <w:ind w:left="720" w:hanging="720"/>
      </w:pPr>
      <w:rPr>
        <w:rFonts w:ascii="Arial" w:eastAsia="SimSun" w:hAnsi="Arial" w:cs="Times New Roman" w:hint="default"/>
        <w:color w:val="auto"/>
      </w:rPr>
    </w:lvl>
    <w:lvl w:ilvl="3">
      <w:start w:val="1"/>
      <w:numFmt w:val="decimal"/>
      <w:lvlText w:val="%1.%2.%3.%4"/>
      <w:lvlJc w:val="left"/>
      <w:pPr>
        <w:ind w:left="720" w:hanging="720"/>
      </w:pPr>
      <w:rPr>
        <w:rFonts w:ascii="Arial" w:eastAsia="SimSun" w:hAnsi="Arial" w:cs="Times New Roman" w:hint="default"/>
        <w:color w:val="auto"/>
      </w:rPr>
    </w:lvl>
    <w:lvl w:ilvl="4">
      <w:start w:val="1"/>
      <w:numFmt w:val="decimal"/>
      <w:lvlText w:val="%1.%2.%3.%4.%5"/>
      <w:lvlJc w:val="left"/>
      <w:pPr>
        <w:ind w:left="1080" w:hanging="1080"/>
      </w:pPr>
      <w:rPr>
        <w:rFonts w:ascii="Arial" w:eastAsia="SimSun" w:hAnsi="Arial" w:cs="Times New Roman" w:hint="default"/>
        <w:color w:val="auto"/>
      </w:rPr>
    </w:lvl>
    <w:lvl w:ilvl="5">
      <w:start w:val="1"/>
      <w:numFmt w:val="decimal"/>
      <w:lvlText w:val="%1.%2.%3.%4.%5.%6"/>
      <w:lvlJc w:val="left"/>
      <w:pPr>
        <w:ind w:left="1080" w:hanging="1080"/>
      </w:pPr>
      <w:rPr>
        <w:rFonts w:ascii="Arial" w:eastAsia="SimSun" w:hAnsi="Arial" w:cs="Times New Roman" w:hint="default"/>
        <w:color w:val="auto"/>
      </w:rPr>
    </w:lvl>
    <w:lvl w:ilvl="6">
      <w:start w:val="1"/>
      <w:numFmt w:val="decimal"/>
      <w:lvlText w:val="%1.%2.%3.%4.%5.%6.%7"/>
      <w:lvlJc w:val="left"/>
      <w:pPr>
        <w:ind w:left="1440" w:hanging="1440"/>
      </w:pPr>
      <w:rPr>
        <w:rFonts w:ascii="Arial" w:eastAsia="SimSun" w:hAnsi="Arial" w:cs="Times New Roman" w:hint="default"/>
        <w:color w:val="auto"/>
      </w:rPr>
    </w:lvl>
    <w:lvl w:ilvl="7">
      <w:start w:val="1"/>
      <w:numFmt w:val="decimal"/>
      <w:lvlText w:val="%1.%2.%3.%4.%5.%6.%7.%8"/>
      <w:lvlJc w:val="left"/>
      <w:pPr>
        <w:ind w:left="1440" w:hanging="1440"/>
      </w:pPr>
      <w:rPr>
        <w:rFonts w:ascii="Arial" w:eastAsia="SimSun" w:hAnsi="Arial" w:cs="Times New Roman" w:hint="default"/>
        <w:color w:val="auto"/>
      </w:rPr>
    </w:lvl>
    <w:lvl w:ilvl="8">
      <w:start w:val="1"/>
      <w:numFmt w:val="decimal"/>
      <w:lvlText w:val="%1.%2.%3.%4.%5.%6.%7.%8.%9"/>
      <w:lvlJc w:val="left"/>
      <w:pPr>
        <w:ind w:left="1800" w:hanging="1800"/>
      </w:pPr>
      <w:rPr>
        <w:rFonts w:ascii="Arial" w:eastAsia="SimSun" w:hAnsi="Arial" w:cs="Times New Roman" w:hint="default"/>
        <w:color w:val="auto"/>
      </w:rPr>
    </w:lvl>
  </w:abstractNum>
  <w:abstractNum w:abstractNumId="45">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6">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8"/>
  </w:num>
  <w:num w:numId="3">
    <w:abstractNumId w:val="20"/>
  </w:num>
  <w:num w:numId="4">
    <w:abstractNumId w:val="43"/>
  </w:num>
  <w:num w:numId="5">
    <w:abstractNumId w:val="36"/>
  </w:num>
  <w:num w:numId="6">
    <w:abstractNumId w:val="10"/>
  </w:num>
  <w:num w:numId="7">
    <w:abstractNumId w:val="19"/>
  </w:num>
  <w:num w:numId="8">
    <w:abstractNumId w:val="26"/>
  </w:num>
  <w:num w:numId="9">
    <w:abstractNumId w:val="28"/>
  </w:num>
  <w:num w:numId="10">
    <w:abstractNumId w:val="37"/>
  </w:num>
  <w:num w:numId="11">
    <w:abstractNumId w:val="24"/>
  </w:num>
  <w:num w:numId="12">
    <w:abstractNumId w:val="47"/>
  </w:num>
  <w:num w:numId="13">
    <w:abstractNumId w:val="46"/>
  </w:num>
  <w:num w:numId="14">
    <w:abstractNumId w:val="41"/>
  </w:num>
  <w:num w:numId="15">
    <w:abstractNumId w:val="45"/>
  </w:num>
  <w:num w:numId="16">
    <w:abstractNumId w:val="16"/>
  </w:num>
  <w:num w:numId="17">
    <w:abstractNumId w:val="2"/>
  </w:num>
  <w:num w:numId="18">
    <w:abstractNumId w:val="15"/>
  </w:num>
  <w:num w:numId="19">
    <w:abstractNumId w:val="39"/>
  </w:num>
  <w:num w:numId="20">
    <w:abstractNumId w:val="9"/>
  </w:num>
  <w:num w:numId="21">
    <w:abstractNumId w:val="29"/>
  </w:num>
  <w:num w:numId="22">
    <w:abstractNumId w:val="14"/>
  </w:num>
  <w:num w:numId="23">
    <w:abstractNumId w:val="7"/>
  </w:num>
  <w:num w:numId="24">
    <w:abstractNumId w:val="31"/>
  </w:num>
  <w:num w:numId="25">
    <w:abstractNumId w:val="34"/>
  </w:num>
  <w:num w:numId="26">
    <w:abstractNumId w:val="4"/>
  </w:num>
  <w:num w:numId="27">
    <w:abstractNumId w:val="0"/>
  </w:num>
  <w:num w:numId="28">
    <w:abstractNumId w:val="42"/>
  </w:num>
  <w:num w:numId="29">
    <w:abstractNumId w:val="25"/>
  </w:num>
  <w:num w:numId="30">
    <w:abstractNumId w:val="6"/>
  </w:num>
  <w:num w:numId="31">
    <w:abstractNumId w:val="5"/>
  </w:num>
  <w:num w:numId="32">
    <w:abstractNumId w:val="12"/>
  </w:num>
  <w:num w:numId="33">
    <w:abstractNumId w:val="27"/>
  </w:num>
  <w:num w:numId="34">
    <w:abstractNumId w:val="17"/>
  </w:num>
  <w:num w:numId="35">
    <w:abstractNumId w:val="38"/>
  </w:num>
  <w:num w:numId="36">
    <w:abstractNumId w:val="33"/>
  </w:num>
  <w:num w:numId="37">
    <w:abstractNumId w:val="1"/>
  </w:num>
  <w:num w:numId="38">
    <w:abstractNumId w:val="23"/>
  </w:num>
  <w:num w:numId="39">
    <w:abstractNumId w:val="8"/>
  </w:num>
  <w:num w:numId="40">
    <w:abstractNumId w:val="35"/>
  </w:num>
  <w:num w:numId="41">
    <w:abstractNumId w:val="13"/>
  </w:num>
  <w:num w:numId="42">
    <w:abstractNumId w:val="3"/>
  </w:num>
  <w:num w:numId="43">
    <w:abstractNumId w:val="22"/>
  </w:num>
  <w:num w:numId="44">
    <w:abstractNumId w:val="32"/>
    <w:lvlOverride w:ilvl="0">
      <w:lvl w:ilvl="0">
        <w:start w:val="1"/>
        <w:numFmt w:val="decimal"/>
        <w:lvlText w:val="%1."/>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1"/>
  </w:num>
  <w:num w:numId="46">
    <w:abstractNumId w:val="21"/>
  </w:num>
  <w:num w:numId="47">
    <w:abstractNumId w:val="3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B9"/>
    <w:rsid w:val="00002C19"/>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0D3"/>
    <w:rsid w:val="000C3C80"/>
    <w:rsid w:val="000D082A"/>
    <w:rsid w:val="000E4D30"/>
    <w:rsid w:val="000F4802"/>
    <w:rsid w:val="000F7B90"/>
    <w:rsid w:val="00101E9D"/>
    <w:rsid w:val="00102ADF"/>
    <w:rsid w:val="00106E5A"/>
    <w:rsid w:val="00107390"/>
    <w:rsid w:val="001115A4"/>
    <w:rsid w:val="0011498D"/>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6495"/>
    <w:rsid w:val="001C6AFC"/>
    <w:rsid w:val="001D0180"/>
    <w:rsid w:val="001D0408"/>
    <w:rsid w:val="001D5C77"/>
    <w:rsid w:val="001E0593"/>
    <w:rsid w:val="001E7297"/>
    <w:rsid w:val="001E7819"/>
    <w:rsid w:val="001F0570"/>
    <w:rsid w:val="001F101F"/>
    <w:rsid w:val="001F2352"/>
    <w:rsid w:val="001F4DA8"/>
    <w:rsid w:val="001F6C98"/>
    <w:rsid w:val="001F7D4F"/>
    <w:rsid w:val="002010CC"/>
    <w:rsid w:val="0020219F"/>
    <w:rsid w:val="002051F7"/>
    <w:rsid w:val="00207344"/>
    <w:rsid w:val="0021368D"/>
    <w:rsid w:val="00214929"/>
    <w:rsid w:val="0021677D"/>
    <w:rsid w:val="00216CD2"/>
    <w:rsid w:val="00220444"/>
    <w:rsid w:val="00220991"/>
    <w:rsid w:val="002218DB"/>
    <w:rsid w:val="002277BD"/>
    <w:rsid w:val="00233181"/>
    <w:rsid w:val="002344F2"/>
    <w:rsid w:val="0023463C"/>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6148"/>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4E11"/>
    <w:rsid w:val="00485ABF"/>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E0198"/>
    <w:rsid w:val="004E1159"/>
    <w:rsid w:val="004E12D3"/>
    <w:rsid w:val="004E3A1E"/>
    <w:rsid w:val="004E473C"/>
    <w:rsid w:val="004E4AE7"/>
    <w:rsid w:val="005020C9"/>
    <w:rsid w:val="005028F9"/>
    <w:rsid w:val="00502F04"/>
    <w:rsid w:val="00502F5E"/>
    <w:rsid w:val="005055AE"/>
    <w:rsid w:val="00506229"/>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667A"/>
    <w:rsid w:val="00557BA9"/>
    <w:rsid w:val="00560608"/>
    <w:rsid w:val="00562265"/>
    <w:rsid w:val="00562FF0"/>
    <w:rsid w:val="00565D4B"/>
    <w:rsid w:val="00566149"/>
    <w:rsid w:val="00566519"/>
    <w:rsid w:val="00567205"/>
    <w:rsid w:val="005722EA"/>
    <w:rsid w:val="005726B3"/>
    <w:rsid w:val="0057467F"/>
    <w:rsid w:val="00574E8E"/>
    <w:rsid w:val="00576FE6"/>
    <w:rsid w:val="00577B3E"/>
    <w:rsid w:val="0058119B"/>
    <w:rsid w:val="0058162A"/>
    <w:rsid w:val="00582B69"/>
    <w:rsid w:val="005837E4"/>
    <w:rsid w:val="00583BB5"/>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4429"/>
    <w:rsid w:val="00785DE4"/>
    <w:rsid w:val="00787F86"/>
    <w:rsid w:val="007943EB"/>
    <w:rsid w:val="00794F78"/>
    <w:rsid w:val="00795AE4"/>
    <w:rsid w:val="007A2D86"/>
    <w:rsid w:val="007A598B"/>
    <w:rsid w:val="007A78F9"/>
    <w:rsid w:val="007B1FCD"/>
    <w:rsid w:val="007B2889"/>
    <w:rsid w:val="007B7295"/>
    <w:rsid w:val="007C32AB"/>
    <w:rsid w:val="007C4366"/>
    <w:rsid w:val="007C638C"/>
    <w:rsid w:val="007C71FB"/>
    <w:rsid w:val="007D1355"/>
    <w:rsid w:val="007D13F0"/>
    <w:rsid w:val="007D344E"/>
    <w:rsid w:val="007D42F2"/>
    <w:rsid w:val="007D6CF1"/>
    <w:rsid w:val="007D7EA8"/>
    <w:rsid w:val="007E25AA"/>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7DA"/>
    <w:rsid w:val="00884915"/>
    <w:rsid w:val="008907F2"/>
    <w:rsid w:val="008912A5"/>
    <w:rsid w:val="008921F0"/>
    <w:rsid w:val="008A6A58"/>
    <w:rsid w:val="008B0778"/>
    <w:rsid w:val="008B745D"/>
    <w:rsid w:val="008C4E8D"/>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33F1"/>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5F5F"/>
    <w:rsid w:val="00B367F4"/>
    <w:rsid w:val="00B37A93"/>
    <w:rsid w:val="00B4293E"/>
    <w:rsid w:val="00B436BD"/>
    <w:rsid w:val="00B43CFC"/>
    <w:rsid w:val="00B50F37"/>
    <w:rsid w:val="00B6011C"/>
    <w:rsid w:val="00B60DF1"/>
    <w:rsid w:val="00B61B2B"/>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78F"/>
    <w:rsid w:val="00BA2812"/>
    <w:rsid w:val="00BA3516"/>
    <w:rsid w:val="00BA6E38"/>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E9A"/>
    <w:rsid w:val="00CA5090"/>
    <w:rsid w:val="00CB27BF"/>
    <w:rsid w:val="00CC1ECC"/>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3464"/>
    <w:rsid w:val="00D31002"/>
    <w:rsid w:val="00D3167D"/>
    <w:rsid w:val="00D36104"/>
    <w:rsid w:val="00D368D0"/>
    <w:rsid w:val="00D37F3A"/>
    <w:rsid w:val="00D40881"/>
    <w:rsid w:val="00D43662"/>
    <w:rsid w:val="00D4482B"/>
    <w:rsid w:val="00D466B2"/>
    <w:rsid w:val="00D52145"/>
    <w:rsid w:val="00D53844"/>
    <w:rsid w:val="00D554CC"/>
    <w:rsid w:val="00D62A61"/>
    <w:rsid w:val="00D65524"/>
    <w:rsid w:val="00D66547"/>
    <w:rsid w:val="00D77B71"/>
    <w:rsid w:val="00D80420"/>
    <w:rsid w:val="00D90DF3"/>
    <w:rsid w:val="00DA1A88"/>
    <w:rsid w:val="00DA1C50"/>
    <w:rsid w:val="00DB0214"/>
    <w:rsid w:val="00DB280A"/>
    <w:rsid w:val="00DB501A"/>
    <w:rsid w:val="00DC174E"/>
    <w:rsid w:val="00DC5D02"/>
    <w:rsid w:val="00DD36DB"/>
    <w:rsid w:val="00DD4A5C"/>
    <w:rsid w:val="00DE0B39"/>
    <w:rsid w:val="00DE0E12"/>
    <w:rsid w:val="00DE107C"/>
    <w:rsid w:val="00DE6B02"/>
    <w:rsid w:val="00DF01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61B3"/>
    <w:rsid w:val="00EF0433"/>
    <w:rsid w:val="00EF3645"/>
    <w:rsid w:val="00EF384A"/>
    <w:rsid w:val="00EF5AAD"/>
    <w:rsid w:val="00EF6C9B"/>
    <w:rsid w:val="00EF78EA"/>
    <w:rsid w:val="00F03819"/>
    <w:rsid w:val="00F03BA1"/>
    <w:rsid w:val="00F049AB"/>
    <w:rsid w:val="00F077ED"/>
    <w:rsid w:val="00F100CF"/>
    <w:rsid w:val="00F2166B"/>
    <w:rsid w:val="00F219D0"/>
    <w:rsid w:val="00F25735"/>
    <w:rsid w:val="00F2581C"/>
    <w:rsid w:val="00F263F3"/>
    <w:rsid w:val="00F35C62"/>
    <w:rsid w:val="00F4182E"/>
    <w:rsid w:val="00F46F62"/>
    <w:rsid w:val="00F544F4"/>
    <w:rsid w:val="00F549BB"/>
    <w:rsid w:val="00F55EFD"/>
    <w:rsid w:val="00F666F9"/>
    <w:rsid w:val="00F715D8"/>
    <w:rsid w:val="00F738B4"/>
    <w:rsid w:val="00F74B8E"/>
    <w:rsid w:val="00F751B6"/>
    <w:rsid w:val="00F75EB1"/>
    <w:rsid w:val="00F77D24"/>
    <w:rsid w:val="00F817E6"/>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920"/>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 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 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 Car Car3"/>
    <w:basedOn w:val="Normal"/>
    <w:link w:val="DefaultParagraphFont"/>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306148"/>
  </w:style>
  <w:style w:type="numbering" w:customStyle="1" w:styleId="List1">
    <w:name w:val="List 1"/>
    <w:rsid w:val="00306148"/>
    <w:pPr>
      <w:numPr>
        <w:numId w:val="43"/>
      </w:numPr>
    </w:pPr>
  </w:style>
  <w:style w:type="numbering" w:customStyle="1" w:styleId="ImportedStyle3">
    <w:name w:val="Imported Style 3"/>
    <w:rsid w:val="00306148"/>
    <w:pPr>
      <w:numPr>
        <w:numId w:val="46"/>
      </w:numPr>
    </w:pPr>
  </w:style>
  <w:style w:type="character" w:customStyle="1" w:styleId="apple-converted-space1">
    <w:name w:val="apple-converted-space 1"/>
    <w:rsid w:val="00F263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o.int/pages/prog/www/WIGOS-WIS/reports.html"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o.int/pages/prog/www/WIGOS-WIS/reports.html"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5881E34C.dotm</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ICG-WIGOS-5/Doc.4.1</vt:lpstr>
    </vt:vector>
  </TitlesOfParts>
  <Manager>WIGOS-PO</Manager>
  <Company>WMO</Company>
  <LinksUpToDate>false</LinksUpToDate>
  <CharactersWithSpaces>8979</CharactersWithSpaces>
  <SharedDoc>false</SharedDoc>
  <HyperlinkBase>www.wmo.int/wigos</HyperlinkBase>
  <HLinks>
    <vt:vector size="12" baseType="variant">
      <vt:variant>
        <vt:i4>458765</vt:i4>
      </vt:variant>
      <vt:variant>
        <vt:i4>9</vt:i4>
      </vt:variant>
      <vt:variant>
        <vt:i4>0</vt:i4>
      </vt:variant>
      <vt:variant>
        <vt:i4>5</vt:i4>
      </vt:variant>
      <vt:variant>
        <vt:lpwstr>http://www.wmo.int/pages/prog/www/WIGOS-WIS/reports.html</vt:lpwstr>
      </vt:variant>
      <vt:variant>
        <vt:lpwstr/>
      </vt:variant>
      <vt:variant>
        <vt:i4>458765</vt:i4>
      </vt:variant>
      <vt:variant>
        <vt:i4>6</vt:i4>
      </vt:variant>
      <vt:variant>
        <vt:i4>0</vt:i4>
      </vt:variant>
      <vt:variant>
        <vt:i4>5</vt:i4>
      </vt:variant>
      <vt:variant>
        <vt:lpwstr>http://www.wmo.int/pages/prog/www/WIGOS-WIS/reports.html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ICG-WIGOS-5/Doc.4.3.1</dc:title>
  <dc:subject>EC-65 Decisions and Guidance</dc:subject>
  <dc:creator>I Zahumensky</dc:creator>
  <cp:keywords>TT-PWPP-2 outcomes</cp:keywords>
  <cp:lastModifiedBy>Igor Zahumensky</cp:lastModifiedBy>
  <cp:revision>2</cp:revision>
  <cp:lastPrinted>2015-07-16T08:18:00Z</cp:lastPrinted>
  <dcterms:created xsi:type="dcterms:W3CDTF">2016-01-08T07:05:00Z</dcterms:created>
  <dcterms:modified xsi:type="dcterms:W3CDTF">2016-01-08T07:05:00Z</dcterms:modified>
</cp:coreProperties>
</file>