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3" w:type="dxa"/>
        <w:jc w:val="center"/>
        <w:tblLook w:val="01E0" w:firstRow="1" w:lastRow="1" w:firstColumn="1" w:lastColumn="1" w:noHBand="0" w:noVBand="0"/>
      </w:tblPr>
      <w:tblGrid>
        <w:gridCol w:w="2719"/>
        <w:gridCol w:w="8474"/>
      </w:tblGrid>
      <w:tr w:rsidR="00467D0D" w:rsidTr="00A44D17">
        <w:trPr>
          <w:trHeight w:val="261"/>
          <w:jc w:val="center"/>
        </w:trPr>
        <w:tc>
          <w:tcPr>
            <w:tcW w:w="2719" w:type="dxa"/>
            <w:shd w:val="clear" w:color="auto" w:fill="003399"/>
          </w:tcPr>
          <w:p w:rsidR="00467D0D" w:rsidRDefault="00467D0D" w:rsidP="00467D0D">
            <w:pPr>
              <w:pStyle w:val="BodyText"/>
            </w:pPr>
          </w:p>
        </w:tc>
        <w:tc>
          <w:tcPr>
            <w:tcW w:w="8474" w:type="dxa"/>
            <w:shd w:val="clear" w:color="auto" w:fill="003399"/>
          </w:tcPr>
          <w:p w:rsidR="00467D0D" w:rsidRDefault="00467D0D" w:rsidP="00467D0D">
            <w:pPr>
              <w:pStyle w:val="BodyText"/>
            </w:pPr>
          </w:p>
        </w:tc>
      </w:tr>
      <w:tr w:rsidR="00B4183F" w:rsidTr="00B4183F">
        <w:trPr>
          <w:trHeight w:val="1440"/>
          <w:jc w:val="center"/>
        </w:trPr>
        <w:tc>
          <w:tcPr>
            <w:tcW w:w="2719" w:type="dxa"/>
          </w:tcPr>
          <w:p w:rsidR="00B4183F" w:rsidRDefault="00B4183F" w:rsidP="00785129">
            <w:pPr>
              <w:pStyle w:val="NewsletterTitle"/>
              <w:rPr>
                <w:noProof/>
                <w:lang w:eastAsia="zh-TW"/>
              </w:rPr>
            </w:pPr>
            <w:r>
              <w:rPr>
                <w:noProof/>
                <w:lang w:eastAsia="zh-TW"/>
              </w:rPr>
              <w:drawing>
                <wp:inline distT="0" distB="0" distL="0" distR="0" wp14:anchorId="0F5F8283" wp14:editId="5E1E8686">
                  <wp:extent cx="1238250" cy="1533525"/>
                  <wp:effectExtent l="0" t="0" r="0" b="9525"/>
                  <wp:docPr id="4" name="Picture 4" descr="https://sites.google.com/a/wmo.int/amdar-news-and-events/_/rsrc/1413886291470/config/pagetemplates/amdar-newsletter-template/wmo_logo_windrose_130_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a/wmo.int/amdar-news-and-events/_/rsrc/1413886291470/config/pagetemplates/amdar-newsletter-template/wmo_logo_windrose_130_16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533525"/>
                          </a:xfrm>
                          <a:prstGeom prst="rect">
                            <a:avLst/>
                          </a:prstGeom>
                          <a:noFill/>
                          <a:ln>
                            <a:noFill/>
                          </a:ln>
                        </pic:spPr>
                      </pic:pic>
                    </a:graphicData>
                  </a:graphic>
                </wp:inline>
              </w:drawing>
            </w:r>
          </w:p>
        </w:tc>
        <w:tc>
          <w:tcPr>
            <w:tcW w:w="8474" w:type="dxa"/>
            <w:vAlign w:val="center"/>
          </w:tcPr>
          <w:p w:rsidR="00B4183F" w:rsidRPr="00B4183F" w:rsidRDefault="00B4183F" w:rsidP="00B4183F">
            <w:pPr>
              <w:pStyle w:val="NewsletterTitle"/>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4183F">
              <w:rPr>
                <w:rFonts w:ascii="Arial Narrow" w:hAnsi="Arial Narrow"/>
                <w:b/>
                <w:sz w:val="50"/>
                <w:szCs w:val="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WMO INTEGRATED GLOBAL OBSERVING SYSTEM</w:t>
            </w:r>
            <w:r w:rsidRPr="00B4183F">
              <w:rPr>
                <w:b/>
                <w:sz w:val="50"/>
                <w:szCs w:val="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B4183F">
              <w:rPr>
                <w:b/>
                <w:outline/>
                <w:color w:val="4F81BD" w:themeColor="accent1"/>
                <w:sz w:val="50"/>
                <w:szCs w:val="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NEWSLETTER </w:t>
            </w:r>
          </w:p>
        </w:tc>
      </w:tr>
      <w:tr w:rsidR="00467D0D" w:rsidTr="00B4183F">
        <w:trPr>
          <w:jc w:val="center"/>
        </w:trPr>
        <w:tc>
          <w:tcPr>
            <w:tcW w:w="2719" w:type="dxa"/>
            <w:shd w:val="clear" w:color="auto" w:fill="003399"/>
          </w:tcPr>
          <w:p w:rsidR="00467D0D" w:rsidRPr="00467D0D" w:rsidRDefault="00A44D17" w:rsidP="00467D0D">
            <w:pPr>
              <w:pStyle w:val="NewsletterDate"/>
            </w:pPr>
            <w:r>
              <w:t>February 2015</w:t>
            </w:r>
          </w:p>
        </w:tc>
        <w:tc>
          <w:tcPr>
            <w:tcW w:w="8474" w:type="dxa"/>
            <w:shd w:val="clear" w:color="auto" w:fill="003399"/>
          </w:tcPr>
          <w:p w:rsidR="00467D0D" w:rsidRPr="00A44D17" w:rsidRDefault="00467D0D" w:rsidP="00467D0D">
            <w:pPr>
              <w:pStyle w:val="VolumeandIssue"/>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A44D17">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Volume 1, Number 1</w:t>
            </w:r>
          </w:p>
        </w:tc>
      </w:tr>
      <w:tr w:rsidR="008E395A" w:rsidTr="00B4183F">
        <w:trPr>
          <w:jc w:val="center"/>
        </w:trPr>
        <w:tc>
          <w:tcPr>
            <w:tcW w:w="2719" w:type="dxa"/>
            <w:shd w:val="clear" w:color="auto" w:fill="0066CC"/>
          </w:tcPr>
          <w:p w:rsidR="008E395A" w:rsidRDefault="0063592B" w:rsidP="00785129">
            <w:pPr>
              <w:pStyle w:val="TableofContentsHeading"/>
            </w:pPr>
            <w:r>
              <w:t>Contents</w:t>
            </w:r>
          </w:p>
          <w:p w:rsidR="008E395A" w:rsidRPr="00A44D17" w:rsidRDefault="00A44D17" w:rsidP="00A44D17">
            <w:pPr>
              <w:pStyle w:val="TableofContentsEntry"/>
              <w:numPr>
                <w:ilvl w:val="0"/>
                <w:numId w:val="13"/>
              </w:numPr>
              <w:spacing w:before="120"/>
              <w:rPr>
                <w:b/>
              </w:rPr>
            </w:pPr>
            <w:r>
              <w:rPr>
                <w:b/>
              </w:rPr>
              <w:t xml:space="preserve"> </w:t>
            </w:r>
            <w:r w:rsidR="00276DE2">
              <w:rPr>
                <w:b/>
              </w:rPr>
              <w:t>Welcome</w:t>
            </w:r>
          </w:p>
          <w:p w:rsidR="00B4183F" w:rsidRDefault="00A44D17" w:rsidP="00A44D17">
            <w:pPr>
              <w:pStyle w:val="TableofContentsEntry"/>
              <w:numPr>
                <w:ilvl w:val="0"/>
                <w:numId w:val="13"/>
              </w:numPr>
              <w:rPr>
                <w:b/>
              </w:rPr>
            </w:pPr>
            <w:r>
              <w:rPr>
                <w:b/>
              </w:rPr>
              <w:t xml:space="preserve"> </w:t>
            </w:r>
            <w:r w:rsidR="00CA310B">
              <w:rPr>
                <w:b/>
              </w:rPr>
              <w:t>Global Activities</w:t>
            </w:r>
          </w:p>
          <w:p w:rsidR="00CA310B" w:rsidRDefault="00CA310B" w:rsidP="00A44D17">
            <w:pPr>
              <w:pStyle w:val="TableofContentsEntry"/>
              <w:numPr>
                <w:ilvl w:val="0"/>
                <w:numId w:val="13"/>
              </w:numPr>
              <w:rPr>
                <w:b/>
              </w:rPr>
            </w:pPr>
            <w:r>
              <w:rPr>
                <w:b/>
              </w:rPr>
              <w:t xml:space="preserve"> Regional Activities</w:t>
            </w:r>
          </w:p>
          <w:p w:rsidR="00CA310B" w:rsidRDefault="00CA310B" w:rsidP="00A44D17">
            <w:pPr>
              <w:pStyle w:val="TableofContentsEntry"/>
              <w:numPr>
                <w:ilvl w:val="0"/>
                <w:numId w:val="13"/>
              </w:numPr>
              <w:rPr>
                <w:b/>
              </w:rPr>
            </w:pPr>
            <w:r>
              <w:rPr>
                <w:b/>
              </w:rPr>
              <w:t xml:space="preserve"> National highlights</w:t>
            </w:r>
          </w:p>
          <w:p w:rsidR="00CA310B" w:rsidRDefault="00CA310B" w:rsidP="00A44D17">
            <w:pPr>
              <w:pStyle w:val="TableofContentsEntry"/>
              <w:numPr>
                <w:ilvl w:val="0"/>
                <w:numId w:val="13"/>
              </w:numPr>
              <w:rPr>
                <w:b/>
              </w:rPr>
            </w:pPr>
            <w:r>
              <w:rPr>
                <w:b/>
              </w:rPr>
              <w:t xml:space="preserve"> Science Focus: WIGOS Monitoring</w:t>
            </w:r>
          </w:p>
          <w:p w:rsidR="00B4183F" w:rsidRPr="00CA310B" w:rsidRDefault="00CA310B" w:rsidP="00CA310B">
            <w:pPr>
              <w:pStyle w:val="TableofContentsEntry"/>
              <w:numPr>
                <w:ilvl w:val="0"/>
                <w:numId w:val="13"/>
              </w:numPr>
              <w:rPr>
                <w:b/>
              </w:rPr>
            </w:pPr>
            <w:r>
              <w:rPr>
                <w:b/>
              </w:rPr>
              <w:t xml:space="preserve"> Other</w:t>
            </w:r>
            <w:r w:rsidR="00A44D17" w:rsidRPr="00CA310B">
              <w:rPr>
                <w:b/>
              </w:rPr>
              <w:t xml:space="preserve"> Meetings</w:t>
            </w:r>
          </w:p>
          <w:p w:rsidR="00B4183F" w:rsidRPr="00A44D17" w:rsidRDefault="00A44D17" w:rsidP="00A44D17">
            <w:pPr>
              <w:pStyle w:val="TableofContentsEntry"/>
              <w:numPr>
                <w:ilvl w:val="0"/>
                <w:numId w:val="13"/>
              </w:numPr>
              <w:rPr>
                <w:b/>
              </w:rPr>
            </w:pPr>
            <w:r>
              <w:rPr>
                <w:b/>
              </w:rPr>
              <w:t xml:space="preserve"> </w:t>
            </w:r>
            <w:r w:rsidR="001909C4">
              <w:rPr>
                <w:b/>
              </w:rPr>
              <w:t>Coming Events</w:t>
            </w:r>
          </w:p>
          <w:p w:rsidR="00A44D17" w:rsidRDefault="00A44D17" w:rsidP="00ED33BD">
            <w:pPr>
              <w:pStyle w:val="SideBarHeading"/>
            </w:pPr>
          </w:p>
          <w:p w:rsidR="0063592B" w:rsidRDefault="0063592B" w:rsidP="00785129">
            <w:pPr>
              <w:pStyle w:val="SideBarHeading"/>
            </w:pPr>
          </w:p>
          <w:p w:rsidR="00AA48B4" w:rsidRDefault="00AA48B4" w:rsidP="00785129">
            <w:pPr>
              <w:pStyle w:val="SideBarHeading"/>
            </w:pPr>
          </w:p>
          <w:p w:rsidR="00AA48B4" w:rsidRDefault="00AA48B4" w:rsidP="00785129">
            <w:pPr>
              <w:pStyle w:val="SideBarHeading"/>
            </w:pPr>
          </w:p>
          <w:p w:rsidR="00AA48B4" w:rsidRDefault="00AA48B4" w:rsidP="00785129">
            <w:pPr>
              <w:pStyle w:val="SideBarHeading"/>
            </w:pPr>
          </w:p>
          <w:p w:rsidR="0063592B" w:rsidRDefault="0063592B" w:rsidP="00785129">
            <w:pPr>
              <w:pStyle w:val="SideBarHeading"/>
            </w:pPr>
          </w:p>
          <w:p w:rsidR="0063592B" w:rsidRDefault="0063592B" w:rsidP="00785129">
            <w:pPr>
              <w:pStyle w:val="SideBarHeading"/>
            </w:pPr>
          </w:p>
          <w:p w:rsidR="0063592B" w:rsidRDefault="0063592B" w:rsidP="00785129">
            <w:pPr>
              <w:pStyle w:val="SideBarHeading"/>
            </w:pPr>
          </w:p>
          <w:p w:rsidR="00AA48B4" w:rsidRDefault="0063592B" w:rsidP="00785129">
            <w:pPr>
              <w:pStyle w:val="SideBarHeading"/>
            </w:pPr>
            <w:r>
              <w:t>Contact</w:t>
            </w:r>
            <w:r w:rsidR="008E395A">
              <w:t>s</w:t>
            </w:r>
            <w:r w:rsidR="00AA48B4">
              <w:t>:</w:t>
            </w:r>
          </w:p>
          <w:p w:rsidR="008E395A" w:rsidRPr="00AA48B4" w:rsidRDefault="001C5A83" w:rsidP="00AA48B4">
            <w:pPr>
              <w:pStyle w:val="SideBarHeading"/>
              <w:spacing w:before="240"/>
              <w:rPr>
                <w:u w:val="single"/>
              </w:rPr>
            </w:pPr>
            <w:hyperlink r:id="rId10" w:history="1">
              <w:r w:rsidR="0063592B" w:rsidRPr="00AA48B4">
                <w:rPr>
                  <w:rStyle w:val="Hyperlink"/>
                  <w:rFonts w:ascii="Trebuchet MS" w:hAnsi="Trebuchet MS"/>
                  <w:sz w:val="22"/>
                  <w:szCs w:val="24"/>
                  <w:u w:val="single"/>
                </w:rPr>
                <w:t>W</w:t>
              </w:r>
              <w:r w:rsidR="00AA48B4" w:rsidRPr="00AA48B4">
                <w:rPr>
                  <w:rStyle w:val="Hyperlink"/>
                  <w:rFonts w:ascii="Trebuchet MS" w:hAnsi="Trebuchet MS"/>
                  <w:sz w:val="22"/>
                  <w:szCs w:val="24"/>
                  <w:u w:val="single"/>
                </w:rPr>
                <w:t>IG</w:t>
              </w:r>
              <w:r w:rsidR="0063592B" w:rsidRPr="00AA48B4">
                <w:rPr>
                  <w:rStyle w:val="Hyperlink"/>
                  <w:rFonts w:ascii="Trebuchet MS" w:hAnsi="Trebuchet MS"/>
                  <w:sz w:val="22"/>
                  <w:szCs w:val="24"/>
                  <w:u w:val="single"/>
                </w:rPr>
                <w:t>O</w:t>
              </w:r>
              <w:r w:rsidR="00AA48B4" w:rsidRPr="00AA48B4">
                <w:rPr>
                  <w:rStyle w:val="Hyperlink"/>
                  <w:rFonts w:ascii="Trebuchet MS" w:hAnsi="Trebuchet MS"/>
                  <w:sz w:val="22"/>
                  <w:szCs w:val="24"/>
                  <w:u w:val="single"/>
                </w:rPr>
                <w:t>S</w:t>
              </w:r>
              <w:r w:rsidR="0063592B" w:rsidRPr="00AA48B4">
                <w:rPr>
                  <w:rStyle w:val="Hyperlink"/>
                  <w:rFonts w:ascii="Trebuchet MS" w:hAnsi="Trebuchet MS"/>
                  <w:sz w:val="22"/>
                  <w:szCs w:val="24"/>
                  <w:u w:val="single"/>
                </w:rPr>
                <w:t xml:space="preserve"> </w:t>
              </w:r>
              <w:r w:rsidR="00AA48B4" w:rsidRPr="00AA48B4">
                <w:rPr>
                  <w:rStyle w:val="Hyperlink"/>
                  <w:rFonts w:ascii="Trebuchet MS" w:hAnsi="Trebuchet MS"/>
                  <w:sz w:val="22"/>
                  <w:szCs w:val="24"/>
                  <w:u w:val="single"/>
                </w:rPr>
                <w:t>Webpage</w:t>
              </w:r>
            </w:hyperlink>
          </w:p>
          <w:p w:rsidR="00AA48B4" w:rsidRPr="00AA48B4" w:rsidRDefault="00AA48B4" w:rsidP="00A44D17">
            <w:pPr>
              <w:pStyle w:val="Links"/>
              <w:spacing w:before="0"/>
              <w:rPr>
                <w:rStyle w:val="Hyperlink"/>
                <w:u w:val="single"/>
              </w:rPr>
            </w:pPr>
          </w:p>
          <w:p w:rsidR="008E395A" w:rsidRDefault="00AA48B4" w:rsidP="00AA48B4">
            <w:pPr>
              <w:pStyle w:val="Links"/>
              <w:spacing w:before="0"/>
              <w:rPr>
                <w:u w:val="single"/>
              </w:rPr>
            </w:pPr>
            <w:r w:rsidRPr="00AA48B4">
              <w:rPr>
                <w:rStyle w:val="Hyperlink"/>
                <w:u w:val="single"/>
              </w:rPr>
              <w:t xml:space="preserve">WIGOS </w:t>
            </w:r>
            <w:hyperlink r:id="rId11" w:history="1"/>
            <w:r w:rsidRPr="00AA48B4">
              <w:rPr>
                <w:u w:val="single"/>
              </w:rPr>
              <w:t>email</w:t>
            </w:r>
          </w:p>
          <w:p w:rsidR="00AA48B4" w:rsidRDefault="00AA48B4" w:rsidP="00AA48B4">
            <w:pPr>
              <w:pStyle w:val="Links"/>
              <w:spacing w:before="0"/>
              <w:rPr>
                <w:u w:val="single"/>
              </w:rPr>
            </w:pPr>
          </w:p>
          <w:p w:rsidR="00AA48B4" w:rsidRDefault="00AA48B4" w:rsidP="00AA48B4">
            <w:pPr>
              <w:pStyle w:val="Links"/>
              <w:spacing w:before="0"/>
              <w:rPr>
                <w:u w:val="single"/>
              </w:rPr>
            </w:pPr>
          </w:p>
          <w:p w:rsidR="00AA48B4" w:rsidRDefault="00AA48B4" w:rsidP="00AA48B4">
            <w:pPr>
              <w:pStyle w:val="Links"/>
              <w:spacing w:before="0"/>
              <w:rPr>
                <w:u w:val="single"/>
              </w:rPr>
            </w:pPr>
          </w:p>
          <w:p w:rsidR="00AA48B4" w:rsidRDefault="00AA48B4" w:rsidP="00AA48B4">
            <w:pPr>
              <w:pStyle w:val="SideBarHeading"/>
            </w:pPr>
          </w:p>
          <w:p w:rsidR="00AA48B4" w:rsidRDefault="00AA48B4" w:rsidP="00AA48B4">
            <w:pPr>
              <w:pStyle w:val="SideBarHeading"/>
            </w:pPr>
          </w:p>
          <w:p w:rsidR="00AA48B4" w:rsidRDefault="00AA48B4" w:rsidP="00AA48B4">
            <w:pPr>
              <w:pStyle w:val="SideBarHeading"/>
            </w:pPr>
          </w:p>
          <w:p w:rsidR="00AA48B4" w:rsidRDefault="00AA48B4" w:rsidP="00AA48B4">
            <w:pPr>
              <w:pStyle w:val="SideBarHeading"/>
            </w:pPr>
          </w:p>
          <w:p w:rsidR="00AA48B4" w:rsidRDefault="00AA48B4" w:rsidP="00AA48B4">
            <w:pPr>
              <w:pStyle w:val="SideBarHeading"/>
            </w:pPr>
          </w:p>
          <w:p w:rsidR="00AA48B4" w:rsidRDefault="00AA48B4" w:rsidP="00AA48B4">
            <w:pPr>
              <w:pStyle w:val="SideBarHeading"/>
            </w:pPr>
          </w:p>
          <w:p w:rsidR="00AA48B4" w:rsidRDefault="00AA48B4" w:rsidP="00AA48B4">
            <w:pPr>
              <w:pStyle w:val="SideBarHeading"/>
            </w:pPr>
          </w:p>
          <w:p w:rsidR="00AA48B4" w:rsidRDefault="00AA48B4" w:rsidP="00AA48B4">
            <w:pPr>
              <w:pStyle w:val="SideBarHeading"/>
            </w:pPr>
          </w:p>
          <w:p w:rsidR="00AA48B4" w:rsidRDefault="00AA48B4" w:rsidP="00AA48B4">
            <w:pPr>
              <w:pStyle w:val="SideBarHeading"/>
            </w:pPr>
          </w:p>
          <w:p w:rsidR="00AA48B4" w:rsidRDefault="00AA48B4" w:rsidP="00AA48B4">
            <w:pPr>
              <w:pStyle w:val="SideBarHeading"/>
            </w:pPr>
          </w:p>
          <w:p w:rsidR="00AA48B4" w:rsidRDefault="00AA48B4" w:rsidP="00AA48B4">
            <w:pPr>
              <w:pStyle w:val="SideBarHeading"/>
            </w:pPr>
            <w:r>
              <w:t>Contacts:</w:t>
            </w:r>
          </w:p>
          <w:p w:rsidR="00AA48B4" w:rsidRPr="00AA48B4" w:rsidRDefault="001C5A83" w:rsidP="00AA48B4">
            <w:pPr>
              <w:pStyle w:val="SideBarHeading"/>
              <w:spacing w:before="240"/>
              <w:rPr>
                <w:u w:val="single"/>
              </w:rPr>
            </w:pPr>
            <w:hyperlink r:id="rId12" w:history="1">
              <w:r w:rsidR="00AA48B4" w:rsidRPr="00AA48B4">
                <w:rPr>
                  <w:rStyle w:val="Hyperlink"/>
                  <w:rFonts w:ascii="Trebuchet MS" w:hAnsi="Trebuchet MS"/>
                  <w:sz w:val="22"/>
                  <w:szCs w:val="24"/>
                  <w:u w:val="single"/>
                </w:rPr>
                <w:t>WIGOS Webpage</w:t>
              </w:r>
            </w:hyperlink>
          </w:p>
          <w:p w:rsidR="00AA48B4" w:rsidRPr="00AA48B4" w:rsidRDefault="00AA48B4" w:rsidP="00AA48B4">
            <w:pPr>
              <w:pStyle w:val="Links"/>
              <w:spacing w:before="0"/>
              <w:rPr>
                <w:rStyle w:val="Hyperlink"/>
                <w:u w:val="single"/>
              </w:rPr>
            </w:pPr>
          </w:p>
          <w:p w:rsidR="00AA48B4" w:rsidRPr="002D08DA" w:rsidRDefault="00AA48B4" w:rsidP="00AA48B4">
            <w:pPr>
              <w:pStyle w:val="Links"/>
              <w:spacing w:before="0"/>
              <w:rPr>
                <w:rStyle w:val="Hyperlink"/>
              </w:rPr>
            </w:pPr>
            <w:r w:rsidRPr="00AA48B4">
              <w:rPr>
                <w:rStyle w:val="Hyperlink"/>
                <w:u w:val="single"/>
              </w:rPr>
              <w:t xml:space="preserve">WIGOS </w:t>
            </w:r>
            <w:hyperlink r:id="rId13" w:history="1"/>
            <w:r w:rsidRPr="00AA48B4">
              <w:rPr>
                <w:u w:val="single"/>
              </w:rPr>
              <w:t>email</w:t>
            </w:r>
          </w:p>
        </w:tc>
        <w:tc>
          <w:tcPr>
            <w:tcW w:w="8474" w:type="dxa"/>
          </w:tcPr>
          <w:p w:rsidR="008E395A" w:rsidRDefault="00B4183F" w:rsidP="00710860">
            <w:pPr>
              <w:pStyle w:val="Heading1"/>
              <w:numPr>
                <w:ilvl w:val="0"/>
                <w:numId w:val="15"/>
              </w:numPr>
              <w:rPr>
                <w:sz w:val="28"/>
                <w:szCs w:val="28"/>
                <w:u w:val="single"/>
              </w:rPr>
            </w:pPr>
            <w:r w:rsidRPr="00276DE2">
              <w:rPr>
                <w:sz w:val="28"/>
                <w:szCs w:val="28"/>
                <w:u w:val="single"/>
              </w:rPr>
              <w:lastRenderedPageBreak/>
              <w:t>Welcome from the co-Chairs of ICG-WIGOS</w:t>
            </w:r>
          </w:p>
          <w:p w:rsidR="00710860" w:rsidRPr="00710860" w:rsidRDefault="00710860" w:rsidP="00710860">
            <w:pPr>
              <w:pStyle w:val="ListParagraph"/>
              <w:rPr>
                <w:lang w:val="en-US"/>
              </w:rPr>
            </w:pPr>
          </w:p>
          <w:p w:rsidR="008E395A" w:rsidRPr="00710860" w:rsidRDefault="00D37EDE" w:rsidP="00467D0D">
            <w:pPr>
              <w:pStyle w:val="BodyText"/>
              <w:rPr>
                <w:i/>
              </w:rPr>
            </w:pPr>
            <w:r>
              <w:rPr>
                <w:i/>
              </w:rPr>
              <w:t xml:space="preserve">Dear Colleagues in the WMO Community and others interested in the development of the WMO Integrated Global Observing System, or </w:t>
            </w:r>
            <w:proofErr w:type="gramStart"/>
            <w:r>
              <w:rPr>
                <w:i/>
              </w:rPr>
              <w:t>WIGOS, ….</w:t>
            </w:r>
            <w:proofErr w:type="gramEnd"/>
          </w:p>
          <w:p w:rsidR="00276DE2" w:rsidRPr="00276DE2" w:rsidRDefault="0063592B" w:rsidP="00467D0D">
            <w:pPr>
              <w:pStyle w:val="Heading2"/>
              <w:rPr>
                <w:sz w:val="28"/>
                <w:szCs w:val="28"/>
                <w:u w:val="single"/>
              </w:rPr>
            </w:pPr>
            <w:r w:rsidRPr="00276DE2">
              <w:rPr>
                <w:sz w:val="28"/>
                <w:szCs w:val="28"/>
                <w:u w:val="single"/>
              </w:rPr>
              <w:t xml:space="preserve">2. </w:t>
            </w:r>
            <w:r w:rsidR="00F756CB" w:rsidRPr="00276DE2">
              <w:rPr>
                <w:sz w:val="28"/>
                <w:szCs w:val="28"/>
                <w:u w:val="single"/>
              </w:rPr>
              <w:t>Global Activities</w:t>
            </w:r>
          </w:p>
          <w:p w:rsidR="008E395A" w:rsidRPr="00276DE2" w:rsidRDefault="00F756CB" w:rsidP="00276DE2">
            <w:pPr>
              <w:pStyle w:val="Heading2"/>
              <w:jc w:val="center"/>
              <w:rPr>
                <w:b/>
                <w:sz w:val="34"/>
                <w:szCs w:val="34"/>
              </w:rPr>
            </w:pPr>
            <w:r w:rsidRPr="00276DE2">
              <w:rPr>
                <w:b/>
                <w:sz w:val="34"/>
                <w:szCs w:val="34"/>
              </w:rPr>
              <w:t>WIGOS Regulatory M</w:t>
            </w:r>
            <w:r w:rsidR="00A44D17" w:rsidRPr="00276DE2">
              <w:rPr>
                <w:b/>
                <w:sz w:val="34"/>
                <w:szCs w:val="34"/>
              </w:rPr>
              <w:t>aterial in preparation fo</w:t>
            </w:r>
            <w:r w:rsidRPr="00276DE2">
              <w:rPr>
                <w:b/>
                <w:sz w:val="34"/>
                <w:szCs w:val="34"/>
              </w:rPr>
              <w:t>r the 17</w:t>
            </w:r>
            <w:r w:rsidRPr="00276DE2">
              <w:rPr>
                <w:b/>
                <w:sz w:val="34"/>
                <w:szCs w:val="34"/>
                <w:vertAlign w:val="superscript"/>
              </w:rPr>
              <w:t>th</w:t>
            </w:r>
            <w:r w:rsidRPr="00276DE2">
              <w:rPr>
                <w:b/>
                <w:sz w:val="34"/>
                <w:szCs w:val="34"/>
              </w:rPr>
              <w:t xml:space="preserve"> World Meteorological Congress</w:t>
            </w:r>
          </w:p>
          <w:p w:rsidR="001909C4" w:rsidRPr="001909C4" w:rsidRDefault="001909C4" w:rsidP="001909C4"/>
          <w:tbl>
            <w:tblPr>
              <w:tblW w:w="0" w:type="auto"/>
              <w:tblLook w:val="01E0" w:firstRow="1" w:lastRow="1" w:firstColumn="1" w:lastColumn="1" w:noHBand="0" w:noVBand="0"/>
            </w:tblPr>
            <w:tblGrid>
              <w:gridCol w:w="3966"/>
              <w:gridCol w:w="4292"/>
            </w:tblGrid>
            <w:tr w:rsidR="0093052A">
              <w:tc>
                <w:tcPr>
                  <w:tcW w:w="2141" w:type="dxa"/>
                  <w:vAlign w:val="center"/>
                </w:tcPr>
                <w:p w:rsidR="0093052A" w:rsidRDefault="00A44D17" w:rsidP="0093052A">
                  <w:pPr>
                    <w:pStyle w:val="BodyText"/>
                    <w:spacing w:before="60"/>
                    <w:jc w:val="center"/>
                  </w:pPr>
                  <w:r w:rsidRPr="00A44D17">
                    <w:rPr>
                      <w:noProof/>
                      <w:lang w:eastAsia="zh-TW"/>
                    </w:rPr>
                    <w:drawing>
                      <wp:inline distT="0" distB="0" distL="0" distR="0" wp14:anchorId="541B9F97" wp14:editId="42C646B0">
                        <wp:extent cx="2377440" cy="2048256"/>
                        <wp:effectExtent l="0" t="0" r="3810" b="9525"/>
                        <wp:docPr id="92162" name="Picture 4" descr="Key 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62" name="Picture 4" descr="Key Comp"/>
                                <pic:cNvPicPr>
                                  <a:picLocks noChangeAspect="1" noChangeArrowheads="1"/>
                                </pic:cNvPicPr>
                              </pic:nvPicPr>
                              <pic:blipFill>
                                <a:blip r:embed="rId14" cstate="print">
                                  <a:extLst>
                                    <a:ext uri="{28A0092B-C50C-407E-A947-70E740481C1C}">
                                      <a14:useLocalDpi xmlns:a14="http://schemas.microsoft.com/office/drawing/2010/main" val="0"/>
                                    </a:ext>
                                  </a:extLst>
                                </a:blip>
                                <a:srcRect l="27370" t="26199" r="24561" b="18594"/>
                                <a:stretch>
                                  <a:fillRect/>
                                </a:stretch>
                              </pic:blipFill>
                              <pic:spPr bwMode="auto">
                                <a:xfrm>
                                  <a:off x="0" y="0"/>
                                  <a:ext cx="2377440" cy="2048256"/>
                                </a:xfrm>
                                <a:prstGeom prst="rect">
                                  <a:avLst/>
                                </a:prstGeom>
                                <a:noFill/>
                                <a:ln>
                                  <a:noFill/>
                                </a:ln>
                                <a:extLst/>
                              </pic:spPr>
                            </pic:pic>
                          </a:graphicData>
                        </a:graphic>
                      </wp:inline>
                    </w:drawing>
                  </w:r>
                </w:p>
              </w:tc>
              <w:tc>
                <w:tcPr>
                  <w:tcW w:w="5791" w:type="dxa"/>
                </w:tcPr>
                <w:p w:rsidR="00342115" w:rsidRDefault="00342115" w:rsidP="00342115">
                  <w:pPr>
                    <w:pStyle w:val="BodyText"/>
                    <w:spacing w:after="0"/>
                  </w:pPr>
                </w:p>
                <w:p w:rsidR="0093052A" w:rsidRDefault="00E30558" w:rsidP="00DA3DAB">
                  <w:pPr>
                    <w:pStyle w:val="BodyText"/>
                  </w:pPr>
                  <w:r>
                    <w:t>One of the main goals of the WIGOS Implementation Phase as decided by the 16</w:t>
                  </w:r>
                  <w:r w:rsidRPr="007A58DF">
                    <w:rPr>
                      <w:vertAlign w:val="superscript"/>
                    </w:rPr>
                    <w:t>th</w:t>
                  </w:r>
                  <w:r>
                    <w:t xml:space="preserve"> World Meteorological Congress in 2011 was to put in place the necessary global framework for the implementation of WIGOS to be able to proceed at regional </w:t>
                  </w:r>
                  <w:r>
                    <w:t>and national levels. A key building block in the framework</w:t>
                  </w:r>
                  <w:r>
                    <w:t xml:space="preserve"> is the WIGOS Regulatory Material, the role of which is to spell out what the WMO Members have agreed to do via their decision to implement WIGO</w:t>
                  </w:r>
                  <w:r>
                    <w:t>S.</w:t>
                  </w:r>
                </w:p>
              </w:tc>
            </w:tr>
          </w:tbl>
          <w:p w:rsidR="007A58DF" w:rsidRDefault="007A58DF" w:rsidP="00467D0D">
            <w:pPr>
              <w:pStyle w:val="BodyText"/>
            </w:pPr>
          </w:p>
          <w:p w:rsidR="0093052A" w:rsidRDefault="007A58DF" w:rsidP="00467D0D">
            <w:pPr>
              <w:pStyle w:val="BodyText"/>
            </w:pPr>
            <w:r>
              <w:t xml:space="preserve">At its second session in 2013, the Inter-Commission Group on WIGOS (ICG-WIGOS) </w:t>
            </w:r>
            <w:r w:rsidR="00E82FAA">
              <w:t>decided that</w:t>
            </w:r>
            <w:r>
              <w:t xml:space="preserve"> the WIGOS Regulatory Material was to consist of two elements. One is the WIGOS part of the WMO Technical Regulations (WMO 49, Part I)</w:t>
            </w:r>
            <w:proofErr w:type="gramStart"/>
            <w:r>
              <w:t>,</w:t>
            </w:r>
            <w:proofErr w:type="gramEnd"/>
            <w:r>
              <w:t xml:space="preserve"> the other is the Manual on WIGOS.</w:t>
            </w:r>
            <w:r w:rsidR="00E82FAA">
              <w:t xml:space="preserve"> ICG-WIGOS then</w:t>
            </w:r>
            <w:r>
              <w:t xml:space="preserve"> formed a Task Team on WIGOS Regulatory Material (TT-WRM) and assigned to it the responsibility for drafting these two documents.</w:t>
            </w:r>
          </w:p>
          <w:p w:rsidR="00D37EDE" w:rsidRDefault="007A58DF" w:rsidP="00467D0D">
            <w:pPr>
              <w:pStyle w:val="BodyText"/>
              <w:rPr>
                <w:rFonts w:cs="Arial"/>
                <w:lang w:val="en-AU"/>
              </w:rPr>
            </w:pPr>
            <w:r w:rsidRPr="00B27167">
              <w:rPr>
                <w:rFonts w:cs="Arial"/>
                <w:lang w:val="en-AU"/>
              </w:rPr>
              <w:t>Since ICG-WIGOS-3, the main task of TT-WRM has been to refine the contents of the WIGOS Technical Regulations</w:t>
            </w:r>
            <w:r>
              <w:rPr>
                <w:rFonts w:cs="Arial"/>
                <w:lang w:val="en-AU"/>
              </w:rPr>
              <w:t xml:space="preserve"> (TRs)</w:t>
            </w:r>
            <w:r w:rsidRPr="00B27167">
              <w:rPr>
                <w:rFonts w:cs="Arial"/>
                <w:lang w:val="en-AU"/>
              </w:rPr>
              <w:t xml:space="preserve"> (Volume </w:t>
            </w:r>
            <w:r>
              <w:rPr>
                <w:rFonts w:cs="Arial"/>
                <w:lang w:val="en-AU"/>
              </w:rPr>
              <w:t>I,</w:t>
            </w:r>
            <w:r w:rsidRPr="00B27167">
              <w:rPr>
                <w:rFonts w:cs="Arial"/>
                <w:lang w:val="en-AU"/>
              </w:rPr>
              <w:t xml:space="preserve"> Part</w:t>
            </w:r>
            <w:r>
              <w:rPr>
                <w:rFonts w:cs="Arial"/>
                <w:lang w:val="en-AU"/>
              </w:rPr>
              <w:t xml:space="preserve"> I</w:t>
            </w:r>
            <w:r w:rsidRPr="00B27167">
              <w:rPr>
                <w:rFonts w:cs="Arial"/>
                <w:lang w:val="en-AU"/>
              </w:rPr>
              <w:t xml:space="preserve">) and </w:t>
            </w:r>
            <w:r>
              <w:rPr>
                <w:rFonts w:cs="Arial"/>
                <w:lang w:val="en-AU"/>
              </w:rPr>
              <w:t>Manual on WIGO</w:t>
            </w:r>
            <w:r w:rsidRPr="00B27167">
              <w:rPr>
                <w:rFonts w:cs="Arial"/>
                <w:lang w:val="en-AU"/>
              </w:rPr>
              <w:t>S taking into account feedback from several review processes as well as updated input from other teams</w:t>
            </w:r>
            <w:r w:rsidR="00D37EDE">
              <w:rPr>
                <w:rFonts w:cs="Arial"/>
                <w:lang w:val="en-AU"/>
              </w:rPr>
              <w:t>.</w:t>
            </w:r>
          </w:p>
          <w:p w:rsidR="00D37EDE" w:rsidRDefault="00D37EDE" w:rsidP="00467D0D">
            <w:pPr>
              <w:pStyle w:val="BodyText"/>
              <w:rPr>
                <w:rFonts w:cs="Arial"/>
                <w:lang w:val="en-AU"/>
              </w:rPr>
            </w:pPr>
            <w:r>
              <w:rPr>
                <w:rFonts w:cs="Arial"/>
                <w:lang w:val="en-AU"/>
              </w:rPr>
              <w:t>…</w:t>
            </w:r>
          </w:p>
          <w:p w:rsidR="00D37EDE" w:rsidRDefault="00D37EDE" w:rsidP="00467D0D">
            <w:pPr>
              <w:pStyle w:val="BodyText"/>
              <w:rPr>
                <w:rFonts w:cs="Arial"/>
                <w:lang w:val="en-AU"/>
              </w:rPr>
            </w:pPr>
          </w:p>
          <w:p w:rsidR="00E30558" w:rsidRDefault="00E30558" w:rsidP="00467D0D">
            <w:pPr>
              <w:pStyle w:val="BodyText"/>
              <w:rPr>
                <w:rFonts w:cs="Arial"/>
                <w:lang w:val="en-AU"/>
              </w:rPr>
            </w:pPr>
          </w:p>
          <w:p w:rsidR="00D37EDE" w:rsidRDefault="00D37EDE" w:rsidP="00467D0D">
            <w:pPr>
              <w:pStyle w:val="BodyText"/>
            </w:pPr>
          </w:p>
          <w:p w:rsidR="00276DE2" w:rsidRPr="00276DE2" w:rsidRDefault="0063592B" w:rsidP="00467D0D">
            <w:pPr>
              <w:pStyle w:val="Heading2"/>
              <w:rPr>
                <w:sz w:val="28"/>
                <w:szCs w:val="28"/>
                <w:u w:val="single"/>
              </w:rPr>
            </w:pPr>
            <w:r w:rsidRPr="00276DE2">
              <w:rPr>
                <w:sz w:val="28"/>
                <w:szCs w:val="28"/>
                <w:u w:val="single"/>
              </w:rPr>
              <w:lastRenderedPageBreak/>
              <w:t xml:space="preserve">3. </w:t>
            </w:r>
            <w:r w:rsidR="00276DE2" w:rsidRPr="00276DE2">
              <w:rPr>
                <w:sz w:val="28"/>
                <w:szCs w:val="28"/>
                <w:u w:val="single"/>
              </w:rPr>
              <w:t>Regional activities</w:t>
            </w:r>
          </w:p>
          <w:p w:rsidR="008E395A" w:rsidRPr="00276DE2" w:rsidRDefault="00276DE2" w:rsidP="00276DE2">
            <w:pPr>
              <w:pStyle w:val="Heading2"/>
              <w:jc w:val="center"/>
              <w:rPr>
                <w:b/>
                <w:sz w:val="34"/>
                <w:szCs w:val="34"/>
              </w:rPr>
            </w:pPr>
            <w:r w:rsidRPr="00276DE2">
              <w:rPr>
                <w:rFonts w:ascii="Arial" w:hAnsi="Arial"/>
                <w:b/>
                <w:sz w:val="32"/>
                <w:szCs w:val="32"/>
              </w:rPr>
              <w:t>WMO RA I Task Team on WIGOS, Second Session, Harare, 25-27 November 2014</w:t>
            </w:r>
          </w:p>
          <w:tbl>
            <w:tblPr>
              <w:tblW w:w="0" w:type="auto"/>
              <w:tblLook w:val="01E0" w:firstRow="1" w:lastRow="1" w:firstColumn="1" w:lastColumn="1" w:noHBand="0" w:noVBand="0"/>
            </w:tblPr>
            <w:tblGrid>
              <w:gridCol w:w="2714"/>
              <w:gridCol w:w="5233"/>
            </w:tblGrid>
            <w:tr w:rsidR="0093052A" w:rsidRPr="00483300">
              <w:tc>
                <w:tcPr>
                  <w:tcW w:w="2714" w:type="dxa"/>
                  <w:vAlign w:val="center"/>
                </w:tcPr>
                <w:p w:rsidR="0093052A" w:rsidRPr="00483300" w:rsidRDefault="00A44D17" w:rsidP="00785129">
                  <w:pPr>
                    <w:pStyle w:val="BodyText"/>
                    <w:spacing w:before="60"/>
                    <w:jc w:val="center"/>
                    <w:rPr>
                      <w:rFonts w:ascii="Arial" w:hAnsi="Arial" w:cs="Arial"/>
                      <w:sz w:val="22"/>
                      <w:szCs w:val="22"/>
                    </w:rPr>
                  </w:pPr>
                  <w:r w:rsidRPr="00483300">
                    <w:rPr>
                      <w:rFonts w:ascii="Arial" w:hAnsi="Arial" w:cs="Arial"/>
                      <w:noProof/>
                      <w:sz w:val="22"/>
                      <w:szCs w:val="22"/>
                      <w:lang w:eastAsia="zh-TW"/>
                    </w:rPr>
                    <w:drawing>
                      <wp:inline distT="0" distB="0" distL="0" distR="0" wp14:anchorId="4B9297D1" wp14:editId="51D70A83">
                        <wp:extent cx="1536700" cy="2278063"/>
                        <wp:effectExtent l="0" t="0" r="6350" b="8255"/>
                        <wp:docPr id="34820" name="Picture 4" descr="Balloon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0" name="Picture 4" descr="Balloon Man"/>
                                <pic:cNvPicPr>
                                  <a:picLocks noChangeAspect="1" noChangeArrowheads="1"/>
                                </pic:cNvPicPr>
                              </pic:nvPicPr>
                              <pic:blipFill>
                                <a:blip r:embed="rId15">
                                  <a:extLst>
                                    <a:ext uri="{28A0092B-C50C-407E-A947-70E740481C1C}">
                                      <a14:useLocalDpi xmlns:a14="http://schemas.microsoft.com/office/drawing/2010/main" val="0"/>
                                    </a:ext>
                                  </a:extLst>
                                </a:blip>
                                <a:srcRect l="10735" t="18710" r="12244" b="3253"/>
                                <a:stretch>
                                  <a:fillRect/>
                                </a:stretch>
                              </pic:blipFill>
                              <pic:spPr bwMode="auto">
                                <a:xfrm>
                                  <a:off x="0" y="0"/>
                                  <a:ext cx="1536700" cy="2278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233" w:type="dxa"/>
                </w:tcPr>
                <w:p w:rsidR="0093052A" w:rsidRPr="00483300" w:rsidRDefault="0093052A" w:rsidP="00785129">
                  <w:pPr>
                    <w:pStyle w:val="BodyText"/>
                    <w:rPr>
                      <w:rFonts w:ascii="Arial" w:hAnsi="Arial" w:cs="Arial"/>
                      <w:sz w:val="22"/>
                      <w:szCs w:val="22"/>
                    </w:rPr>
                  </w:pPr>
                </w:p>
                <w:p w:rsidR="00276DE2" w:rsidRPr="00483300" w:rsidRDefault="00E82FAA" w:rsidP="00276DE2">
                  <w:pPr>
                    <w:pStyle w:val="BodyText"/>
                    <w:rPr>
                      <w:rFonts w:ascii="Arial" w:hAnsi="Arial" w:cs="Arial"/>
                      <w:sz w:val="22"/>
                      <w:szCs w:val="22"/>
                    </w:rPr>
                  </w:pPr>
                  <w:r>
                    <w:rPr>
                      <w:rFonts w:ascii="Arial" w:hAnsi="Arial" w:cs="Arial"/>
                      <w:sz w:val="22"/>
                      <w:szCs w:val="22"/>
                    </w:rPr>
                    <w:t xml:space="preserve">The initial draft of the Regional WIGOS Implementation Plan for Region I (R-WIP I) was developed over a series of Sub-Regional Workshops held during 2013 and 2014. </w:t>
                  </w:r>
                  <w:r w:rsidR="00276DE2" w:rsidRPr="00483300">
                    <w:rPr>
                      <w:rFonts w:ascii="Arial" w:hAnsi="Arial" w:cs="Arial"/>
                      <w:sz w:val="22"/>
                      <w:szCs w:val="22"/>
                    </w:rPr>
                    <w:t>T</w:t>
                  </w:r>
                  <w:r>
                    <w:rPr>
                      <w:rFonts w:ascii="Arial" w:hAnsi="Arial" w:cs="Arial"/>
                      <w:sz w:val="22"/>
                      <w:szCs w:val="22"/>
                    </w:rPr>
                    <w:t xml:space="preserve">he full RA-I Task Team met in Harare in </w:t>
                  </w:r>
                  <w:proofErr w:type="spellStart"/>
                  <w:r>
                    <w:rPr>
                      <w:rFonts w:ascii="Arial" w:hAnsi="Arial" w:cs="Arial"/>
                      <w:sz w:val="22"/>
                      <w:szCs w:val="22"/>
                    </w:rPr>
                    <w:t>Novermber</w:t>
                  </w:r>
                  <w:proofErr w:type="spellEnd"/>
                  <w:r>
                    <w:rPr>
                      <w:rFonts w:ascii="Arial" w:hAnsi="Arial" w:cs="Arial"/>
                      <w:sz w:val="22"/>
                      <w:szCs w:val="22"/>
                    </w:rPr>
                    <w:t xml:space="preserve"> 2014 with the following two main goals:</w:t>
                  </w:r>
                </w:p>
                <w:p w:rsidR="00E82FAA" w:rsidRPr="00E82FAA" w:rsidRDefault="00E82FAA" w:rsidP="00E82FAA">
                  <w:pPr>
                    <w:pStyle w:val="BodyText"/>
                    <w:numPr>
                      <w:ilvl w:val="0"/>
                      <w:numId w:val="14"/>
                    </w:numPr>
                    <w:rPr>
                      <w:rFonts w:ascii="Arial" w:hAnsi="Arial" w:cs="Arial"/>
                      <w:sz w:val="22"/>
                      <w:szCs w:val="22"/>
                    </w:rPr>
                  </w:pPr>
                  <w:r>
                    <w:rPr>
                      <w:rFonts w:ascii="Arial" w:hAnsi="Arial" w:cs="Arial"/>
                      <w:sz w:val="22"/>
                      <w:szCs w:val="22"/>
                    </w:rPr>
                    <w:t>T</w:t>
                  </w:r>
                  <w:r w:rsidR="00276DE2" w:rsidRPr="00483300">
                    <w:rPr>
                      <w:rFonts w:ascii="Arial" w:hAnsi="Arial" w:cs="Arial"/>
                      <w:sz w:val="22"/>
                      <w:szCs w:val="22"/>
                    </w:rPr>
                    <w:t xml:space="preserve">o consolidate and finalize the RA-I WIGOS Implementation Plan (R-WIP-I) ahead of the 16th Session of Regional Association I in Cape Verde, February 2015. </w:t>
                  </w:r>
                </w:p>
                <w:p w:rsidR="00276DE2" w:rsidRPr="00483300" w:rsidRDefault="00E82FAA" w:rsidP="00785129">
                  <w:pPr>
                    <w:pStyle w:val="BodyText"/>
                    <w:numPr>
                      <w:ilvl w:val="0"/>
                      <w:numId w:val="14"/>
                    </w:numPr>
                    <w:rPr>
                      <w:rFonts w:ascii="Arial" w:hAnsi="Arial" w:cs="Arial"/>
                      <w:sz w:val="22"/>
                      <w:szCs w:val="22"/>
                    </w:rPr>
                  </w:pPr>
                  <w:r>
                    <w:rPr>
                      <w:rFonts w:ascii="Arial" w:hAnsi="Arial" w:cs="Arial"/>
                      <w:sz w:val="22"/>
                      <w:szCs w:val="22"/>
                    </w:rPr>
                    <w:t>T</w:t>
                  </w:r>
                  <w:r w:rsidR="00276DE2" w:rsidRPr="00483300">
                    <w:rPr>
                      <w:rFonts w:ascii="Arial" w:hAnsi="Arial" w:cs="Arial"/>
                      <w:sz w:val="22"/>
                      <w:szCs w:val="22"/>
                    </w:rPr>
                    <w:t>o review existing WIGOS implementation activities in Region I and to brainstorm and encourage further activities along these lines.</w:t>
                  </w:r>
                </w:p>
                <w:p w:rsidR="00A44D17" w:rsidRPr="00483300" w:rsidRDefault="00A44D17" w:rsidP="00785129">
                  <w:pPr>
                    <w:pStyle w:val="BodyText"/>
                    <w:rPr>
                      <w:rFonts w:ascii="Arial" w:hAnsi="Arial" w:cs="Arial"/>
                      <w:sz w:val="22"/>
                      <w:szCs w:val="22"/>
                    </w:rPr>
                  </w:pPr>
                </w:p>
              </w:tc>
            </w:tr>
          </w:tbl>
          <w:p w:rsidR="00483300" w:rsidRPr="00483300" w:rsidRDefault="00483300" w:rsidP="00483300">
            <w:pPr>
              <w:rPr>
                <w:rFonts w:ascii="Arial" w:eastAsia="Arial Bold" w:hAnsi="Arial" w:cs="Arial"/>
                <w:color w:val="222222"/>
                <w:sz w:val="22"/>
                <w:szCs w:val="22"/>
                <w:u w:color="222222"/>
                <w:shd w:val="clear" w:color="auto" w:fill="FFFFFF"/>
              </w:rPr>
            </w:pPr>
            <w:r>
              <w:rPr>
                <w:rFonts w:ascii="Arial" w:hAnsi="Arial" w:cs="Arial"/>
                <w:color w:val="222222"/>
                <w:sz w:val="22"/>
                <w:szCs w:val="22"/>
                <w:u w:color="222222"/>
                <w:shd w:val="clear" w:color="auto" w:fill="FFFFFF"/>
              </w:rPr>
              <w:t>R</w:t>
            </w:r>
            <w:r w:rsidRPr="00483300">
              <w:rPr>
                <w:rFonts w:ascii="Arial" w:hAnsi="Arial" w:cs="Arial"/>
                <w:color w:val="222222"/>
                <w:sz w:val="22"/>
                <w:szCs w:val="22"/>
                <w:u w:color="222222"/>
                <w:shd w:val="clear" w:color="auto" w:fill="FFFFFF"/>
              </w:rPr>
              <w:t>esults from the work of the five Sub-</w:t>
            </w:r>
            <w:proofErr w:type="spellStart"/>
            <w:r w:rsidRPr="00483300">
              <w:rPr>
                <w:rFonts w:ascii="Arial" w:hAnsi="Arial" w:cs="Arial"/>
                <w:color w:val="222222"/>
                <w:sz w:val="22"/>
                <w:szCs w:val="22"/>
                <w:u w:color="222222"/>
                <w:shd w:val="clear" w:color="auto" w:fill="FFFFFF"/>
              </w:rPr>
              <w:t>Reigonal</w:t>
            </w:r>
            <w:proofErr w:type="spellEnd"/>
            <w:r w:rsidRPr="00483300">
              <w:rPr>
                <w:rFonts w:ascii="Arial" w:hAnsi="Arial" w:cs="Arial"/>
                <w:color w:val="222222"/>
                <w:sz w:val="22"/>
                <w:szCs w:val="22"/>
                <w:u w:color="222222"/>
                <w:shd w:val="clear" w:color="auto" w:fill="FFFFFF"/>
              </w:rPr>
              <w:t xml:space="preserve"> RA-I Workshops on </w:t>
            </w:r>
            <w:proofErr w:type="gramStart"/>
            <w:r w:rsidRPr="00483300">
              <w:rPr>
                <w:rFonts w:ascii="Arial" w:hAnsi="Arial" w:cs="Arial"/>
                <w:color w:val="222222"/>
                <w:sz w:val="22"/>
                <w:szCs w:val="22"/>
                <w:u w:color="222222"/>
                <w:shd w:val="clear" w:color="auto" w:fill="FFFFFF"/>
              </w:rPr>
              <w:t>WIGOS  were</w:t>
            </w:r>
            <w:proofErr w:type="gramEnd"/>
            <w:r w:rsidRPr="00483300">
              <w:rPr>
                <w:rFonts w:ascii="Arial" w:hAnsi="Arial" w:cs="Arial"/>
                <w:color w:val="222222"/>
                <w:sz w:val="22"/>
                <w:szCs w:val="22"/>
                <w:u w:color="222222"/>
                <w:shd w:val="clear" w:color="auto" w:fill="FFFFFF"/>
              </w:rPr>
              <w:t xml:space="preserve"> presented by members of the RA-I WIGOS Task Team. The </w:t>
            </w:r>
            <w:proofErr w:type="gramStart"/>
            <w:r w:rsidRPr="00483300">
              <w:rPr>
                <w:rFonts w:ascii="Arial" w:hAnsi="Arial" w:cs="Arial"/>
                <w:color w:val="222222"/>
                <w:sz w:val="22"/>
                <w:szCs w:val="22"/>
                <w:u w:color="222222"/>
                <w:shd w:val="clear" w:color="auto" w:fill="FFFFFF"/>
              </w:rPr>
              <w:t>purpose of these Workshops were</w:t>
            </w:r>
            <w:proofErr w:type="gramEnd"/>
            <w:r w:rsidRPr="00483300">
              <w:rPr>
                <w:rFonts w:ascii="Arial" w:hAnsi="Arial" w:cs="Arial"/>
                <w:color w:val="222222"/>
                <w:sz w:val="22"/>
                <w:szCs w:val="22"/>
                <w:u w:color="222222"/>
                <w:shd w:val="clear" w:color="auto" w:fill="FFFFFF"/>
              </w:rPr>
              <w:t xml:space="preserve"> to develop Sub-Regional WIGOS Implementation Plans, recognizing that the geographic and cultural diversity of Africa would render a single unified R-WIP impractical and undesirable. One of the main tasks of the Workshops was to develop a Sub-Region specific version of the action list included in the R-WIP-I as Table 2, and the presentations were in fact </w:t>
            </w:r>
            <w:proofErr w:type="spellStart"/>
            <w:r w:rsidRPr="00483300">
              <w:rPr>
                <w:rFonts w:ascii="Arial" w:hAnsi="Arial" w:cs="Arial"/>
                <w:color w:val="222222"/>
                <w:sz w:val="22"/>
                <w:szCs w:val="22"/>
                <w:u w:color="222222"/>
                <w:shd w:val="clear" w:color="auto" w:fill="FFFFFF"/>
              </w:rPr>
              <w:t>centred</w:t>
            </w:r>
            <w:proofErr w:type="spellEnd"/>
            <w:r w:rsidRPr="00483300">
              <w:rPr>
                <w:rFonts w:ascii="Arial" w:hAnsi="Arial" w:cs="Arial"/>
                <w:color w:val="222222"/>
                <w:sz w:val="22"/>
                <w:szCs w:val="22"/>
                <w:u w:color="222222"/>
                <w:shd w:val="clear" w:color="auto" w:fill="FFFFFF"/>
              </w:rPr>
              <w:t xml:space="preserve"> </w:t>
            </w:r>
            <w:proofErr w:type="gramStart"/>
            <w:r w:rsidRPr="00483300">
              <w:rPr>
                <w:rFonts w:ascii="Arial" w:hAnsi="Arial" w:cs="Arial"/>
                <w:color w:val="222222"/>
                <w:sz w:val="22"/>
                <w:szCs w:val="22"/>
                <w:u w:color="222222"/>
                <w:shd w:val="clear" w:color="auto" w:fill="FFFFFF"/>
              </w:rPr>
              <w:t>around</w:t>
            </w:r>
            <w:proofErr w:type="gramEnd"/>
            <w:r w:rsidRPr="00483300">
              <w:rPr>
                <w:rFonts w:ascii="Arial" w:hAnsi="Arial" w:cs="Arial"/>
                <w:color w:val="222222"/>
                <w:sz w:val="22"/>
                <w:szCs w:val="22"/>
                <w:u w:color="222222"/>
                <w:shd w:val="clear" w:color="auto" w:fill="FFFFFF"/>
              </w:rPr>
              <w:t xml:space="preserve"> this table.</w:t>
            </w:r>
          </w:p>
          <w:p w:rsidR="00483300" w:rsidRPr="008F5F1C" w:rsidRDefault="00483300" w:rsidP="00483300">
            <w:pPr>
              <w:rPr>
                <w:rFonts w:ascii="Arial" w:eastAsia="Arial" w:hAnsi="Arial" w:cs="Arial"/>
                <w:color w:val="333333"/>
                <w:sz w:val="22"/>
                <w:szCs w:val="22"/>
                <w:u w:color="333333"/>
                <w:shd w:val="clear" w:color="auto" w:fill="FFFFFF"/>
              </w:rPr>
            </w:pPr>
            <w:r w:rsidRPr="008F5F1C">
              <w:rPr>
                <w:rFonts w:ascii="Arial" w:eastAsia="Arial" w:hAnsi="Arial" w:cs="Arial"/>
                <w:color w:val="333333"/>
                <w:sz w:val="22"/>
                <w:szCs w:val="22"/>
                <w:u w:color="333333"/>
                <w:shd w:val="clear" w:color="auto" w:fill="FFFFFF"/>
              </w:rPr>
              <w:t xml:space="preserve"> </w:t>
            </w:r>
          </w:p>
          <w:p w:rsidR="00483300" w:rsidRPr="008F5F1C" w:rsidRDefault="00483300" w:rsidP="00483300">
            <w:pPr>
              <w:rPr>
                <w:rFonts w:ascii="Arial" w:eastAsia="Arial" w:hAnsi="Arial" w:cs="Arial"/>
                <w:color w:val="333333"/>
                <w:sz w:val="22"/>
                <w:szCs w:val="22"/>
                <w:u w:color="333333"/>
                <w:shd w:val="clear" w:color="auto" w:fill="FFFFFF"/>
              </w:rPr>
            </w:pPr>
            <w:r>
              <w:rPr>
                <w:rFonts w:ascii="Arial" w:hAnsi="Arial" w:cs="Arial"/>
                <w:color w:val="333333"/>
                <w:sz w:val="22"/>
                <w:szCs w:val="22"/>
                <w:u w:color="333333"/>
                <w:shd w:val="clear" w:color="auto" w:fill="FFFFFF"/>
              </w:rPr>
              <w:t>A number of</w:t>
            </w:r>
            <w:r w:rsidRPr="008F5F1C">
              <w:rPr>
                <w:rFonts w:ascii="Arial" w:hAnsi="Arial" w:cs="Arial"/>
                <w:color w:val="333333"/>
                <w:sz w:val="22"/>
                <w:szCs w:val="22"/>
                <w:u w:color="333333"/>
                <w:shd w:val="clear" w:color="auto" w:fill="FFFFFF"/>
              </w:rPr>
              <w:t xml:space="preserve"> common denominators for all sub-regions could be identified: Support for migration to TDCF, calibration of instruments was needed; rehabilitation of networks, in particular upper air stations was needed; support for development of AWS networks (specification, procurement, installation, calibration, operation) was needed. Guidance on how to develop and exploit partnership agreements was also requested, and several examples of potential pitfalls regarding data policy issues and potential conflicts of interest were discussed. Several of the issues emerging in the discussion were found to affect WIS, or in some cases both WIS and WIGOS (e.g. regarding telecommunications failures), and the point was made that WIS and WIGOS needed to collaborate even more closely in the Region in order for both to be successful.</w:t>
            </w:r>
          </w:p>
          <w:p w:rsidR="00483300" w:rsidRPr="008F5F1C" w:rsidRDefault="00483300" w:rsidP="00483300">
            <w:pPr>
              <w:rPr>
                <w:rFonts w:ascii="Arial" w:eastAsia="Arial" w:hAnsi="Arial" w:cs="Arial"/>
                <w:color w:val="333333"/>
                <w:sz w:val="22"/>
                <w:szCs w:val="22"/>
                <w:u w:color="333333"/>
                <w:shd w:val="clear" w:color="auto" w:fill="FFFFFF"/>
              </w:rPr>
            </w:pPr>
          </w:p>
          <w:p w:rsidR="00483300" w:rsidRPr="008F5F1C" w:rsidRDefault="00483300" w:rsidP="00483300">
            <w:pPr>
              <w:rPr>
                <w:rFonts w:ascii="Arial" w:eastAsia="Arial" w:hAnsi="Arial" w:cs="Arial"/>
                <w:color w:val="222222"/>
                <w:sz w:val="22"/>
                <w:szCs w:val="22"/>
                <w:u w:color="222222"/>
                <w:shd w:val="clear" w:color="auto" w:fill="FFFFFF"/>
              </w:rPr>
            </w:pPr>
            <w:r w:rsidRPr="008F5F1C">
              <w:rPr>
                <w:rFonts w:ascii="Arial" w:hAnsi="Arial" w:cs="Arial"/>
                <w:color w:val="333333"/>
                <w:sz w:val="22"/>
                <w:szCs w:val="22"/>
                <w:u w:color="333333"/>
                <w:shd w:val="clear" w:color="auto" w:fill="FFFFFF"/>
              </w:rPr>
              <w:t>Following the presentations from the sub-regions and the subsequent discussion, a consolidated table, eliminating redundant entries and drawing on the common elements was developed. This consolidated Table 2, to be included in the draft R-WIP-I submitted to RA-I-16, is included here as Annex III.</w:t>
            </w:r>
          </w:p>
          <w:p w:rsidR="00483300" w:rsidRPr="008F5F1C" w:rsidRDefault="00483300" w:rsidP="00483300">
            <w:pPr>
              <w:pStyle w:val="ListParagraph"/>
              <w:tabs>
                <w:tab w:val="left" w:pos="720"/>
              </w:tabs>
              <w:ind w:left="0"/>
              <w:rPr>
                <w:rFonts w:ascii="Arial" w:eastAsia="Arial Bold" w:hAnsi="Arial" w:cs="Arial"/>
                <w:color w:val="222222"/>
                <w:lang w:val="en-US"/>
              </w:rPr>
            </w:pPr>
          </w:p>
          <w:p w:rsidR="00483300" w:rsidRPr="008F5F1C" w:rsidRDefault="00483300" w:rsidP="00483300">
            <w:pPr>
              <w:pStyle w:val="ListParagraph"/>
              <w:tabs>
                <w:tab w:val="left" w:pos="720"/>
              </w:tabs>
              <w:ind w:left="0"/>
              <w:rPr>
                <w:rFonts w:ascii="Arial" w:eastAsia="Arial Bold" w:hAnsi="Arial" w:cs="Arial"/>
                <w:color w:val="222222"/>
                <w:u w:color="222222"/>
                <w:shd w:val="clear" w:color="auto" w:fill="FFFFFF"/>
                <w:lang w:val="en-US"/>
              </w:rPr>
            </w:pPr>
            <w:r w:rsidRPr="008F5F1C">
              <w:rPr>
                <w:rFonts w:ascii="Arial" w:hAnsi="Arial" w:cs="Arial"/>
                <w:color w:val="222222"/>
                <w:u w:color="222222"/>
                <w:shd w:val="clear" w:color="auto" w:fill="FFFFFF"/>
                <w:lang w:val="en-US"/>
              </w:rPr>
              <w:t xml:space="preserve">The proposed Working Structure includes both volunteer-based elements (Task Teams and Expert Teams), and dedicated full-time elements, known as WIGOS Centers.  Central to this new Working Structure is the concept of WIGOS Regional Centers (WRCs). The WRCs are intended to help bridge the gap between the WIGOS Project Office at the WMO Secretariat and the individual WMO Members, </w:t>
            </w:r>
            <w:proofErr w:type="spellStart"/>
            <w:r w:rsidRPr="008F5F1C">
              <w:rPr>
                <w:rFonts w:ascii="Arial" w:hAnsi="Arial" w:cs="Arial"/>
                <w:color w:val="222222"/>
                <w:u w:color="222222"/>
                <w:shd w:val="clear" w:color="auto" w:fill="FFFFFF"/>
                <w:lang w:val="en-US"/>
              </w:rPr>
              <w:t>recognising</w:t>
            </w:r>
            <w:proofErr w:type="spellEnd"/>
            <w:r w:rsidRPr="008F5F1C">
              <w:rPr>
                <w:rFonts w:ascii="Arial" w:hAnsi="Arial" w:cs="Arial"/>
                <w:color w:val="222222"/>
                <w:u w:color="222222"/>
                <w:shd w:val="clear" w:color="auto" w:fill="FFFFFF"/>
                <w:lang w:val="en-US"/>
              </w:rPr>
              <w:t xml:space="preserve"> that many Members are requesting support from WMO for the implementation efforts and that it is unrealistic for the WIGOS PO to do this on a country by country basis.</w:t>
            </w:r>
          </w:p>
          <w:p w:rsidR="00483300" w:rsidRPr="008F5F1C" w:rsidRDefault="00483300" w:rsidP="00483300">
            <w:pPr>
              <w:pStyle w:val="ListParagraph"/>
              <w:tabs>
                <w:tab w:val="left" w:pos="720"/>
              </w:tabs>
              <w:ind w:left="0"/>
              <w:rPr>
                <w:rFonts w:ascii="Arial" w:eastAsia="Arial Bold" w:hAnsi="Arial" w:cs="Arial"/>
                <w:color w:val="222222"/>
                <w:u w:color="222222"/>
                <w:shd w:val="clear" w:color="auto" w:fill="FFFFFF"/>
                <w:lang w:val="en-US"/>
              </w:rPr>
            </w:pPr>
          </w:p>
          <w:p w:rsidR="00483300" w:rsidRPr="008F5F1C" w:rsidRDefault="00483300" w:rsidP="00483300">
            <w:pPr>
              <w:pStyle w:val="ListParagraph"/>
              <w:tabs>
                <w:tab w:val="left" w:pos="720"/>
              </w:tabs>
              <w:ind w:left="0"/>
              <w:rPr>
                <w:rFonts w:ascii="Arial" w:eastAsia="Arial Bold" w:hAnsi="Arial" w:cs="Arial"/>
                <w:color w:val="222222"/>
                <w:u w:color="222222"/>
                <w:shd w:val="clear" w:color="auto" w:fill="FFFFFF"/>
                <w:lang w:val="en-US"/>
              </w:rPr>
            </w:pPr>
            <w:r w:rsidRPr="008F5F1C">
              <w:rPr>
                <w:rFonts w:ascii="Arial" w:hAnsi="Arial" w:cs="Arial"/>
                <w:color w:val="222222"/>
                <w:u w:color="222222"/>
                <w:shd w:val="clear" w:color="auto" w:fill="FFFFFF"/>
                <w:lang w:val="en-US"/>
              </w:rPr>
              <w:t xml:space="preserve">The general area of responsibility of the WIGOS Regional Centers would be to </w:t>
            </w:r>
            <w:r w:rsidRPr="008F5F1C">
              <w:rPr>
                <w:rFonts w:ascii="Arial" w:hAnsi="Arial" w:cs="Arial"/>
                <w:color w:val="222222"/>
                <w:u w:color="222222"/>
                <w:shd w:val="clear" w:color="auto" w:fill="FFFFFF"/>
                <w:lang w:val="en-US"/>
              </w:rPr>
              <w:lastRenderedPageBreak/>
              <w:t>support the national implementation efforts, and among specific activities for which the Centers could provide such support, the following were highlighted: Observational network design, procurement of new systems (specifications, tendering, evaluation</w:t>
            </w:r>
            <w:proofErr w:type="gramStart"/>
            <w:r w:rsidRPr="008F5F1C">
              <w:rPr>
                <w:rFonts w:ascii="Arial" w:hAnsi="Arial" w:cs="Arial"/>
                <w:color w:val="222222"/>
                <w:u w:color="222222"/>
                <w:shd w:val="clear" w:color="auto" w:fill="FFFFFF"/>
                <w:lang w:val="en-US"/>
              </w:rPr>
              <w:t>,…</w:t>
            </w:r>
            <w:proofErr w:type="gramEnd"/>
            <w:r w:rsidRPr="008F5F1C">
              <w:rPr>
                <w:rFonts w:ascii="Arial" w:hAnsi="Arial" w:cs="Arial"/>
                <w:color w:val="222222"/>
                <w:u w:color="222222"/>
                <w:shd w:val="clear" w:color="auto" w:fill="FFFFFF"/>
                <w:lang w:val="en-US"/>
              </w:rPr>
              <w:t xml:space="preserve">), installation, calibration and maintenance of new systems, data processing and training. It was recognized that </w:t>
            </w:r>
            <w:proofErr w:type="spellStart"/>
            <w:r w:rsidRPr="008F5F1C">
              <w:rPr>
                <w:rFonts w:ascii="Arial" w:hAnsi="Arial" w:cs="Arial"/>
                <w:color w:val="222222"/>
                <w:u w:color="222222"/>
                <w:shd w:val="clear" w:color="auto" w:fill="FFFFFF"/>
                <w:lang w:val="en-US"/>
              </w:rPr>
              <w:t>their</w:t>
            </w:r>
            <w:proofErr w:type="spellEnd"/>
            <w:r w:rsidRPr="008F5F1C">
              <w:rPr>
                <w:rFonts w:ascii="Arial" w:hAnsi="Arial" w:cs="Arial"/>
                <w:color w:val="222222"/>
                <w:u w:color="222222"/>
                <w:shd w:val="clear" w:color="auto" w:fill="FFFFFF"/>
                <w:lang w:val="en-US"/>
              </w:rPr>
              <w:t xml:space="preserve"> might be areas of overlap with existing WMO Centers, in particular the Regional Instrument Centers (RICs) and Regional Training Centers (RTCs), and that this relationship will need to be clarified during the further development of the concept. Finally it was noted that a critical element of the WIGOS Regional Centers will be a rigorous auditing and review process, not only for initial approval of a WRC, but also for revoking the credentials in case a Center does not fulfil </w:t>
            </w:r>
            <w:proofErr w:type="gramStart"/>
            <w:r w:rsidRPr="008F5F1C">
              <w:rPr>
                <w:rFonts w:ascii="Arial" w:hAnsi="Arial" w:cs="Arial"/>
                <w:color w:val="222222"/>
                <w:u w:color="222222"/>
                <w:shd w:val="clear" w:color="auto" w:fill="FFFFFF"/>
                <w:lang w:val="en-US"/>
              </w:rPr>
              <w:t>its</w:t>
            </w:r>
            <w:proofErr w:type="gramEnd"/>
            <w:r w:rsidRPr="008F5F1C">
              <w:rPr>
                <w:rFonts w:ascii="Arial" w:hAnsi="Arial" w:cs="Arial"/>
                <w:color w:val="222222"/>
                <w:u w:color="222222"/>
                <w:shd w:val="clear" w:color="auto" w:fill="FFFFFF"/>
                <w:lang w:val="en-US"/>
              </w:rPr>
              <w:t xml:space="preserve"> agreed and approved responsibilities.</w:t>
            </w:r>
          </w:p>
          <w:p w:rsidR="00483300" w:rsidRPr="008F5F1C" w:rsidRDefault="00483300" w:rsidP="00483300">
            <w:pPr>
              <w:pStyle w:val="ListParagraph"/>
              <w:tabs>
                <w:tab w:val="left" w:pos="720"/>
              </w:tabs>
              <w:ind w:left="0"/>
              <w:rPr>
                <w:rFonts w:ascii="Arial" w:eastAsia="Arial Bold" w:hAnsi="Arial" w:cs="Arial"/>
                <w:color w:val="222222"/>
                <w:u w:color="222222"/>
                <w:shd w:val="clear" w:color="auto" w:fill="FFFFFF"/>
                <w:lang w:val="en-US"/>
              </w:rPr>
            </w:pPr>
          </w:p>
          <w:p w:rsidR="00483300" w:rsidRPr="008F5F1C" w:rsidRDefault="00483300" w:rsidP="00483300">
            <w:pPr>
              <w:pStyle w:val="ListParagraph"/>
              <w:tabs>
                <w:tab w:val="left" w:pos="720"/>
              </w:tabs>
              <w:ind w:left="0"/>
              <w:rPr>
                <w:rFonts w:ascii="Arial" w:eastAsia="Arial Bold" w:hAnsi="Arial" w:cs="Arial"/>
                <w:color w:val="222222"/>
                <w:u w:color="222222"/>
                <w:shd w:val="clear" w:color="auto" w:fill="FFFFFF"/>
                <w:lang w:val="en-US"/>
              </w:rPr>
            </w:pPr>
            <w:r w:rsidRPr="008F5F1C">
              <w:rPr>
                <w:rFonts w:ascii="Arial" w:hAnsi="Arial" w:cs="Arial"/>
                <w:color w:val="222222"/>
                <w:u w:color="222222"/>
                <w:shd w:val="clear" w:color="auto" w:fill="FFFFFF"/>
                <w:lang w:val="en-US"/>
              </w:rPr>
              <w:t xml:space="preserve">The meeting recommended that TT-WIGOS be re-established for the next Inter-Sessional period, with revised Terms of Reference to should include the responsibility to “guide, oversee and review” the implementation of WIGOS at the Regional, Sub-Regional and National level. The meeting further voiced very strong support for the </w:t>
            </w:r>
            <w:proofErr w:type="gramStart"/>
            <w:r w:rsidRPr="008F5F1C">
              <w:rPr>
                <w:rFonts w:ascii="Arial" w:hAnsi="Arial" w:cs="Arial"/>
                <w:color w:val="222222"/>
                <w:u w:color="222222"/>
                <w:shd w:val="clear" w:color="auto" w:fill="FFFFFF"/>
                <w:lang w:val="en-US"/>
              </w:rPr>
              <w:t>concept  of</w:t>
            </w:r>
            <w:proofErr w:type="gramEnd"/>
            <w:r w:rsidRPr="008F5F1C">
              <w:rPr>
                <w:rFonts w:ascii="Arial" w:hAnsi="Arial" w:cs="Arial"/>
                <w:color w:val="222222"/>
                <w:u w:color="222222"/>
                <w:shd w:val="clear" w:color="auto" w:fill="FFFFFF"/>
                <w:lang w:val="en-US"/>
              </w:rPr>
              <w:t xml:space="preserve"> WIGOS Regional Centers, and some of the countries represented at the meeting expressed interest in hosting or co-hosting such Centers. The WMO Secretariat was requested to showcase the concept at the upcoming 16th Session of Regional Association I in Cape Verde - including at the preceding Regional Conference and at side events where possible - with the aim of soliciting further support as well as indications of interesting in hosting or co-hosting the WRCs.</w:t>
            </w:r>
          </w:p>
          <w:p w:rsidR="008E395A" w:rsidRDefault="008E395A" w:rsidP="00467D0D">
            <w:pPr>
              <w:pStyle w:val="BodyText"/>
            </w:pPr>
          </w:p>
        </w:tc>
      </w:tr>
    </w:tbl>
    <w:p w:rsidR="00276DE2" w:rsidRPr="00D37EDE" w:rsidRDefault="004E0CA3" w:rsidP="00F756CB">
      <w:pPr>
        <w:pStyle w:val="Heading2"/>
        <w:rPr>
          <w:rFonts w:ascii="Arial Bold" w:eastAsia="Arial Bold" w:hAnsi="Arial Bold" w:cs="Arial Bold"/>
          <w:color w:val="011993"/>
          <w:kern w:val="0"/>
          <w:sz w:val="28"/>
          <w:szCs w:val="28"/>
          <w:u w:val="single"/>
        </w:rPr>
      </w:pPr>
      <w:r w:rsidRPr="00D37EDE">
        <w:rPr>
          <w:sz w:val="28"/>
          <w:szCs w:val="28"/>
          <w:u w:val="single"/>
        </w:rPr>
        <w:lastRenderedPageBreak/>
        <w:t>4</w:t>
      </w:r>
      <w:r w:rsidR="00F756CB" w:rsidRPr="00D37EDE">
        <w:rPr>
          <w:sz w:val="28"/>
          <w:szCs w:val="28"/>
          <w:u w:val="single"/>
        </w:rPr>
        <w:t>. National A</w:t>
      </w:r>
      <w:r w:rsidR="00276DE2" w:rsidRPr="00D37EDE">
        <w:rPr>
          <w:sz w:val="28"/>
          <w:szCs w:val="28"/>
          <w:u w:val="single"/>
        </w:rPr>
        <w:t>ctivities</w:t>
      </w:r>
    </w:p>
    <w:p w:rsidR="00F756CB" w:rsidRPr="00276DE2" w:rsidRDefault="00276DE2" w:rsidP="00276DE2">
      <w:pPr>
        <w:pStyle w:val="Heading2"/>
        <w:jc w:val="center"/>
        <w:rPr>
          <w:rFonts w:ascii="Arial" w:hAnsi="Arial"/>
          <w:b/>
          <w:sz w:val="34"/>
          <w:szCs w:val="34"/>
        </w:rPr>
      </w:pPr>
      <w:r w:rsidRPr="00276DE2">
        <w:rPr>
          <w:rFonts w:ascii="Arial" w:hAnsi="Arial"/>
          <w:b/>
          <w:sz w:val="34"/>
          <w:szCs w:val="34"/>
        </w:rPr>
        <w:t>National WIGOS Implementation Workshop of Cote d’Ivoire, Abidjan, 16-17 December 2014</w:t>
      </w:r>
    </w:p>
    <w:p w:rsidR="00276DE2" w:rsidRPr="00276DE2" w:rsidRDefault="00276DE2" w:rsidP="00276DE2"/>
    <w:tbl>
      <w:tblPr>
        <w:tblW w:w="0" w:type="auto"/>
        <w:tblLook w:val="01E0" w:firstRow="1" w:lastRow="1" w:firstColumn="1" w:lastColumn="1" w:noHBand="0" w:noVBand="0"/>
      </w:tblPr>
      <w:tblGrid>
        <w:gridCol w:w="2714"/>
        <w:gridCol w:w="5233"/>
      </w:tblGrid>
      <w:tr w:rsidR="00F756CB" w:rsidRPr="00D37EDE" w:rsidTr="001C0182">
        <w:tc>
          <w:tcPr>
            <w:tcW w:w="2714" w:type="dxa"/>
            <w:vAlign w:val="center"/>
          </w:tcPr>
          <w:p w:rsidR="00F756CB" w:rsidRPr="00D37EDE" w:rsidRDefault="00F756CB" w:rsidP="001C0182">
            <w:pPr>
              <w:pStyle w:val="BodyText"/>
              <w:spacing w:before="60"/>
              <w:jc w:val="center"/>
              <w:rPr>
                <w:rFonts w:ascii="Arial" w:hAnsi="Arial" w:cs="Arial"/>
                <w:sz w:val="22"/>
                <w:szCs w:val="22"/>
              </w:rPr>
            </w:pPr>
            <w:r w:rsidRPr="00D37EDE">
              <w:rPr>
                <w:rFonts w:ascii="Arial" w:hAnsi="Arial" w:cs="Arial"/>
                <w:noProof/>
                <w:sz w:val="22"/>
                <w:szCs w:val="22"/>
                <w:lang w:eastAsia="zh-TW"/>
              </w:rPr>
              <w:drawing>
                <wp:inline distT="0" distB="0" distL="0" distR="0" wp14:anchorId="68105D0B" wp14:editId="56CE6B27">
                  <wp:extent cx="1536700" cy="2278063"/>
                  <wp:effectExtent l="0" t="0" r="6350" b="8255"/>
                  <wp:docPr id="1" name="Picture 4" descr="Balloon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0" name="Picture 4" descr="Balloon Man"/>
                          <pic:cNvPicPr>
                            <a:picLocks noChangeAspect="1" noChangeArrowheads="1"/>
                          </pic:cNvPicPr>
                        </pic:nvPicPr>
                        <pic:blipFill>
                          <a:blip r:embed="rId15">
                            <a:extLst>
                              <a:ext uri="{28A0092B-C50C-407E-A947-70E740481C1C}">
                                <a14:useLocalDpi xmlns:a14="http://schemas.microsoft.com/office/drawing/2010/main" val="0"/>
                              </a:ext>
                            </a:extLst>
                          </a:blip>
                          <a:srcRect l="10735" t="18710" r="12244" b="3253"/>
                          <a:stretch>
                            <a:fillRect/>
                          </a:stretch>
                        </pic:blipFill>
                        <pic:spPr bwMode="auto">
                          <a:xfrm>
                            <a:off x="0" y="0"/>
                            <a:ext cx="1536700" cy="2278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233" w:type="dxa"/>
          </w:tcPr>
          <w:p w:rsidR="00F756CB" w:rsidRPr="00D37EDE" w:rsidRDefault="00D37EDE" w:rsidP="001C0182">
            <w:pPr>
              <w:pStyle w:val="BodyText"/>
              <w:rPr>
                <w:rFonts w:ascii="Arial" w:hAnsi="Arial" w:cs="Arial"/>
                <w:sz w:val="22"/>
                <w:szCs w:val="22"/>
              </w:rPr>
            </w:pPr>
            <w:r w:rsidRPr="00D37EDE">
              <w:rPr>
                <w:rFonts w:ascii="Arial" w:hAnsi="Arial" w:cs="Arial"/>
                <w:sz w:val="22"/>
                <w:szCs w:val="22"/>
              </w:rPr>
              <w:t>One of the main outcomes of WIGOS is to put th</w:t>
            </w:r>
            <w:r>
              <w:rPr>
                <w:rFonts w:ascii="Arial" w:hAnsi="Arial" w:cs="Arial"/>
                <w:sz w:val="22"/>
                <w:szCs w:val="22"/>
              </w:rPr>
              <w:t>e WMO Members and</w:t>
            </w:r>
            <w:r w:rsidRPr="00D37EDE">
              <w:rPr>
                <w:rFonts w:ascii="Arial" w:hAnsi="Arial" w:cs="Arial"/>
                <w:sz w:val="22"/>
                <w:szCs w:val="22"/>
              </w:rPr>
              <w:t xml:space="preserve"> their National Meteorological and Hydrological Services, in a position to better serve their citizens and user communities with information and data products related to weather, climate and similar environmental issue.</w:t>
            </w:r>
          </w:p>
          <w:p w:rsidR="00D37EDE" w:rsidRPr="00D37EDE" w:rsidRDefault="00D37EDE" w:rsidP="001C0182">
            <w:pPr>
              <w:pStyle w:val="BodyText"/>
              <w:rPr>
                <w:rFonts w:ascii="Arial" w:hAnsi="Arial" w:cs="Arial"/>
                <w:sz w:val="22"/>
                <w:szCs w:val="22"/>
              </w:rPr>
            </w:pPr>
            <w:r w:rsidRPr="00D37EDE">
              <w:rPr>
                <w:rFonts w:ascii="Arial" w:hAnsi="Arial" w:cs="Arial"/>
                <w:sz w:val="22"/>
                <w:szCs w:val="22"/>
              </w:rPr>
              <w:t xml:space="preserve">In order to achieve this outcome, WIGOS aims to deliver better integrated observing systems, in which data are shared among different disciplines, different application areas, and different organizations. </w:t>
            </w:r>
          </w:p>
          <w:p w:rsidR="00F756CB" w:rsidRPr="00D37EDE" w:rsidRDefault="00F756CB" w:rsidP="00483300">
            <w:pPr>
              <w:pStyle w:val="BodyText"/>
              <w:rPr>
                <w:rFonts w:ascii="Arial" w:hAnsi="Arial" w:cs="Arial"/>
                <w:sz w:val="22"/>
                <w:szCs w:val="22"/>
              </w:rPr>
            </w:pPr>
            <w:r w:rsidRPr="00D37EDE">
              <w:rPr>
                <w:rFonts w:ascii="Arial" w:hAnsi="Arial" w:cs="Arial"/>
                <w:sz w:val="22"/>
                <w:szCs w:val="22"/>
              </w:rPr>
              <w:t>T</w:t>
            </w:r>
            <w:r w:rsidR="00D37EDE" w:rsidRPr="00D37EDE">
              <w:rPr>
                <w:rFonts w:ascii="Arial" w:hAnsi="Arial" w:cs="Arial"/>
                <w:sz w:val="22"/>
                <w:szCs w:val="22"/>
              </w:rPr>
              <w:t>he latter area, integration across agency boundaries within the same national government</w:t>
            </w:r>
            <w:r w:rsidR="00D37EDE">
              <w:rPr>
                <w:rFonts w:ascii="Arial" w:hAnsi="Arial" w:cs="Arial"/>
                <w:sz w:val="22"/>
                <w:szCs w:val="22"/>
              </w:rPr>
              <w:t>,</w:t>
            </w:r>
            <w:r w:rsidR="00D37EDE" w:rsidRPr="00D37EDE">
              <w:rPr>
                <w:rFonts w:ascii="Arial" w:hAnsi="Arial" w:cs="Arial"/>
                <w:sz w:val="22"/>
                <w:szCs w:val="22"/>
              </w:rPr>
              <w:t xml:space="preserve"> is being pioneered by Cote d’Ivoire.</w:t>
            </w:r>
            <w:r w:rsidRPr="00D37EDE">
              <w:rPr>
                <w:rFonts w:ascii="Arial" w:hAnsi="Arial" w:cs="Arial"/>
                <w:sz w:val="22"/>
                <w:szCs w:val="22"/>
              </w:rPr>
              <w:t xml:space="preserve"> </w:t>
            </w:r>
          </w:p>
        </w:tc>
      </w:tr>
    </w:tbl>
    <w:p w:rsidR="00D37EDE" w:rsidRPr="00D37EDE" w:rsidRDefault="00D37EDE" w:rsidP="00F756CB">
      <w:pPr>
        <w:pStyle w:val="BodyText"/>
        <w:rPr>
          <w:rFonts w:ascii="Arial" w:hAnsi="Arial" w:cs="Arial"/>
          <w:sz w:val="22"/>
          <w:szCs w:val="22"/>
        </w:rPr>
      </w:pPr>
      <w:r w:rsidRPr="00D37EDE">
        <w:rPr>
          <w:rFonts w:ascii="Arial" w:hAnsi="Arial" w:cs="Arial"/>
          <w:sz w:val="22"/>
          <w:szCs w:val="22"/>
        </w:rPr>
        <w:t xml:space="preserve">Cote d’Ivoire is a medium-sized country in West Africa, and similar to many other countries around the world, a multitude of entities, </w:t>
      </w:r>
      <w:proofErr w:type="gramStart"/>
      <w:r w:rsidRPr="00D37EDE">
        <w:rPr>
          <w:rFonts w:ascii="Arial" w:hAnsi="Arial" w:cs="Arial"/>
          <w:sz w:val="22"/>
          <w:szCs w:val="22"/>
        </w:rPr>
        <w:t>both public</w:t>
      </w:r>
      <w:proofErr w:type="gramEnd"/>
      <w:r w:rsidRPr="00D37EDE">
        <w:rPr>
          <w:rFonts w:ascii="Arial" w:hAnsi="Arial" w:cs="Arial"/>
          <w:sz w:val="22"/>
          <w:szCs w:val="22"/>
        </w:rPr>
        <w:t xml:space="preserve">, private and international, operated various types of weather, climate or water observing system within its borders. Recently SODEXAM, the National </w:t>
      </w:r>
      <w:proofErr w:type="spellStart"/>
      <w:r w:rsidRPr="00D37EDE">
        <w:rPr>
          <w:rFonts w:ascii="Arial" w:hAnsi="Arial" w:cs="Arial"/>
          <w:sz w:val="22"/>
          <w:szCs w:val="22"/>
        </w:rPr>
        <w:t>Meterological</w:t>
      </w:r>
      <w:proofErr w:type="spellEnd"/>
      <w:r w:rsidRPr="00D37EDE">
        <w:rPr>
          <w:rFonts w:ascii="Arial" w:hAnsi="Arial" w:cs="Arial"/>
          <w:sz w:val="22"/>
          <w:szCs w:val="22"/>
        </w:rPr>
        <w:t xml:space="preserve"> Service of Cote </w:t>
      </w:r>
      <w:proofErr w:type="spellStart"/>
      <w:r w:rsidRPr="00D37EDE">
        <w:rPr>
          <w:rFonts w:ascii="Arial" w:hAnsi="Arial" w:cs="Arial"/>
          <w:sz w:val="22"/>
          <w:szCs w:val="22"/>
        </w:rPr>
        <w:t>d’Ivvoire</w:t>
      </w:r>
      <w:proofErr w:type="spellEnd"/>
      <w:r w:rsidRPr="00D37EDE">
        <w:rPr>
          <w:rFonts w:ascii="Arial" w:hAnsi="Arial" w:cs="Arial"/>
          <w:sz w:val="22"/>
          <w:szCs w:val="22"/>
        </w:rPr>
        <w:t xml:space="preserve"> has taken the first steps toward developing formal partnership agreements with the other operators, with the ultimate aim of setting up a national WIGOS network for Cote d’Ivoire that will ultimately deliver more observational data to all partners within the network.</w:t>
      </w:r>
    </w:p>
    <w:p w:rsidR="00D37EDE" w:rsidRPr="00D37EDE" w:rsidRDefault="00D37EDE" w:rsidP="00F756CB">
      <w:pPr>
        <w:pStyle w:val="BodyText"/>
        <w:rPr>
          <w:rFonts w:ascii="Arial" w:hAnsi="Arial" w:cs="Arial"/>
          <w:sz w:val="22"/>
          <w:szCs w:val="22"/>
        </w:rPr>
      </w:pPr>
    </w:p>
    <w:p w:rsidR="00F756CB" w:rsidRDefault="00D37EDE" w:rsidP="00F756CB">
      <w:pPr>
        <w:pStyle w:val="BodyText"/>
      </w:pPr>
      <w:r w:rsidRPr="00D37EDE">
        <w:rPr>
          <w:rFonts w:ascii="Arial" w:hAnsi="Arial" w:cs="Arial"/>
          <w:sz w:val="22"/>
          <w:szCs w:val="22"/>
        </w:rPr>
        <w:lastRenderedPageBreak/>
        <w:t>A kick-off National Workshop on WIGOS Implementation in Cote d’Ivoire</w:t>
      </w:r>
      <w:r w:rsidR="00E82FAA" w:rsidRPr="00D37EDE">
        <w:rPr>
          <w:rFonts w:ascii="Arial" w:hAnsi="Arial" w:cs="Arial"/>
          <w:sz w:val="22"/>
          <w:szCs w:val="22"/>
        </w:rPr>
        <w:t xml:space="preserve"> took place in Abidjan on December 16-17 2014 and brought together representatives from most government agencies from Cote d’Ivoire with activities or interests in observing systems for weather, climate and water</w:t>
      </w:r>
      <w:r w:rsidR="00E82FAA">
        <w:t xml:space="preserve"> ….</w:t>
      </w:r>
    </w:p>
    <w:p w:rsidR="004E0CA3" w:rsidRDefault="004E0CA3" w:rsidP="00F756CB"/>
    <w:p w:rsidR="004E0CA3" w:rsidRPr="0063592B" w:rsidRDefault="00D37EDE" w:rsidP="004E0CA3">
      <w:pPr>
        <w:pStyle w:val="Heading2"/>
        <w:rPr>
          <w:sz w:val="34"/>
          <w:szCs w:val="34"/>
        </w:rPr>
      </w:pPr>
      <w:r>
        <w:rPr>
          <w:sz w:val="34"/>
          <w:szCs w:val="34"/>
        </w:rPr>
        <w:t>5.</w:t>
      </w:r>
      <w:r w:rsidR="004E0CA3">
        <w:rPr>
          <w:sz w:val="34"/>
          <w:szCs w:val="34"/>
        </w:rPr>
        <w:t xml:space="preserve"> Focus</w:t>
      </w:r>
      <w:r>
        <w:rPr>
          <w:sz w:val="34"/>
          <w:szCs w:val="34"/>
        </w:rPr>
        <w:t xml:space="preserve"> area</w:t>
      </w:r>
      <w:r w:rsidR="004E0CA3">
        <w:rPr>
          <w:sz w:val="34"/>
          <w:szCs w:val="34"/>
        </w:rPr>
        <w:t xml:space="preserve">; WIGOS Monitoring </w:t>
      </w:r>
    </w:p>
    <w:tbl>
      <w:tblPr>
        <w:tblW w:w="0" w:type="auto"/>
        <w:tblLook w:val="01E0" w:firstRow="1" w:lastRow="1" w:firstColumn="1" w:lastColumn="1" w:noHBand="0" w:noVBand="0"/>
      </w:tblPr>
      <w:tblGrid>
        <w:gridCol w:w="2714"/>
        <w:gridCol w:w="5233"/>
      </w:tblGrid>
      <w:tr w:rsidR="004E0CA3" w:rsidTr="001C0182">
        <w:tc>
          <w:tcPr>
            <w:tcW w:w="2714" w:type="dxa"/>
            <w:vAlign w:val="center"/>
          </w:tcPr>
          <w:p w:rsidR="004E0CA3" w:rsidRDefault="004E0CA3" w:rsidP="001C0182">
            <w:pPr>
              <w:pStyle w:val="BodyText"/>
              <w:spacing w:before="60"/>
              <w:jc w:val="center"/>
            </w:pPr>
            <w:r w:rsidRPr="00A44D17">
              <w:rPr>
                <w:noProof/>
                <w:lang w:eastAsia="zh-TW"/>
              </w:rPr>
              <w:drawing>
                <wp:inline distT="0" distB="0" distL="0" distR="0" wp14:anchorId="48E086BA" wp14:editId="689D792A">
                  <wp:extent cx="1536700" cy="2278063"/>
                  <wp:effectExtent l="0" t="0" r="6350" b="8255"/>
                  <wp:docPr id="2" name="Picture 4" descr="Balloon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0" name="Picture 4" descr="Balloon Man"/>
                          <pic:cNvPicPr>
                            <a:picLocks noChangeAspect="1" noChangeArrowheads="1"/>
                          </pic:cNvPicPr>
                        </pic:nvPicPr>
                        <pic:blipFill>
                          <a:blip r:embed="rId15">
                            <a:extLst>
                              <a:ext uri="{28A0092B-C50C-407E-A947-70E740481C1C}">
                                <a14:useLocalDpi xmlns:a14="http://schemas.microsoft.com/office/drawing/2010/main" val="0"/>
                              </a:ext>
                            </a:extLst>
                          </a:blip>
                          <a:srcRect l="10735" t="18710" r="12244" b="3253"/>
                          <a:stretch>
                            <a:fillRect/>
                          </a:stretch>
                        </pic:blipFill>
                        <pic:spPr bwMode="auto">
                          <a:xfrm>
                            <a:off x="0" y="0"/>
                            <a:ext cx="1536700" cy="2278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233" w:type="dxa"/>
          </w:tcPr>
          <w:p w:rsidR="00D37EDE" w:rsidRDefault="00D37EDE" w:rsidP="00E82FAA">
            <w:pPr>
              <w:rPr>
                <w:rFonts w:ascii="Arial" w:hAnsi="Arial"/>
                <w:color w:val="000000"/>
                <w:sz w:val="22"/>
                <w:lang w:val="en-GB"/>
              </w:rPr>
            </w:pPr>
          </w:p>
          <w:p w:rsidR="00D37EDE" w:rsidRDefault="00D37EDE" w:rsidP="00E82FAA">
            <w:pPr>
              <w:rPr>
                <w:rFonts w:ascii="Arial" w:hAnsi="Arial"/>
                <w:color w:val="000000"/>
                <w:sz w:val="22"/>
                <w:lang w:val="en-GB"/>
              </w:rPr>
            </w:pPr>
            <w:r>
              <w:rPr>
                <w:rFonts w:ascii="Arial" w:hAnsi="Arial"/>
                <w:color w:val="000000"/>
                <w:sz w:val="22"/>
                <w:lang w:val="en-GB"/>
              </w:rPr>
              <w:t>Monitoring of the actual performance of the observational assets under the WIGOS umbrella is a key activity, without which no meaningful optimization or redesign activities can take place.</w:t>
            </w:r>
          </w:p>
          <w:p w:rsidR="00D37EDE" w:rsidRDefault="00D37EDE" w:rsidP="00E82FAA">
            <w:pPr>
              <w:rPr>
                <w:rFonts w:ascii="Arial" w:hAnsi="Arial"/>
                <w:color w:val="000000"/>
                <w:sz w:val="22"/>
                <w:lang w:val="en-GB"/>
              </w:rPr>
            </w:pPr>
          </w:p>
          <w:p w:rsidR="004E0CA3" w:rsidRDefault="00E82FAA" w:rsidP="00D37EDE">
            <w:pPr>
              <w:rPr>
                <w:rFonts w:ascii="Arial" w:hAnsi="Arial"/>
                <w:color w:val="000000"/>
                <w:sz w:val="22"/>
                <w:lang w:val="en-GB"/>
              </w:rPr>
            </w:pPr>
            <w:r w:rsidRPr="00E82FAA">
              <w:rPr>
                <w:rFonts w:ascii="Arial" w:hAnsi="Arial"/>
                <w:color w:val="000000"/>
                <w:sz w:val="22"/>
                <w:lang w:val="en-GB"/>
              </w:rPr>
              <w:t xml:space="preserve">A wide range of NWP centres undertake global or regional observational monitoring tasks. This is broadly defined within the GDPFS Manual, with specific practices at various centres being documented locally. </w:t>
            </w:r>
          </w:p>
          <w:p w:rsidR="00D37EDE" w:rsidRDefault="00D37EDE" w:rsidP="00D37EDE">
            <w:pPr>
              <w:rPr>
                <w:rFonts w:ascii="Arial" w:hAnsi="Arial"/>
                <w:color w:val="000000"/>
                <w:sz w:val="22"/>
                <w:lang w:val="en-GB"/>
              </w:rPr>
            </w:pPr>
          </w:p>
          <w:p w:rsidR="00D37EDE" w:rsidRPr="00E82FAA" w:rsidRDefault="00D37EDE" w:rsidP="00D37EDE">
            <w:pPr>
              <w:rPr>
                <w:rFonts w:ascii="Arial" w:hAnsi="Arial"/>
                <w:color w:val="000000"/>
                <w:sz w:val="22"/>
                <w:lang w:val="en-GB"/>
              </w:rPr>
            </w:pPr>
            <w:r>
              <w:rPr>
                <w:rFonts w:ascii="Arial" w:hAnsi="Arial"/>
                <w:color w:val="000000"/>
                <w:sz w:val="22"/>
                <w:lang w:val="en-GB"/>
              </w:rPr>
              <w:t>….</w:t>
            </w:r>
          </w:p>
        </w:tc>
      </w:tr>
    </w:tbl>
    <w:p w:rsidR="00E82FAA" w:rsidRDefault="00E82FAA" w:rsidP="00E82FAA">
      <w:pPr>
        <w:rPr>
          <w:rFonts w:ascii="Arial" w:hAnsi="Arial"/>
          <w:color w:val="000000"/>
          <w:sz w:val="22"/>
          <w:lang w:val="en-GB"/>
        </w:rPr>
      </w:pPr>
    </w:p>
    <w:p w:rsidR="00E82FAA" w:rsidRPr="00E82FAA" w:rsidRDefault="00E82FAA" w:rsidP="00E82FAA">
      <w:pPr>
        <w:rPr>
          <w:rFonts w:ascii="Arial" w:hAnsi="Arial"/>
          <w:color w:val="000000"/>
          <w:sz w:val="22"/>
          <w:lang w:val="en-GB"/>
        </w:rPr>
      </w:pPr>
    </w:p>
    <w:p w:rsidR="00E82FAA" w:rsidRDefault="00E82FAA" w:rsidP="00E82FAA">
      <w:pPr>
        <w:rPr>
          <w:rFonts w:ascii="Arial" w:hAnsi="Arial"/>
          <w:color w:val="000000"/>
          <w:sz w:val="22"/>
          <w:lang w:val="en-GB"/>
        </w:rPr>
      </w:pPr>
      <w:r w:rsidRPr="00E82FAA">
        <w:rPr>
          <w:rFonts w:ascii="Arial" w:hAnsi="Arial"/>
          <w:color w:val="000000"/>
          <w:sz w:val="22"/>
          <w:lang w:val="en-GB"/>
        </w:rPr>
        <w:t xml:space="preserve">The main gap in the current monitoring processes appears to be the link between the outcomes of the observations monitoring undertaken by the NWP Monitoring Centres, the coordinating activities of the Lead </w:t>
      </w:r>
      <w:proofErr w:type="spellStart"/>
      <w:r w:rsidRPr="00E82FAA">
        <w:rPr>
          <w:rFonts w:ascii="Arial" w:hAnsi="Arial"/>
          <w:color w:val="000000"/>
          <w:sz w:val="22"/>
          <w:lang w:val="en-GB"/>
        </w:rPr>
        <w:t>Centers</w:t>
      </w:r>
      <w:proofErr w:type="spellEnd"/>
      <w:r w:rsidRPr="00E82FAA">
        <w:rPr>
          <w:rFonts w:ascii="Arial" w:hAnsi="Arial"/>
          <w:color w:val="000000"/>
          <w:sz w:val="22"/>
          <w:lang w:val="en-GB"/>
        </w:rPr>
        <w:t xml:space="preserve"> and engagement of the appropriate staff in each Met Service to solve the problems, or at least gain a better understanding of the root cause. There are some examples of good practice but equally a number of observational data quality problems identified many months or even years ago have not been addressed. </w:t>
      </w:r>
    </w:p>
    <w:p w:rsidR="00D37EDE" w:rsidRPr="00E82FAA" w:rsidRDefault="00D37EDE" w:rsidP="00E82FAA">
      <w:pPr>
        <w:rPr>
          <w:rFonts w:ascii="Arial" w:hAnsi="Arial"/>
          <w:color w:val="000000"/>
          <w:sz w:val="22"/>
          <w:lang w:val="en-GB"/>
        </w:rPr>
      </w:pPr>
    </w:p>
    <w:p w:rsidR="00E82FAA" w:rsidRPr="00E82FAA" w:rsidRDefault="00D37EDE" w:rsidP="00E82FAA">
      <w:pPr>
        <w:rPr>
          <w:rFonts w:ascii="Arial" w:hAnsi="Arial"/>
          <w:color w:val="000000"/>
          <w:sz w:val="22"/>
          <w:lang w:val="en-GB"/>
        </w:rPr>
      </w:pPr>
      <w:r>
        <w:rPr>
          <w:rFonts w:ascii="Arial" w:hAnsi="Arial"/>
          <w:color w:val="000000"/>
          <w:sz w:val="22"/>
          <w:lang w:val="en-GB"/>
        </w:rPr>
        <w:t>The main driver behind the effort to modernize the WIGOS monitoring</w:t>
      </w:r>
      <w:r w:rsidR="00E82FAA" w:rsidRPr="00E82FAA">
        <w:rPr>
          <w:rFonts w:ascii="Arial" w:hAnsi="Arial"/>
          <w:color w:val="000000"/>
          <w:sz w:val="22"/>
          <w:lang w:val="en-GB"/>
        </w:rPr>
        <w:t xml:space="preserve"> is the improvement in the quality of the observational data provided for use by Application Areas, as defined in the WMO Rolling Review of Requirements process. While this activity will be focussed on the utilisation of data by NWP centres, due to their O-B feedback, it is believe all application areas will benefit from the improved performance of the observational networks.</w:t>
      </w:r>
    </w:p>
    <w:p w:rsidR="00E82FAA" w:rsidRPr="00E82FAA" w:rsidRDefault="00E82FAA" w:rsidP="00E82FAA">
      <w:pPr>
        <w:rPr>
          <w:rFonts w:ascii="Arial" w:hAnsi="Arial"/>
          <w:color w:val="000000"/>
          <w:sz w:val="22"/>
          <w:lang w:val="en-GB"/>
        </w:rPr>
      </w:pPr>
    </w:p>
    <w:p w:rsidR="00E82FAA" w:rsidRDefault="00E82FAA" w:rsidP="00E82FAA">
      <w:pPr>
        <w:rPr>
          <w:rFonts w:ascii="Arial" w:hAnsi="Arial"/>
          <w:color w:val="000000"/>
          <w:sz w:val="22"/>
          <w:lang w:val="en-GB"/>
        </w:rPr>
      </w:pPr>
      <w:r w:rsidRPr="00E82FAA">
        <w:rPr>
          <w:rFonts w:ascii="Arial" w:hAnsi="Arial"/>
          <w:color w:val="000000"/>
          <w:sz w:val="22"/>
          <w:lang w:val="en-GB"/>
        </w:rPr>
        <w:t xml:space="preserve">The currently defined systems for monitoring both observational data quantity and quality (Manual on GDPFS and Manual on </w:t>
      </w:r>
      <w:bookmarkStart w:id="0" w:name="_GoBack"/>
      <w:bookmarkEnd w:id="0"/>
      <w:r w:rsidRPr="00E82FAA">
        <w:rPr>
          <w:rFonts w:ascii="Arial" w:hAnsi="Arial"/>
          <w:color w:val="000000"/>
          <w:sz w:val="22"/>
          <w:lang w:val="en-GB"/>
        </w:rPr>
        <w:t>Codes) predominantly rely on the concept of communications via the GTS and do not take advantage of more modern communications methods and associated tools such as the Internet and E-mail.</w:t>
      </w:r>
    </w:p>
    <w:p w:rsidR="00D37EDE" w:rsidRDefault="00D37EDE" w:rsidP="00E82FAA">
      <w:pPr>
        <w:rPr>
          <w:rFonts w:ascii="Arial" w:hAnsi="Arial"/>
          <w:color w:val="000000"/>
          <w:sz w:val="22"/>
          <w:lang w:val="en-GB"/>
        </w:rPr>
      </w:pPr>
    </w:p>
    <w:p w:rsidR="00D37EDE" w:rsidRPr="00E82FAA" w:rsidRDefault="00D37EDE" w:rsidP="00E82FAA">
      <w:pPr>
        <w:rPr>
          <w:rFonts w:ascii="Arial" w:hAnsi="Arial"/>
          <w:color w:val="000000"/>
          <w:sz w:val="22"/>
          <w:lang w:val="en-GB"/>
        </w:rPr>
      </w:pPr>
      <w:r>
        <w:rPr>
          <w:rFonts w:ascii="Arial" w:hAnsi="Arial"/>
          <w:color w:val="000000"/>
          <w:sz w:val="22"/>
          <w:lang w:val="en-GB"/>
        </w:rPr>
        <w:t>….</w:t>
      </w:r>
    </w:p>
    <w:p w:rsidR="004E0CA3" w:rsidRPr="0063592B" w:rsidRDefault="004E0CA3" w:rsidP="004E0CA3">
      <w:pPr>
        <w:pStyle w:val="Heading2"/>
        <w:rPr>
          <w:sz w:val="34"/>
          <w:szCs w:val="34"/>
        </w:rPr>
      </w:pPr>
      <w:r>
        <w:rPr>
          <w:sz w:val="34"/>
          <w:szCs w:val="34"/>
        </w:rPr>
        <w:lastRenderedPageBreak/>
        <w:t>6</w:t>
      </w:r>
      <w:r w:rsidRPr="0063592B">
        <w:rPr>
          <w:sz w:val="34"/>
          <w:szCs w:val="34"/>
        </w:rPr>
        <w:t xml:space="preserve">. </w:t>
      </w:r>
      <w:r>
        <w:rPr>
          <w:sz w:val="34"/>
          <w:szCs w:val="34"/>
        </w:rPr>
        <w:t xml:space="preserve">Other Meeting Activities; </w:t>
      </w:r>
    </w:p>
    <w:tbl>
      <w:tblPr>
        <w:tblW w:w="0" w:type="auto"/>
        <w:tblLook w:val="01E0" w:firstRow="1" w:lastRow="1" w:firstColumn="1" w:lastColumn="1" w:noHBand="0" w:noVBand="0"/>
      </w:tblPr>
      <w:tblGrid>
        <w:gridCol w:w="2714"/>
        <w:gridCol w:w="5233"/>
      </w:tblGrid>
      <w:tr w:rsidR="004E0CA3" w:rsidRPr="00D37EDE" w:rsidTr="001C0182">
        <w:tc>
          <w:tcPr>
            <w:tcW w:w="2714" w:type="dxa"/>
            <w:vAlign w:val="center"/>
          </w:tcPr>
          <w:p w:rsidR="004E0CA3" w:rsidRPr="00D37EDE" w:rsidRDefault="004E0CA3" w:rsidP="001C0182">
            <w:pPr>
              <w:pStyle w:val="BodyText"/>
              <w:spacing w:before="60"/>
              <w:jc w:val="center"/>
              <w:rPr>
                <w:rFonts w:ascii="Arial" w:hAnsi="Arial" w:cs="Arial"/>
                <w:sz w:val="22"/>
                <w:szCs w:val="22"/>
              </w:rPr>
            </w:pPr>
            <w:r w:rsidRPr="00D37EDE">
              <w:rPr>
                <w:rFonts w:ascii="Arial" w:hAnsi="Arial" w:cs="Arial"/>
                <w:noProof/>
                <w:sz w:val="22"/>
                <w:szCs w:val="22"/>
                <w:lang w:eastAsia="zh-TW"/>
              </w:rPr>
              <w:drawing>
                <wp:inline distT="0" distB="0" distL="0" distR="0" wp14:anchorId="23A3DD69" wp14:editId="6071D58A">
                  <wp:extent cx="1536700" cy="2278063"/>
                  <wp:effectExtent l="0" t="0" r="6350" b="8255"/>
                  <wp:docPr id="3" name="Picture 4" descr="Balloon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0" name="Picture 4" descr="Balloon Man"/>
                          <pic:cNvPicPr>
                            <a:picLocks noChangeAspect="1" noChangeArrowheads="1"/>
                          </pic:cNvPicPr>
                        </pic:nvPicPr>
                        <pic:blipFill>
                          <a:blip r:embed="rId15">
                            <a:extLst>
                              <a:ext uri="{28A0092B-C50C-407E-A947-70E740481C1C}">
                                <a14:useLocalDpi xmlns:a14="http://schemas.microsoft.com/office/drawing/2010/main" val="0"/>
                              </a:ext>
                            </a:extLst>
                          </a:blip>
                          <a:srcRect l="10735" t="18710" r="12244" b="3253"/>
                          <a:stretch>
                            <a:fillRect/>
                          </a:stretch>
                        </pic:blipFill>
                        <pic:spPr bwMode="auto">
                          <a:xfrm>
                            <a:off x="0" y="0"/>
                            <a:ext cx="1536700" cy="2278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233" w:type="dxa"/>
          </w:tcPr>
          <w:p w:rsidR="00D37EDE" w:rsidRPr="00D37EDE" w:rsidRDefault="00D37EDE" w:rsidP="001C0182">
            <w:pPr>
              <w:pStyle w:val="BodyText"/>
              <w:rPr>
                <w:rFonts w:ascii="Arial" w:hAnsi="Arial" w:cs="Arial"/>
                <w:sz w:val="22"/>
                <w:szCs w:val="22"/>
              </w:rPr>
            </w:pPr>
          </w:p>
          <w:p w:rsidR="00D37EDE" w:rsidRPr="00D37EDE" w:rsidRDefault="00D37EDE" w:rsidP="00D37EDE">
            <w:pPr>
              <w:pStyle w:val="BodyText"/>
              <w:rPr>
                <w:rFonts w:ascii="Arial" w:hAnsi="Arial" w:cs="Arial"/>
                <w:sz w:val="22"/>
                <w:szCs w:val="22"/>
              </w:rPr>
            </w:pPr>
            <w:r w:rsidRPr="00D37EDE">
              <w:rPr>
                <w:rFonts w:ascii="Arial" w:hAnsi="Arial" w:cs="Arial"/>
                <w:sz w:val="22"/>
                <w:szCs w:val="22"/>
              </w:rPr>
              <w:t>CEOS Plenary</w:t>
            </w:r>
          </w:p>
          <w:p w:rsidR="00D37EDE" w:rsidRDefault="00D37EDE" w:rsidP="001C0182">
            <w:pPr>
              <w:pStyle w:val="BodyText"/>
              <w:rPr>
                <w:rFonts w:ascii="Arial" w:hAnsi="Arial" w:cs="Arial"/>
                <w:sz w:val="22"/>
                <w:szCs w:val="22"/>
              </w:rPr>
            </w:pPr>
            <w:r w:rsidRPr="00D37EDE">
              <w:rPr>
                <w:rFonts w:ascii="Arial" w:hAnsi="Arial" w:cs="Arial"/>
                <w:sz w:val="22"/>
                <w:szCs w:val="22"/>
              </w:rPr>
              <w:t>GEO Plenary ….</w:t>
            </w:r>
          </w:p>
          <w:p w:rsidR="00E82FAA" w:rsidRPr="00D37EDE" w:rsidRDefault="00D37EDE" w:rsidP="001C0182">
            <w:pPr>
              <w:pStyle w:val="BodyText"/>
              <w:rPr>
                <w:rFonts w:ascii="Arial" w:hAnsi="Arial" w:cs="Arial"/>
                <w:sz w:val="22"/>
                <w:szCs w:val="22"/>
              </w:rPr>
            </w:pPr>
            <w:r w:rsidRPr="00D37EDE">
              <w:rPr>
                <w:rFonts w:ascii="Arial" w:hAnsi="Arial" w:cs="Arial"/>
                <w:sz w:val="22"/>
                <w:szCs w:val="22"/>
              </w:rPr>
              <w:t>OSDW-2 …</w:t>
            </w:r>
          </w:p>
          <w:p w:rsidR="00E82FAA" w:rsidRDefault="00E82FAA" w:rsidP="001C0182">
            <w:pPr>
              <w:pStyle w:val="BodyText"/>
              <w:rPr>
                <w:rFonts w:ascii="Arial" w:hAnsi="Arial" w:cs="Arial"/>
                <w:sz w:val="22"/>
                <w:szCs w:val="22"/>
              </w:rPr>
            </w:pPr>
            <w:r w:rsidRPr="00D37EDE">
              <w:rPr>
                <w:rFonts w:ascii="Arial" w:hAnsi="Arial" w:cs="Arial"/>
                <w:sz w:val="22"/>
                <w:szCs w:val="22"/>
              </w:rPr>
              <w:t>GAW-TT</w:t>
            </w:r>
            <w:r w:rsidR="00D37EDE" w:rsidRPr="00D37EDE">
              <w:rPr>
                <w:rFonts w:ascii="Arial" w:hAnsi="Arial" w:cs="Arial"/>
                <w:sz w:val="22"/>
                <w:szCs w:val="22"/>
              </w:rPr>
              <w:t xml:space="preserve"> …</w:t>
            </w:r>
          </w:p>
          <w:p w:rsidR="00D37EDE" w:rsidRDefault="00D37EDE" w:rsidP="001C0182">
            <w:pPr>
              <w:pStyle w:val="BodyText"/>
              <w:rPr>
                <w:rFonts w:ascii="Arial" w:hAnsi="Arial" w:cs="Arial"/>
                <w:sz w:val="22"/>
                <w:szCs w:val="22"/>
              </w:rPr>
            </w:pPr>
            <w:r>
              <w:rPr>
                <w:rFonts w:ascii="Arial" w:hAnsi="Arial" w:cs="Arial"/>
                <w:sz w:val="22"/>
                <w:szCs w:val="22"/>
              </w:rPr>
              <w:t>RA-I-16 and RECO</w:t>
            </w:r>
          </w:p>
          <w:p w:rsidR="00D37EDE" w:rsidRPr="00D37EDE" w:rsidRDefault="00D37EDE" w:rsidP="00D37EDE">
            <w:pPr>
              <w:pStyle w:val="BodyText"/>
              <w:rPr>
                <w:rFonts w:ascii="Arial" w:hAnsi="Arial" w:cs="Arial"/>
                <w:sz w:val="22"/>
                <w:szCs w:val="22"/>
              </w:rPr>
            </w:pPr>
            <w:r w:rsidRPr="00D37EDE">
              <w:rPr>
                <w:rFonts w:ascii="Arial" w:hAnsi="Arial" w:cs="Arial"/>
                <w:sz w:val="22"/>
                <w:szCs w:val="22"/>
              </w:rPr>
              <w:t>ICG-WIGOS-4</w:t>
            </w:r>
          </w:p>
          <w:p w:rsidR="00D37EDE" w:rsidRPr="00D37EDE" w:rsidRDefault="00D37EDE" w:rsidP="001C0182">
            <w:pPr>
              <w:pStyle w:val="BodyText"/>
              <w:rPr>
                <w:rFonts w:ascii="Arial" w:hAnsi="Arial" w:cs="Arial"/>
                <w:sz w:val="22"/>
                <w:szCs w:val="22"/>
              </w:rPr>
            </w:pPr>
            <w:r>
              <w:rPr>
                <w:rFonts w:ascii="Arial" w:hAnsi="Arial" w:cs="Arial"/>
                <w:sz w:val="22"/>
                <w:szCs w:val="22"/>
              </w:rPr>
              <w:t>…</w:t>
            </w:r>
          </w:p>
          <w:p w:rsidR="004E0CA3" w:rsidRPr="00D37EDE" w:rsidRDefault="004E0CA3" w:rsidP="001C0182">
            <w:pPr>
              <w:pStyle w:val="BodyText"/>
              <w:rPr>
                <w:rFonts w:ascii="Arial" w:hAnsi="Arial" w:cs="Arial"/>
                <w:sz w:val="22"/>
                <w:szCs w:val="22"/>
              </w:rPr>
            </w:pPr>
          </w:p>
        </w:tc>
      </w:tr>
    </w:tbl>
    <w:p w:rsidR="004E0CA3" w:rsidRPr="00D37EDE" w:rsidRDefault="00D37EDE" w:rsidP="004E0CA3">
      <w:pPr>
        <w:rPr>
          <w:rFonts w:ascii="Arial" w:hAnsi="Arial" w:cs="Arial"/>
          <w:sz w:val="22"/>
          <w:szCs w:val="22"/>
        </w:rPr>
      </w:pPr>
      <w:r>
        <w:rPr>
          <w:rFonts w:ascii="Arial" w:hAnsi="Arial" w:cs="Arial"/>
          <w:sz w:val="22"/>
          <w:szCs w:val="22"/>
        </w:rPr>
        <w:t>(</w:t>
      </w:r>
      <w:proofErr w:type="gramStart"/>
      <w:r>
        <w:rPr>
          <w:rFonts w:ascii="Arial" w:hAnsi="Arial" w:cs="Arial"/>
          <w:sz w:val="22"/>
          <w:szCs w:val="22"/>
        </w:rPr>
        <w:t>o</w:t>
      </w:r>
      <w:r w:rsidRPr="00D37EDE">
        <w:rPr>
          <w:rFonts w:ascii="Arial" w:hAnsi="Arial" w:cs="Arial"/>
          <w:sz w:val="22"/>
          <w:szCs w:val="22"/>
        </w:rPr>
        <w:t>ther</w:t>
      </w:r>
      <w:proofErr w:type="gramEnd"/>
      <w:r w:rsidRPr="00D37EDE">
        <w:rPr>
          <w:rFonts w:ascii="Arial" w:hAnsi="Arial" w:cs="Arial"/>
          <w:sz w:val="22"/>
          <w:szCs w:val="22"/>
        </w:rPr>
        <w:t xml:space="preserve"> meetings of relevance in which WIGO</w:t>
      </w:r>
      <w:r>
        <w:rPr>
          <w:rFonts w:ascii="Arial" w:hAnsi="Arial" w:cs="Arial"/>
          <w:sz w:val="22"/>
          <w:szCs w:val="22"/>
        </w:rPr>
        <w:t>S participated or were featured; one paragraph each)</w:t>
      </w:r>
    </w:p>
    <w:p w:rsidR="004E0CA3" w:rsidRPr="00D37EDE" w:rsidRDefault="004E0CA3" w:rsidP="004E0CA3">
      <w:pPr>
        <w:rPr>
          <w:rFonts w:ascii="Arial" w:hAnsi="Arial" w:cs="Arial"/>
        </w:rPr>
      </w:pPr>
    </w:p>
    <w:p w:rsidR="004E0CA3" w:rsidRPr="0063592B" w:rsidRDefault="004E0CA3" w:rsidP="004E0CA3">
      <w:pPr>
        <w:pStyle w:val="Heading2"/>
        <w:rPr>
          <w:sz w:val="34"/>
          <w:szCs w:val="34"/>
        </w:rPr>
      </w:pPr>
      <w:r>
        <w:rPr>
          <w:sz w:val="34"/>
          <w:szCs w:val="34"/>
        </w:rPr>
        <w:t>7</w:t>
      </w:r>
      <w:r w:rsidRPr="0063592B">
        <w:rPr>
          <w:sz w:val="34"/>
          <w:szCs w:val="34"/>
        </w:rPr>
        <w:t xml:space="preserve">. </w:t>
      </w:r>
      <w:r w:rsidR="001909C4">
        <w:rPr>
          <w:sz w:val="34"/>
          <w:szCs w:val="34"/>
        </w:rPr>
        <w:t>Coming Events</w:t>
      </w:r>
    </w:p>
    <w:tbl>
      <w:tblPr>
        <w:tblW w:w="0" w:type="auto"/>
        <w:tblLook w:val="01E0" w:firstRow="1" w:lastRow="1" w:firstColumn="1" w:lastColumn="1" w:noHBand="0" w:noVBand="0"/>
      </w:tblPr>
      <w:tblGrid>
        <w:gridCol w:w="2714"/>
        <w:gridCol w:w="5233"/>
      </w:tblGrid>
      <w:tr w:rsidR="004E0CA3" w:rsidRPr="00D37EDE" w:rsidTr="001C0182">
        <w:tc>
          <w:tcPr>
            <w:tcW w:w="2714" w:type="dxa"/>
            <w:vAlign w:val="center"/>
          </w:tcPr>
          <w:p w:rsidR="004E0CA3" w:rsidRPr="00D37EDE" w:rsidRDefault="004E0CA3" w:rsidP="001C0182">
            <w:pPr>
              <w:pStyle w:val="BodyText"/>
              <w:spacing w:before="60"/>
              <w:jc w:val="center"/>
              <w:rPr>
                <w:rFonts w:ascii="Arial" w:hAnsi="Arial" w:cs="Arial"/>
                <w:sz w:val="22"/>
                <w:szCs w:val="22"/>
              </w:rPr>
            </w:pPr>
            <w:r w:rsidRPr="00D37EDE">
              <w:rPr>
                <w:rFonts w:ascii="Arial" w:hAnsi="Arial" w:cs="Arial"/>
                <w:noProof/>
                <w:sz w:val="22"/>
                <w:szCs w:val="22"/>
                <w:lang w:eastAsia="zh-TW"/>
              </w:rPr>
              <w:drawing>
                <wp:inline distT="0" distB="0" distL="0" distR="0" wp14:anchorId="69BC22AD" wp14:editId="718B2BB3">
                  <wp:extent cx="1536700" cy="2278063"/>
                  <wp:effectExtent l="0" t="0" r="6350" b="8255"/>
                  <wp:docPr id="5" name="Picture 4" descr="Balloon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0" name="Picture 4" descr="Balloon Man"/>
                          <pic:cNvPicPr>
                            <a:picLocks noChangeAspect="1" noChangeArrowheads="1"/>
                          </pic:cNvPicPr>
                        </pic:nvPicPr>
                        <pic:blipFill>
                          <a:blip r:embed="rId15">
                            <a:extLst>
                              <a:ext uri="{28A0092B-C50C-407E-A947-70E740481C1C}">
                                <a14:useLocalDpi xmlns:a14="http://schemas.microsoft.com/office/drawing/2010/main" val="0"/>
                              </a:ext>
                            </a:extLst>
                          </a:blip>
                          <a:srcRect l="10735" t="18710" r="12244" b="3253"/>
                          <a:stretch>
                            <a:fillRect/>
                          </a:stretch>
                        </pic:blipFill>
                        <pic:spPr bwMode="auto">
                          <a:xfrm>
                            <a:off x="0" y="0"/>
                            <a:ext cx="1536700" cy="2278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233" w:type="dxa"/>
          </w:tcPr>
          <w:p w:rsidR="00D37EDE" w:rsidRDefault="00D37EDE" w:rsidP="001C0182">
            <w:pPr>
              <w:pStyle w:val="BodyText"/>
              <w:rPr>
                <w:rFonts w:ascii="Arial" w:hAnsi="Arial" w:cs="Arial"/>
                <w:sz w:val="22"/>
                <w:szCs w:val="22"/>
              </w:rPr>
            </w:pPr>
          </w:p>
          <w:p w:rsidR="0062016F" w:rsidRPr="00D37EDE" w:rsidRDefault="0062016F" w:rsidP="001C0182">
            <w:pPr>
              <w:pStyle w:val="BodyText"/>
              <w:rPr>
                <w:rFonts w:ascii="Arial" w:hAnsi="Arial" w:cs="Arial"/>
                <w:sz w:val="22"/>
                <w:szCs w:val="22"/>
              </w:rPr>
            </w:pPr>
            <w:r w:rsidRPr="00D37EDE">
              <w:rPr>
                <w:rFonts w:ascii="Arial" w:hAnsi="Arial" w:cs="Arial"/>
                <w:sz w:val="22"/>
                <w:szCs w:val="22"/>
              </w:rPr>
              <w:t xml:space="preserve">CGMS-43, Boulder, </w:t>
            </w:r>
          </w:p>
          <w:p w:rsidR="0062016F" w:rsidRPr="00D37EDE" w:rsidRDefault="0062016F" w:rsidP="001C0182">
            <w:pPr>
              <w:pStyle w:val="BodyText"/>
              <w:rPr>
                <w:rFonts w:ascii="Arial" w:hAnsi="Arial" w:cs="Arial"/>
                <w:sz w:val="22"/>
                <w:szCs w:val="22"/>
              </w:rPr>
            </w:pPr>
            <w:r w:rsidRPr="00D37EDE">
              <w:rPr>
                <w:rFonts w:ascii="Arial" w:hAnsi="Arial" w:cs="Arial"/>
                <w:sz w:val="22"/>
                <w:szCs w:val="22"/>
              </w:rPr>
              <w:t>Joint RA-II/RA-V Workshop on WIGOS for Disaster Risk Reduction</w:t>
            </w:r>
          </w:p>
          <w:p w:rsidR="00E82FAA" w:rsidRPr="00D37EDE" w:rsidRDefault="00E82FAA" w:rsidP="001C0182">
            <w:pPr>
              <w:pStyle w:val="BodyText"/>
              <w:rPr>
                <w:rFonts w:ascii="Arial" w:hAnsi="Arial" w:cs="Arial"/>
                <w:sz w:val="22"/>
                <w:szCs w:val="22"/>
              </w:rPr>
            </w:pPr>
            <w:r w:rsidRPr="00D37EDE">
              <w:rPr>
                <w:rFonts w:ascii="Arial" w:hAnsi="Arial" w:cs="Arial"/>
                <w:sz w:val="22"/>
                <w:szCs w:val="22"/>
              </w:rPr>
              <w:t>GRUAN ICM</w:t>
            </w:r>
          </w:p>
          <w:p w:rsidR="00E82FAA" w:rsidRPr="00D37EDE" w:rsidRDefault="00E82FAA" w:rsidP="001C0182">
            <w:pPr>
              <w:pStyle w:val="BodyText"/>
              <w:rPr>
                <w:rFonts w:ascii="Arial" w:hAnsi="Arial" w:cs="Arial"/>
                <w:sz w:val="22"/>
                <w:szCs w:val="22"/>
              </w:rPr>
            </w:pPr>
            <w:r w:rsidRPr="00D37EDE">
              <w:rPr>
                <w:rFonts w:ascii="Arial" w:hAnsi="Arial" w:cs="Arial"/>
                <w:sz w:val="22"/>
                <w:szCs w:val="22"/>
              </w:rPr>
              <w:t>GCOS AOPC, OOPC, TOPC</w:t>
            </w:r>
          </w:p>
          <w:p w:rsidR="00E82FAA" w:rsidRPr="00D37EDE" w:rsidRDefault="004E0CA3" w:rsidP="00E82FAA">
            <w:pPr>
              <w:pStyle w:val="BodyText"/>
              <w:rPr>
                <w:rFonts w:ascii="Arial" w:hAnsi="Arial" w:cs="Arial"/>
                <w:b/>
                <w:sz w:val="22"/>
                <w:szCs w:val="22"/>
              </w:rPr>
            </w:pPr>
            <w:r w:rsidRPr="00D37EDE">
              <w:rPr>
                <w:rFonts w:ascii="Arial" w:hAnsi="Arial" w:cs="Arial"/>
                <w:sz w:val="22"/>
                <w:szCs w:val="22"/>
              </w:rPr>
              <w:t xml:space="preserve"> </w:t>
            </w:r>
            <w:r w:rsidR="00E82FAA" w:rsidRPr="00D37EDE">
              <w:rPr>
                <w:rFonts w:ascii="Arial" w:hAnsi="Arial" w:cs="Arial"/>
                <w:sz w:val="22"/>
                <w:szCs w:val="22"/>
              </w:rPr>
              <w:t>…</w:t>
            </w:r>
          </w:p>
        </w:tc>
      </w:tr>
    </w:tbl>
    <w:p w:rsidR="00D37EDE" w:rsidRPr="00D37EDE" w:rsidRDefault="00D37EDE" w:rsidP="00D37EDE">
      <w:pPr>
        <w:rPr>
          <w:rFonts w:ascii="Arial" w:hAnsi="Arial" w:cs="Arial"/>
          <w:sz w:val="22"/>
          <w:szCs w:val="22"/>
        </w:rPr>
      </w:pPr>
      <w:r>
        <w:rPr>
          <w:rFonts w:ascii="Arial" w:hAnsi="Arial" w:cs="Arial"/>
          <w:sz w:val="22"/>
          <w:szCs w:val="22"/>
        </w:rPr>
        <w:t>(</w:t>
      </w:r>
      <w:proofErr w:type="gramStart"/>
      <w:r>
        <w:rPr>
          <w:rFonts w:ascii="Arial" w:hAnsi="Arial" w:cs="Arial"/>
          <w:sz w:val="22"/>
          <w:szCs w:val="22"/>
        </w:rPr>
        <w:t>o</w:t>
      </w:r>
      <w:r w:rsidRPr="00D37EDE">
        <w:rPr>
          <w:rFonts w:ascii="Arial" w:hAnsi="Arial" w:cs="Arial"/>
          <w:sz w:val="22"/>
          <w:szCs w:val="22"/>
        </w:rPr>
        <w:t>ther</w:t>
      </w:r>
      <w:proofErr w:type="gramEnd"/>
      <w:r w:rsidRPr="00D37EDE">
        <w:rPr>
          <w:rFonts w:ascii="Arial" w:hAnsi="Arial" w:cs="Arial"/>
          <w:sz w:val="22"/>
          <w:szCs w:val="22"/>
        </w:rPr>
        <w:t xml:space="preserve"> meetings of relevance in which WIGO</w:t>
      </w:r>
      <w:r>
        <w:rPr>
          <w:rFonts w:ascii="Arial" w:hAnsi="Arial" w:cs="Arial"/>
          <w:sz w:val="22"/>
          <w:szCs w:val="22"/>
        </w:rPr>
        <w:t xml:space="preserve">S </w:t>
      </w:r>
      <w:r>
        <w:rPr>
          <w:rFonts w:ascii="Arial" w:hAnsi="Arial" w:cs="Arial"/>
          <w:sz w:val="22"/>
          <w:szCs w:val="22"/>
        </w:rPr>
        <w:t>will participate or be</w:t>
      </w:r>
      <w:r>
        <w:rPr>
          <w:rFonts w:ascii="Arial" w:hAnsi="Arial" w:cs="Arial"/>
          <w:sz w:val="22"/>
          <w:szCs w:val="22"/>
        </w:rPr>
        <w:t xml:space="preserve"> featured; one paragraph each)</w:t>
      </w:r>
    </w:p>
    <w:p w:rsidR="004E0CA3" w:rsidRPr="00D37EDE" w:rsidRDefault="004E0CA3" w:rsidP="004E0CA3">
      <w:pPr>
        <w:rPr>
          <w:rFonts w:ascii="Arial" w:hAnsi="Arial" w:cs="Arial"/>
          <w:sz w:val="22"/>
          <w:szCs w:val="22"/>
        </w:rPr>
      </w:pPr>
    </w:p>
    <w:p w:rsidR="004E0CA3" w:rsidRDefault="004E0CA3" w:rsidP="00F756CB"/>
    <w:sectPr w:rsidR="004E0CA3" w:rsidSect="00342115">
      <w:headerReference w:type="even" r:id="rId16"/>
      <w:headerReference w:type="default" r:id="rId17"/>
      <w:footerReference w:type="even" r:id="rId18"/>
      <w:footerReference w:type="default" r:id="rId19"/>
      <w:headerReference w:type="first" r:id="rId20"/>
      <w:footerReference w:type="first" r:id="rId21"/>
      <w:pgSz w:w="11907" w:h="16839" w:code="9"/>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83" w:rsidRDefault="001C5A83">
      <w:r>
        <w:separator/>
      </w:r>
    </w:p>
  </w:endnote>
  <w:endnote w:type="continuationSeparator" w:id="0">
    <w:p w:rsidR="001C5A83" w:rsidRDefault="001C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20B0704020202020204"/>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60" w:rsidRDefault="007108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60" w:rsidRDefault="007108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60" w:rsidRDefault="00710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83" w:rsidRDefault="001C5A83">
      <w:r>
        <w:separator/>
      </w:r>
    </w:p>
  </w:footnote>
  <w:footnote w:type="continuationSeparator" w:id="0">
    <w:p w:rsidR="001C5A83" w:rsidRDefault="001C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60" w:rsidRDefault="00710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99696"/>
      <w:docPartObj>
        <w:docPartGallery w:val="Watermarks"/>
        <w:docPartUnique/>
      </w:docPartObj>
    </w:sdtPr>
    <w:sdtEndPr/>
    <w:sdtContent>
      <w:p w:rsidR="00710860" w:rsidRDefault="001C5A8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60" w:rsidRDefault="00710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AE54479"/>
    <w:multiLevelType w:val="hybridMultilevel"/>
    <w:tmpl w:val="47469720"/>
    <w:lvl w:ilvl="0" w:tplc="0409000F">
      <w:start w:val="1"/>
      <w:numFmt w:val="decimal"/>
      <w:lvlText w:val="%1."/>
      <w:lvlJc w:val="left"/>
      <w:pPr>
        <w:tabs>
          <w:tab w:val="num" w:pos="216"/>
        </w:tabs>
        <w:ind w:left="216" w:hanging="216"/>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81CCD"/>
    <w:multiLevelType w:val="hybridMultilevel"/>
    <w:tmpl w:val="6B88C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775B4F"/>
    <w:multiLevelType w:val="hybridMultilevel"/>
    <w:tmpl w:val="B5143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0B0EE9"/>
    <w:multiLevelType w:val="multilevel"/>
    <w:tmpl w:val="4230AB64"/>
    <w:styleLink w:val="List0"/>
    <w:lvl w:ilvl="0">
      <w:start w:val="1"/>
      <w:numFmt w:val="lowerRoman"/>
      <w:lvlText w:val="(%1)"/>
      <w:lvlJc w:val="left"/>
      <w:rPr>
        <w:rFonts w:ascii="Arial" w:eastAsia="Arial" w:hAnsi="Arial" w:cs="Arial"/>
        <w:position w:val="0"/>
      </w:rPr>
    </w:lvl>
    <w:lvl w:ilvl="1">
      <w:start w:val="1"/>
      <w:numFmt w:val="lowerRoman"/>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Roman"/>
      <w:lvlText w:val="(%4)"/>
      <w:lvlJc w:val="left"/>
      <w:rPr>
        <w:rFonts w:ascii="Arial" w:eastAsia="Arial" w:hAnsi="Arial" w:cs="Arial"/>
        <w:position w:val="0"/>
      </w:rPr>
    </w:lvl>
    <w:lvl w:ilvl="4">
      <w:start w:val="1"/>
      <w:numFmt w:val="lowerRoman"/>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lowerRoman"/>
      <w:lvlText w:val="(%7)"/>
      <w:lvlJc w:val="left"/>
      <w:rPr>
        <w:rFonts w:ascii="Arial" w:eastAsia="Arial" w:hAnsi="Arial" w:cs="Arial"/>
        <w:position w:val="0"/>
      </w:rPr>
    </w:lvl>
    <w:lvl w:ilvl="7">
      <w:start w:val="1"/>
      <w:numFmt w:val="lowerRoman"/>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7F"/>
    <w:rsid w:val="000034C8"/>
    <w:rsid w:val="000120E3"/>
    <w:rsid w:val="00037900"/>
    <w:rsid w:val="00054D9C"/>
    <w:rsid w:val="00064ABB"/>
    <w:rsid w:val="0008500C"/>
    <w:rsid w:val="000A0174"/>
    <w:rsid w:val="000A615C"/>
    <w:rsid w:val="000D333F"/>
    <w:rsid w:val="000F759E"/>
    <w:rsid w:val="00152026"/>
    <w:rsid w:val="00166952"/>
    <w:rsid w:val="0018091B"/>
    <w:rsid w:val="00185854"/>
    <w:rsid w:val="001909C4"/>
    <w:rsid w:val="001A0764"/>
    <w:rsid w:val="001A73A5"/>
    <w:rsid w:val="001C513D"/>
    <w:rsid w:val="001C5A83"/>
    <w:rsid w:val="001F3DA2"/>
    <w:rsid w:val="00205897"/>
    <w:rsid w:val="00207A3F"/>
    <w:rsid w:val="002261A3"/>
    <w:rsid w:val="00256107"/>
    <w:rsid w:val="00276DE2"/>
    <w:rsid w:val="002913A0"/>
    <w:rsid w:val="002A1EC9"/>
    <w:rsid w:val="002D08DA"/>
    <w:rsid w:val="002E724C"/>
    <w:rsid w:val="00311C43"/>
    <w:rsid w:val="00323944"/>
    <w:rsid w:val="0033010D"/>
    <w:rsid w:val="00342115"/>
    <w:rsid w:val="00345B00"/>
    <w:rsid w:val="00355832"/>
    <w:rsid w:val="003C22EC"/>
    <w:rsid w:val="003C2D2C"/>
    <w:rsid w:val="003D26EA"/>
    <w:rsid w:val="004058E6"/>
    <w:rsid w:val="00435C8C"/>
    <w:rsid w:val="00445DFF"/>
    <w:rsid w:val="00461DD5"/>
    <w:rsid w:val="00467D0D"/>
    <w:rsid w:val="00476A3C"/>
    <w:rsid w:val="00483300"/>
    <w:rsid w:val="00487680"/>
    <w:rsid w:val="004A24B3"/>
    <w:rsid w:val="004A364D"/>
    <w:rsid w:val="004B0FFC"/>
    <w:rsid w:val="004D1C31"/>
    <w:rsid w:val="004E0CA3"/>
    <w:rsid w:val="0050638D"/>
    <w:rsid w:val="0053525C"/>
    <w:rsid w:val="00553550"/>
    <w:rsid w:val="00557DF7"/>
    <w:rsid w:val="00583F92"/>
    <w:rsid w:val="005B07C4"/>
    <w:rsid w:val="005B7D74"/>
    <w:rsid w:val="005F19A9"/>
    <w:rsid w:val="00607AB7"/>
    <w:rsid w:val="0062016F"/>
    <w:rsid w:val="0062037E"/>
    <w:rsid w:val="006301A9"/>
    <w:rsid w:val="0063592B"/>
    <w:rsid w:val="00641B4A"/>
    <w:rsid w:val="0065629C"/>
    <w:rsid w:val="006740B0"/>
    <w:rsid w:val="006748DD"/>
    <w:rsid w:val="006764F4"/>
    <w:rsid w:val="006B2964"/>
    <w:rsid w:val="006B5CAB"/>
    <w:rsid w:val="006E2B39"/>
    <w:rsid w:val="00703812"/>
    <w:rsid w:val="00706858"/>
    <w:rsid w:val="00710860"/>
    <w:rsid w:val="007526F6"/>
    <w:rsid w:val="007674AE"/>
    <w:rsid w:val="00785129"/>
    <w:rsid w:val="007854B9"/>
    <w:rsid w:val="007A58DF"/>
    <w:rsid w:val="007B77C1"/>
    <w:rsid w:val="007C6452"/>
    <w:rsid w:val="007D0A4D"/>
    <w:rsid w:val="007F6DD0"/>
    <w:rsid w:val="00803EA2"/>
    <w:rsid w:val="00820316"/>
    <w:rsid w:val="00882EFF"/>
    <w:rsid w:val="008966A3"/>
    <w:rsid w:val="008B5090"/>
    <w:rsid w:val="008C02E2"/>
    <w:rsid w:val="008D762F"/>
    <w:rsid w:val="008E3623"/>
    <w:rsid w:val="008E395A"/>
    <w:rsid w:val="00902ABA"/>
    <w:rsid w:val="0093052A"/>
    <w:rsid w:val="00937B06"/>
    <w:rsid w:val="00973C81"/>
    <w:rsid w:val="00974264"/>
    <w:rsid w:val="00977E9B"/>
    <w:rsid w:val="00A01022"/>
    <w:rsid w:val="00A0659B"/>
    <w:rsid w:val="00A30AD6"/>
    <w:rsid w:val="00A31337"/>
    <w:rsid w:val="00A44D17"/>
    <w:rsid w:val="00A55198"/>
    <w:rsid w:val="00AA48B4"/>
    <w:rsid w:val="00AF03CB"/>
    <w:rsid w:val="00B21077"/>
    <w:rsid w:val="00B251F8"/>
    <w:rsid w:val="00B3116E"/>
    <w:rsid w:val="00B3583B"/>
    <w:rsid w:val="00B4183F"/>
    <w:rsid w:val="00B91AF5"/>
    <w:rsid w:val="00BB0A32"/>
    <w:rsid w:val="00BB494C"/>
    <w:rsid w:val="00BD6D7E"/>
    <w:rsid w:val="00BE227B"/>
    <w:rsid w:val="00BF40C4"/>
    <w:rsid w:val="00C05296"/>
    <w:rsid w:val="00C070B3"/>
    <w:rsid w:val="00C340F5"/>
    <w:rsid w:val="00C43D00"/>
    <w:rsid w:val="00C65005"/>
    <w:rsid w:val="00CA310B"/>
    <w:rsid w:val="00CB1327"/>
    <w:rsid w:val="00CB547E"/>
    <w:rsid w:val="00CB71C9"/>
    <w:rsid w:val="00CC35E1"/>
    <w:rsid w:val="00CD0123"/>
    <w:rsid w:val="00CE0C4C"/>
    <w:rsid w:val="00CE6266"/>
    <w:rsid w:val="00D02F61"/>
    <w:rsid w:val="00D03826"/>
    <w:rsid w:val="00D37EDE"/>
    <w:rsid w:val="00D608D8"/>
    <w:rsid w:val="00D620D7"/>
    <w:rsid w:val="00D7361C"/>
    <w:rsid w:val="00D75AF0"/>
    <w:rsid w:val="00D952AE"/>
    <w:rsid w:val="00DA3D17"/>
    <w:rsid w:val="00DA3DAB"/>
    <w:rsid w:val="00E10A9A"/>
    <w:rsid w:val="00E128EF"/>
    <w:rsid w:val="00E27281"/>
    <w:rsid w:val="00E30558"/>
    <w:rsid w:val="00E63888"/>
    <w:rsid w:val="00E647C2"/>
    <w:rsid w:val="00E7703B"/>
    <w:rsid w:val="00E8006C"/>
    <w:rsid w:val="00E8027F"/>
    <w:rsid w:val="00E82FAA"/>
    <w:rsid w:val="00E849EC"/>
    <w:rsid w:val="00EB76B8"/>
    <w:rsid w:val="00ED33BD"/>
    <w:rsid w:val="00ED3723"/>
    <w:rsid w:val="00EF7AB2"/>
    <w:rsid w:val="00F4396F"/>
    <w:rsid w:val="00F54792"/>
    <w:rsid w:val="00F71A42"/>
    <w:rsid w:val="00F756CB"/>
    <w:rsid w:val="00F81DFE"/>
    <w:rsid w:val="00FA47F3"/>
    <w:rsid w:val="00FB204B"/>
    <w:rsid w:val="00FF29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numbering" w:customStyle="1" w:styleId="List0">
    <w:name w:val="List 0"/>
    <w:basedOn w:val="NoList"/>
    <w:rsid w:val="00276DE2"/>
    <w:pPr>
      <w:numPr>
        <w:numId w:val="14"/>
      </w:numPr>
    </w:pPr>
  </w:style>
  <w:style w:type="paragraph" w:styleId="ListParagraph">
    <w:name w:val="List Paragraph"/>
    <w:rsid w:val="00483300"/>
    <w:pPr>
      <w:pBdr>
        <w:top w:val="nil"/>
        <w:left w:val="nil"/>
        <w:bottom w:val="nil"/>
        <w:right w:val="nil"/>
        <w:between w:val="nil"/>
        <w:bar w:val="nil"/>
      </w:pBdr>
      <w:ind w:left="720"/>
    </w:pPr>
    <w:rPr>
      <w:rFonts w:ascii="Calibri" w:eastAsia="Calibri" w:hAnsi="Calibri" w:cs="Calibri"/>
      <w:color w:val="000000"/>
      <w:sz w:val="22"/>
      <w:szCs w:val="22"/>
      <w:u w:color="000000"/>
      <w:bdr w:val="nil"/>
      <w:lang w:val="fr-FR" w:eastAsia="en-US"/>
    </w:rPr>
  </w:style>
  <w:style w:type="character" w:customStyle="1" w:styleId="Hyperlink0">
    <w:name w:val="Hyperlink.0"/>
    <w:basedOn w:val="Hyperlink"/>
    <w:rsid w:val="00483300"/>
    <w:rPr>
      <w:rFonts w:ascii="Verdana" w:hAnsi="Verdana" w:cs="Times New Roman"/>
      <w:color w:val="0000FF"/>
      <w:sz w:val="20"/>
      <w:szCs w:val="20"/>
      <w:u w:val="single" w:color="0000FF"/>
    </w:rPr>
  </w:style>
  <w:style w:type="paragraph" w:styleId="Header">
    <w:name w:val="header"/>
    <w:basedOn w:val="Normal"/>
    <w:link w:val="HeaderChar"/>
    <w:rsid w:val="00710860"/>
    <w:pPr>
      <w:tabs>
        <w:tab w:val="center" w:pos="4680"/>
        <w:tab w:val="right" w:pos="9360"/>
      </w:tabs>
    </w:pPr>
  </w:style>
  <w:style w:type="character" w:customStyle="1" w:styleId="HeaderChar">
    <w:name w:val="Header Char"/>
    <w:basedOn w:val="DefaultParagraphFont"/>
    <w:link w:val="Header"/>
    <w:rsid w:val="00710860"/>
    <w:rPr>
      <w:sz w:val="24"/>
      <w:szCs w:val="24"/>
      <w:lang w:eastAsia="en-US"/>
    </w:rPr>
  </w:style>
  <w:style w:type="paragraph" w:styleId="Footer">
    <w:name w:val="footer"/>
    <w:basedOn w:val="Normal"/>
    <w:link w:val="FooterChar"/>
    <w:rsid w:val="00710860"/>
    <w:pPr>
      <w:tabs>
        <w:tab w:val="center" w:pos="4680"/>
        <w:tab w:val="right" w:pos="9360"/>
      </w:tabs>
    </w:pPr>
  </w:style>
  <w:style w:type="character" w:customStyle="1" w:styleId="FooterChar">
    <w:name w:val="Footer Char"/>
    <w:basedOn w:val="DefaultParagraphFont"/>
    <w:link w:val="Footer"/>
    <w:rsid w:val="0071086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numbering" w:customStyle="1" w:styleId="List0">
    <w:name w:val="List 0"/>
    <w:basedOn w:val="NoList"/>
    <w:rsid w:val="00276DE2"/>
    <w:pPr>
      <w:numPr>
        <w:numId w:val="14"/>
      </w:numPr>
    </w:pPr>
  </w:style>
  <w:style w:type="paragraph" w:styleId="ListParagraph">
    <w:name w:val="List Paragraph"/>
    <w:rsid w:val="00483300"/>
    <w:pPr>
      <w:pBdr>
        <w:top w:val="nil"/>
        <w:left w:val="nil"/>
        <w:bottom w:val="nil"/>
        <w:right w:val="nil"/>
        <w:between w:val="nil"/>
        <w:bar w:val="nil"/>
      </w:pBdr>
      <w:ind w:left="720"/>
    </w:pPr>
    <w:rPr>
      <w:rFonts w:ascii="Calibri" w:eastAsia="Calibri" w:hAnsi="Calibri" w:cs="Calibri"/>
      <w:color w:val="000000"/>
      <w:sz w:val="22"/>
      <w:szCs w:val="22"/>
      <w:u w:color="000000"/>
      <w:bdr w:val="nil"/>
      <w:lang w:val="fr-FR" w:eastAsia="en-US"/>
    </w:rPr>
  </w:style>
  <w:style w:type="character" w:customStyle="1" w:styleId="Hyperlink0">
    <w:name w:val="Hyperlink.0"/>
    <w:basedOn w:val="Hyperlink"/>
    <w:rsid w:val="00483300"/>
    <w:rPr>
      <w:rFonts w:ascii="Verdana" w:hAnsi="Verdana" w:cs="Times New Roman"/>
      <w:color w:val="0000FF"/>
      <w:sz w:val="20"/>
      <w:szCs w:val="20"/>
      <w:u w:val="single" w:color="0000FF"/>
    </w:rPr>
  </w:style>
  <w:style w:type="paragraph" w:styleId="Header">
    <w:name w:val="header"/>
    <w:basedOn w:val="Normal"/>
    <w:link w:val="HeaderChar"/>
    <w:rsid w:val="00710860"/>
    <w:pPr>
      <w:tabs>
        <w:tab w:val="center" w:pos="4680"/>
        <w:tab w:val="right" w:pos="9360"/>
      </w:tabs>
    </w:pPr>
  </w:style>
  <w:style w:type="character" w:customStyle="1" w:styleId="HeaderChar">
    <w:name w:val="Header Char"/>
    <w:basedOn w:val="DefaultParagraphFont"/>
    <w:link w:val="Header"/>
    <w:rsid w:val="00710860"/>
    <w:rPr>
      <w:sz w:val="24"/>
      <w:szCs w:val="24"/>
      <w:lang w:eastAsia="en-US"/>
    </w:rPr>
  </w:style>
  <w:style w:type="paragraph" w:styleId="Footer">
    <w:name w:val="footer"/>
    <w:basedOn w:val="Normal"/>
    <w:link w:val="FooterChar"/>
    <w:rsid w:val="00710860"/>
    <w:pPr>
      <w:tabs>
        <w:tab w:val="center" w:pos="4680"/>
        <w:tab w:val="right" w:pos="9360"/>
      </w:tabs>
    </w:pPr>
  </w:style>
  <w:style w:type="character" w:customStyle="1" w:styleId="FooterChar">
    <w:name w:val="Footer Char"/>
    <w:basedOn w:val="DefaultParagraphFont"/>
    <w:link w:val="Footer"/>
    <w:rsid w:val="007108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wmo.int/pages/prog/www/wigos/contact.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wmo.int/pages/prog/www/wigos/contact.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5570-8392-44CA-82C0-F0D11299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2003-07-31T09:56:00Z</cp:lastPrinted>
  <dcterms:created xsi:type="dcterms:W3CDTF">2015-02-17T12:17:00Z</dcterms:created>
  <dcterms:modified xsi:type="dcterms:W3CDTF">2015-02-17T12:17:00Z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