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8A" w:rsidRPr="004F7BEA" w:rsidRDefault="00B76A7F" w:rsidP="00B76A7F">
      <w:pPr>
        <w:jc w:val="center"/>
        <w:rPr>
          <w:rFonts w:ascii="Arial" w:hAnsi="Arial" w:cs="Arial"/>
          <w:b/>
        </w:rPr>
      </w:pPr>
      <w:r w:rsidRPr="004F7BEA">
        <w:rPr>
          <w:rFonts w:ascii="Arial" w:hAnsi="Arial" w:cs="Arial"/>
          <w:b/>
        </w:rPr>
        <w:t>WMO recognition of centennial observing stations</w:t>
      </w:r>
    </w:p>
    <w:p w:rsidR="00B76A7F" w:rsidRPr="004F7BEA" w:rsidRDefault="00370904" w:rsidP="00B76A7F">
      <w:pPr>
        <w:jc w:val="center"/>
        <w:rPr>
          <w:rFonts w:ascii="Arial" w:hAnsi="Arial" w:cs="Arial"/>
        </w:rPr>
      </w:pPr>
      <w:r>
        <w:rPr>
          <w:rFonts w:ascii="Arial" w:hAnsi="Arial" w:cs="Arial"/>
        </w:rPr>
        <w:t>C</w:t>
      </w:r>
      <w:r w:rsidR="00B76A7F" w:rsidRPr="004F7BEA">
        <w:rPr>
          <w:rFonts w:ascii="Arial" w:hAnsi="Arial" w:cs="Arial"/>
        </w:rPr>
        <w:t xml:space="preserve">oncept paper </w:t>
      </w:r>
      <w:r w:rsidR="00FC4C46">
        <w:rPr>
          <w:rFonts w:ascii="Arial" w:hAnsi="Arial" w:cs="Arial"/>
        </w:rPr>
        <w:t>for submission to ICG-WIGOS IV, 17-20 February 2015</w:t>
      </w:r>
      <w:r w:rsidR="00B76A7F" w:rsidRPr="004F7BEA">
        <w:rPr>
          <w:rFonts w:ascii="Arial" w:hAnsi="Arial" w:cs="Arial"/>
        </w:rPr>
        <w:t xml:space="preserve"> </w:t>
      </w:r>
    </w:p>
    <w:p w:rsidR="006D0DC3" w:rsidRDefault="006D0DC3" w:rsidP="00B76A7F">
      <w:pPr>
        <w:rPr>
          <w:rFonts w:ascii="Arial" w:hAnsi="Arial" w:cs="Arial"/>
          <w:b/>
          <w:u w:val="single"/>
        </w:rPr>
      </w:pPr>
    </w:p>
    <w:p w:rsidR="00B76A7F" w:rsidRPr="004F7BEA" w:rsidRDefault="00B76A7F" w:rsidP="00B76A7F">
      <w:pPr>
        <w:rPr>
          <w:rFonts w:ascii="Arial" w:hAnsi="Arial" w:cs="Arial"/>
          <w:b/>
          <w:u w:val="single"/>
        </w:rPr>
      </w:pPr>
      <w:r w:rsidRPr="004F7BEA">
        <w:rPr>
          <w:rFonts w:ascii="Arial" w:hAnsi="Arial" w:cs="Arial"/>
          <w:b/>
          <w:u w:val="single"/>
        </w:rPr>
        <w:t>Introduction</w:t>
      </w:r>
    </w:p>
    <w:p w:rsidR="006D27F2" w:rsidRPr="002B1AC8" w:rsidRDefault="006D27F2" w:rsidP="006D27F2">
      <w:pPr>
        <w:tabs>
          <w:tab w:val="left" w:pos="1134"/>
        </w:tabs>
        <w:spacing w:before="240" w:after="0" w:line="240" w:lineRule="auto"/>
        <w:jc w:val="both"/>
        <w:rPr>
          <w:rFonts w:ascii="Arial" w:eastAsia="MS Mincho" w:hAnsi="Arial" w:cs="Arial"/>
          <w:bCs/>
          <w:lang w:eastAsia="en-US"/>
        </w:rPr>
      </w:pPr>
      <w:r w:rsidRPr="002B1AC8">
        <w:rPr>
          <w:rFonts w:ascii="Arial" w:eastAsia="MS Mincho" w:hAnsi="Arial" w:cs="Arial"/>
          <w:lang w:eastAsia="en-US"/>
        </w:rPr>
        <w:t>The Intergovernmental Panel on Climate Change (IPCC) Fifth</w:t>
      </w:r>
      <w:r w:rsidRPr="002B1AC8">
        <w:rPr>
          <w:rFonts w:ascii="Arial" w:eastAsia="MS Mincho" w:hAnsi="Arial" w:cs="Arial"/>
          <w:bCs/>
          <w:lang w:eastAsia="en-US"/>
        </w:rPr>
        <w:t xml:space="preserve"> Assessment Report (AR5 WGI) confirms that it is extremely likely that human influence has been the dominant cause of the observed warming since the mid-20</w:t>
      </w:r>
      <w:r w:rsidRPr="002B1AC8">
        <w:rPr>
          <w:rFonts w:ascii="Arial" w:eastAsia="MS Mincho" w:hAnsi="Arial" w:cs="Arial"/>
          <w:bCs/>
          <w:vertAlign w:val="superscript"/>
          <w:lang w:eastAsia="en-US"/>
        </w:rPr>
        <w:t>th</w:t>
      </w:r>
      <w:r w:rsidRPr="002B1AC8">
        <w:rPr>
          <w:rFonts w:ascii="Arial" w:eastAsia="MS Mincho" w:hAnsi="Arial" w:cs="Arial"/>
          <w:bCs/>
          <w:lang w:eastAsia="en-US"/>
        </w:rPr>
        <w:t xml:space="preserve"> century. The evidence for this has grown, thanks to more and better observations, an improved understanding of the climate system response and climate models. </w:t>
      </w:r>
    </w:p>
    <w:p w:rsidR="006D27F2" w:rsidRPr="002B1AC8" w:rsidRDefault="002B1AC8" w:rsidP="006D27F2">
      <w:pPr>
        <w:tabs>
          <w:tab w:val="left" w:pos="1134"/>
        </w:tabs>
        <w:spacing w:before="240" w:after="0" w:line="240" w:lineRule="auto"/>
        <w:jc w:val="both"/>
        <w:rPr>
          <w:rFonts w:ascii="Arial" w:eastAsia="MS Mincho" w:hAnsi="Arial" w:cs="Arial"/>
          <w:lang w:eastAsia="en-US"/>
        </w:rPr>
      </w:pPr>
      <w:r w:rsidRPr="002B1AC8">
        <w:rPr>
          <w:rFonts w:ascii="Arial" w:eastAsia="MS Mincho" w:hAnsi="Arial" w:cs="Arial"/>
          <w:lang w:eastAsia="en-US"/>
        </w:rPr>
        <w:t>L</w:t>
      </w:r>
      <w:r w:rsidR="006D27F2" w:rsidRPr="002B1AC8">
        <w:rPr>
          <w:rFonts w:ascii="Arial" w:eastAsia="MS Mincho" w:hAnsi="Arial" w:cs="Arial"/>
          <w:lang w:eastAsia="en-US"/>
        </w:rPr>
        <w:t xml:space="preserve">ong-term observations and in particular those from observing stations that provide continuous data for 100 years or more </w:t>
      </w:r>
      <w:r w:rsidRPr="002B1AC8">
        <w:rPr>
          <w:rFonts w:ascii="Arial" w:eastAsia="MS Mincho" w:hAnsi="Arial" w:cs="Arial"/>
          <w:lang w:eastAsia="en-US"/>
        </w:rPr>
        <w:t>(centennial observing stations) are crucial</w:t>
      </w:r>
      <w:r w:rsidR="006D27F2" w:rsidRPr="002B1AC8">
        <w:rPr>
          <w:rFonts w:ascii="Arial" w:eastAsia="MS Mincho" w:hAnsi="Arial" w:cs="Arial"/>
          <w:lang w:eastAsia="en-US"/>
        </w:rPr>
        <w:t xml:space="preserve"> for documenting and analysing long-term variations </w:t>
      </w:r>
      <w:r w:rsidRPr="002B1AC8">
        <w:rPr>
          <w:rFonts w:ascii="Arial" w:eastAsia="MS Mincho" w:hAnsi="Arial" w:cs="Arial"/>
          <w:lang w:eastAsia="en-US"/>
        </w:rPr>
        <w:t xml:space="preserve">of the Earth’ climate </w:t>
      </w:r>
      <w:r w:rsidR="006D27F2" w:rsidRPr="002B1AC8">
        <w:rPr>
          <w:rFonts w:ascii="Arial" w:eastAsia="MS Mincho" w:hAnsi="Arial" w:cs="Arial"/>
          <w:lang w:eastAsia="en-US"/>
        </w:rPr>
        <w:t>on multi-d</w:t>
      </w:r>
      <w:r w:rsidRPr="002B1AC8">
        <w:rPr>
          <w:rFonts w:ascii="Arial" w:eastAsia="MS Mincho" w:hAnsi="Arial" w:cs="Arial"/>
          <w:lang w:eastAsia="en-US"/>
        </w:rPr>
        <w:t>ecadal to centennial timescale, thereby providing useful input to relevant climate research and services, and beyond.</w:t>
      </w:r>
    </w:p>
    <w:p w:rsidR="002B1AC8" w:rsidRDefault="002B1AC8" w:rsidP="00B459B7">
      <w:pPr>
        <w:autoSpaceDE w:val="0"/>
        <w:autoSpaceDN w:val="0"/>
        <w:adjustRightInd w:val="0"/>
        <w:spacing w:after="0" w:line="240" w:lineRule="auto"/>
        <w:jc w:val="both"/>
        <w:rPr>
          <w:rFonts w:ascii="Arial" w:eastAsia="MS Mincho" w:hAnsi="Arial" w:cs="Arial"/>
          <w:lang w:eastAsia="en-US"/>
        </w:rPr>
      </w:pPr>
    </w:p>
    <w:p w:rsidR="00683975" w:rsidRDefault="0078028C" w:rsidP="00B459B7">
      <w:pPr>
        <w:autoSpaceDE w:val="0"/>
        <w:autoSpaceDN w:val="0"/>
        <w:adjustRightInd w:val="0"/>
        <w:spacing w:after="0" w:line="240" w:lineRule="auto"/>
        <w:jc w:val="both"/>
        <w:rPr>
          <w:rFonts w:ascii="Arial" w:eastAsia="MS Mincho" w:hAnsi="Arial" w:cs="Arial"/>
          <w:lang w:eastAsia="en-US"/>
        </w:rPr>
      </w:pPr>
      <w:r w:rsidRPr="00683975">
        <w:rPr>
          <w:rFonts w:ascii="Arial" w:eastAsia="MS Mincho" w:hAnsi="Arial" w:cs="Arial"/>
          <w:lang w:eastAsia="en-US"/>
        </w:rPr>
        <w:t xml:space="preserve">WMO and its Members have an interest in protecting well-sited long-term observing stations, including centennial observing stations, with good quality time series of meteorological parameters. </w:t>
      </w:r>
      <w:r w:rsidR="00683975" w:rsidRPr="00683975">
        <w:rPr>
          <w:rFonts w:ascii="Arial" w:eastAsia="MS Mincho" w:hAnsi="Arial" w:cs="Arial"/>
          <w:lang w:eastAsia="en-US"/>
        </w:rPr>
        <w:t xml:space="preserve">It is </w:t>
      </w:r>
      <w:r w:rsidRPr="00683975">
        <w:rPr>
          <w:rFonts w:ascii="Arial" w:eastAsia="MS Mincho" w:hAnsi="Arial" w:cs="Arial"/>
          <w:lang w:eastAsia="en-US"/>
        </w:rPr>
        <w:t>noted</w:t>
      </w:r>
      <w:r w:rsidR="00683975" w:rsidRPr="00683975">
        <w:rPr>
          <w:rFonts w:ascii="Arial" w:eastAsia="MS Mincho" w:hAnsi="Arial" w:cs="Arial"/>
          <w:lang w:eastAsia="en-US"/>
        </w:rPr>
        <w:t>, however,</w:t>
      </w:r>
      <w:r w:rsidRPr="00683975">
        <w:rPr>
          <w:rFonts w:ascii="Arial" w:eastAsia="MS Mincho" w:hAnsi="Arial" w:cs="Arial"/>
          <w:lang w:eastAsia="en-US"/>
        </w:rPr>
        <w:t xml:space="preserve"> that some of these observing stations may be at risk due to significant changes in the surrounding environment (e.g. artificial structures) or due to enforced closure or relocation as a result of competing societal interests. </w:t>
      </w:r>
    </w:p>
    <w:p w:rsidR="002B1AC8" w:rsidRPr="006D0DC3" w:rsidRDefault="002B1AC8" w:rsidP="00B459B7">
      <w:pPr>
        <w:autoSpaceDE w:val="0"/>
        <w:autoSpaceDN w:val="0"/>
        <w:adjustRightInd w:val="0"/>
        <w:spacing w:after="0" w:line="240" w:lineRule="auto"/>
        <w:jc w:val="both"/>
        <w:rPr>
          <w:rFonts w:ascii="Arial" w:eastAsia="MS Mincho" w:hAnsi="Arial" w:cs="Arial"/>
          <w:lang w:eastAsia="en-US"/>
        </w:rPr>
      </w:pPr>
    </w:p>
    <w:p w:rsidR="0078028C" w:rsidRPr="006D0DC3" w:rsidRDefault="006D0DC3" w:rsidP="006D0DC3">
      <w:pPr>
        <w:autoSpaceDE w:val="0"/>
        <w:autoSpaceDN w:val="0"/>
        <w:adjustRightInd w:val="0"/>
        <w:spacing w:after="0" w:line="240" w:lineRule="auto"/>
        <w:jc w:val="both"/>
        <w:rPr>
          <w:rFonts w:ascii="Arial" w:eastAsia="MS Mincho" w:hAnsi="Arial" w:cs="Arial"/>
          <w:lang w:val="en-US" w:eastAsia="en-US"/>
        </w:rPr>
      </w:pPr>
      <w:r w:rsidRPr="006D0DC3">
        <w:rPr>
          <w:rFonts w:ascii="Arial" w:eastAsia="MS Mincho" w:hAnsi="Arial" w:cs="Arial"/>
          <w:lang w:eastAsia="en-US"/>
        </w:rPr>
        <w:t>A WMO</w:t>
      </w:r>
      <w:r w:rsidR="00B459B7" w:rsidRPr="006D0DC3">
        <w:rPr>
          <w:rFonts w:ascii="Arial" w:eastAsia="MS Mincho" w:hAnsi="Arial" w:cs="Arial"/>
          <w:lang w:eastAsia="en-US"/>
        </w:rPr>
        <w:t xml:space="preserve"> recognition mechanism is expected to raise the profile of </w:t>
      </w:r>
      <w:r w:rsidRPr="006D0DC3">
        <w:rPr>
          <w:rFonts w:ascii="Arial" w:eastAsia="MS Mincho" w:hAnsi="Arial" w:cs="Arial"/>
          <w:lang w:eastAsia="en-US"/>
        </w:rPr>
        <w:t>long-term observing stations and specifically centennial observing stations</w:t>
      </w:r>
      <w:r w:rsidR="00972FB3">
        <w:rPr>
          <w:rFonts w:ascii="Arial" w:eastAsia="MS Mincho" w:hAnsi="Arial" w:cs="Arial"/>
          <w:lang w:eastAsia="en-US"/>
        </w:rPr>
        <w:t>,</w:t>
      </w:r>
      <w:r w:rsidRPr="006D0DC3">
        <w:rPr>
          <w:rFonts w:ascii="Arial" w:eastAsia="MS Mincho" w:hAnsi="Arial" w:cs="Arial"/>
          <w:lang w:eastAsia="en-US"/>
        </w:rPr>
        <w:t xml:space="preserve"> </w:t>
      </w:r>
      <w:r w:rsidR="00B459B7" w:rsidRPr="006D0DC3">
        <w:rPr>
          <w:rFonts w:ascii="Arial" w:eastAsia="MS Mincho" w:hAnsi="Arial" w:cs="Arial"/>
          <w:lang w:eastAsia="en-US"/>
        </w:rPr>
        <w:t xml:space="preserve">and contribute to Members’ efforts to maintain such stations under the most preferable conditions. </w:t>
      </w:r>
      <w:r w:rsidRPr="006D0DC3">
        <w:rPr>
          <w:rFonts w:ascii="Arial" w:eastAsia="MS Mincho" w:hAnsi="Arial" w:cs="Arial"/>
          <w:lang w:eastAsia="en-US"/>
        </w:rPr>
        <w:t xml:space="preserve">Moreover, </w:t>
      </w:r>
      <w:r w:rsidR="0078028C" w:rsidRPr="006D0DC3">
        <w:rPr>
          <w:rFonts w:ascii="Arial" w:eastAsia="MS Mincho" w:hAnsi="Arial" w:cs="Arial"/>
          <w:lang w:eastAsia="en-US"/>
        </w:rPr>
        <w:t>the recognition mechanism will greatly promote the application of the CIMO Site Classification</w:t>
      </w:r>
      <w:r w:rsidRPr="006D0DC3">
        <w:rPr>
          <w:rFonts w:ascii="Arial" w:eastAsia="MS Mincho" w:hAnsi="Arial" w:cs="Arial"/>
          <w:lang w:val="en-US" w:eastAsia="en-US"/>
        </w:rPr>
        <w:t>.</w:t>
      </w:r>
    </w:p>
    <w:p w:rsidR="0078028C" w:rsidRDefault="0078028C" w:rsidP="00B76A7F">
      <w:pPr>
        <w:rPr>
          <w:rFonts w:ascii="Arial" w:hAnsi="Arial" w:cs="Arial"/>
          <w:lang w:val="en-US"/>
        </w:rPr>
      </w:pPr>
    </w:p>
    <w:p w:rsidR="00B76A7F" w:rsidRPr="004F7BEA" w:rsidRDefault="00B76A7F" w:rsidP="00B76A7F">
      <w:pPr>
        <w:rPr>
          <w:rFonts w:ascii="Arial" w:hAnsi="Arial" w:cs="Arial"/>
          <w:b/>
          <w:u w:val="single"/>
        </w:rPr>
      </w:pPr>
      <w:r w:rsidRPr="004F7BEA">
        <w:rPr>
          <w:rFonts w:ascii="Arial" w:hAnsi="Arial" w:cs="Arial"/>
          <w:b/>
          <w:u w:val="single"/>
        </w:rPr>
        <w:t>Background and references</w:t>
      </w:r>
    </w:p>
    <w:p w:rsidR="009B4F98" w:rsidRPr="004F7BEA" w:rsidRDefault="009B4F98" w:rsidP="003100C9">
      <w:pPr>
        <w:autoSpaceDE w:val="0"/>
        <w:autoSpaceDN w:val="0"/>
        <w:adjustRightInd w:val="0"/>
        <w:spacing w:after="0" w:line="240" w:lineRule="auto"/>
        <w:jc w:val="both"/>
        <w:rPr>
          <w:rFonts w:ascii="Arial" w:eastAsia="MS Mincho" w:hAnsi="Arial" w:cs="Arial"/>
          <w:lang w:eastAsia="en-US"/>
        </w:rPr>
      </w:pPr>
      <w:r w:rsidRPr="004F7BEA">
        <w:rPr>
          <w:rFonts w:ascii="Arial" w:hAnsi="Arial" w:cs="Arial"/>
        </w:rPr>
        <w:t xml:space="preserve">Sixty-five Members responded to a </w:t>
      </w:r>
      <w:r w:rsidRPr="004F7BEA">
        <w:rPr>
          <w:rFonts w:ascii="Arial" w:hAnsi="Arial" w:cs="Arial"/>
          <w:b/>
          <w:i/>
        </w:rPr>
        <w:t>WMO survey on centennial observing stations</w:t>
      </w:r>
      <w:r w:rsidR="00CA6721">
        <w:rPr>
          <w:rFonts w:ascii="Arial" w:hAnsi="Arial" w:cs="Arial"/>
        </w:rPr>
        <w:t xml:space="preserve"> in preparation for</w:t>
      </w:r>
      <w:r w:rsidRPr="004F7BEA">
        <w:rPr>
          <w:rFonts w:ascii="Arial" w:hAnsi="Arial" w:cs="Arial"/>
        </w:rPr>
        <w:t xml:space="preserve"> the first extraordinary World Meteorological Congress in 2012 and reported</w:t>
      </w:r>
      <w:r w:rsidR="00972FB3">
        <w:rPr>
          <w:rFonts w:ascii="Arial" w:hAnsi="Arial" w:cs="Arial"/>
        </w:rPr>
        <w:t xml:space="preserve"> – in the absence of any criteria - </w:t>
      </w:r>
      <w:r w:rsidRPr="004F7BEA">
        <w:rPr>
          <w:rFonts w:ascii="Arial" w:hAnsi="Arial" w:cs="Arial"/>
        </w:rPr>
        <w:t>11000 observing sites that had been open for more than 100 years.</w:t>
      </w:r>
    </w:p>
    <w:p w:rsidR="009B4F98" w:rsidRPr="004F7BEA" w:rsidRDefault="009B4F98" w:rsidP="003100C9">
      <w:pPr>
        <w:autoSpaceDE w:val="0"/>
        <w:autoSpaceDN w:val="0"/>
        <w:adjustRightInd w:val="0"/>
        <w:spacing w:after="0" w:line="240" w:lineRule="auto"/>
        <w:jc w:val="both"/>
        <w:rPr>
          <w:rFonts w:ascii="Arial" w:eastAsia="MS Mincho" w:hAnsi="Arial" w:cs="Arial"/>
          <w:lang w:eastAsia="en-US"/>
        </w:rPr>
      </w:pPr>
    </w:p>
    <w:p w:rsidR="009B4F98" w:rsidRPr="004F7BEA" w:rsidRDefault="006D27F2" w:rsidP="009B4F98">
      <w:pPr>
        <w:autoSpaceDE w:val="0"/>
        <w:autoSpaceDN w:val="0"/>
        <w:adjustRightInd w:val="0"/>
        <w:spacing w:after="0" w:line="240" w:lineRule="auto"/>
        <w:jc w:val="both"/>
        <w:rPr>
          <w:rFonts w:ascii="Arial" w:eastAsia="MS Mincho" w:hAnsi="Arial" w:cs="Arial"/>
          <w:lang w:eastAsia="en-US"/>
        </w:rPr>
      </w:pPr>
      <w:r w:rsidRPr="004F7BEA">
        <w:rPr>
          <w:rFonts w:ascii="Arial" w:eastAsia="MS Mincho" w:hAnsi="Arial" w:cs="Arial"/>
          <w:b/>
          <w:i/>
          <w:lang w:eastAsia="en-US"/>
        </w:rPr>
        <w:t>WMO Executive Council</w:t>
      </w:r>
      <w:r w:rsidRPr="004F7BEA">
        <w:rPr>
          <w:rFonts w:ascii="Arial" w:eastAsia="MS Mincho" w:hAnsi="Arial" w:cs="Arial"/>
          <w:lang w:eastAsia="en-US"/>
        </w:rPr>
        <w:t xml:space="preserve"> at its sixty-fifth session </w:t>
      </w:r>
      <w:r w:rsidR="00B459B7" w:rsidRPr="004F7BEA">
        <w:rPr>
          <w:rFonts w:ascii="Arial" w:eastAsia="MS Mincho" w:hAnsi="Arial" w:cs="Arial"/>
          <w:lang w:eastAsia="en-US"/>
        </w:rPr>
        <w:t>requested</w:t>
      </w:r>
      <w:r w:rsidRPr="004F7BEA">
        <w:rPr>
          <w:rFonts w:ascii="Arial" w:eastAsia="MS Mincho" w:hAnsi="Arial" w:cs="Arial"/>
          <w:lang w:eastAsia="en-US"/>
        </w:rPr>
        <w:t xml:space="preserve"> the Commission for Climatology (</w:t>
      </w:r>
      <w:proofErr w:type="spellStart"/>
      <w:r w:rsidRPr="004F7BEA">
        <w:rPr>
          <w:rFonts w:ascii="Arial" w:eastAsia="MS Mincho" w:hAnsi="Arial" w:cs="Arial"/>
          <w:lang w:eastAsia="en-US"/>
        </w:rPr>
        <w:t>CCl</w:t>
      </w:r>
      <w:proofErr w:type="spellEnd"/>
      <w:r w:rsidRPr="004F7BEA">
        <w:rPr>
          <w:rFonts w:ascii="Arial" w:eastAsia="MS Mincho" w:hAnsi="Arial" w:cs="Arial"/>
          <w:lang w:eastAsia="en-US"/>
        </w:rPr>
        <w:t xml:space="preserve">) jointly with the Global Climate Observing System (GCOS) programme and </w:t>
      </w:r>
      <w:r w:rsidR="00D028AA">
        <w:rPr>
          <w:rFonts w:ascii="Arial" w:eastAsia="MS Mincho" w:hAnsi="Arial" w:cs="Arial"/>
          <w:lang w:eastAsia="en-US"/>
        </w:rPr>
        <w:t>the Commission for Instruments and Methods of Observations (</w:t>
      </w:r>
      <w:r w:rsidRPr="004F7BEA">
        <w:rPr>
          <w:rFonts w:ascii="Arial" w:eastAsia="MS Mincho" w:hAnsi="Arial" w:cs="Arial"/>
          <w:lang w:eastAsia="en-US"/>
        </w:rPr>
        <w:t>CIMO</w:t>
      </w:r>
      <w:r w:rsidR="00D028AA">
        <w:rPr>
          <w:rFonts w:ascii="Arial" w:eastAsia="MS Mincho" w:hAnsi="Arial" w:cs="Arial"/>
          <w:lang w:eastAsia="en-US"/>
        </w:rPr>
        <w:t>)</w:t>
      </w:r>
      <w:r w:rsidRPr="004F7BEA">
        <w:rPr>
          <w:rFonts w:ascii="Arial" w:eastAsia="MS Mincho" w:hAnsi="Arial" w:cs="Arial"/>
          <w:lang w:eastAsia="en-US"/>
        </w:rPr>
        <w:t xml:space="preserve"> to investigate </w:t>
      </w:r>
      <w:r w:rsidRPr="004F7BEA">
        <w:rPr>
          <w:rFonts w:ascii="Arial" w:eastAsia="MS Mincho" w:hAnsi="Arial" w:cs="Arial"/>
          <w:lang w:val="en-US" w:eastAsia="en-US"/>
        </w:rPr>
        <w:t xml:space="preserve">site certification mechanisms, network criteria and monitoring principles and to set-up </w:t>
      </w:r>
      <w:r w:rsidRPr="004F7BEA">
        <w:rPr>
          <w:rFonts w:ascii="Arial" w:eastAsia="MS Mincho" w:hAnsi="Arial" w:cs="Arial"/>
          <w:lang w:eastAsia="en-US"/>
        </w:rPr>
        <w:t xml:space="preserve">an appropriate WMO mechanism for the recognition of centennial observing stations based on a minimum set of objective assessment criteria. </w:t>
      </w:r>
    </w:p>
    <w:p w:rsidR="009B4F98" w:rsidRPr="004F7BEA" w:rsidRDefault="009B4F98" w:rsidP="009B4F98">
      <w:pPr>
        <w:autoSpaceDE w:val="0"/>
        <w:autoSpaceDN w:val="0"/>
        <w:adjustRightInd w:val="0"/>
        <w:spacing w:after="0" w:line="240" w:lineRule="auto"/>
        <w:jc w:val="both"/>
        <w:rPr>
          <w:rFonts w:ascii="Arial" w:eastAsia="MS Mincho" w:hAnsi="Arial" w:cs="Arial"/>
          <w:lang w:eastAsia="en-US"/>
        </w:rPr>
      </w:pPr>
    </w:p>
    <w:p w:rsidR="003100C9" w:rsidRPr="004F7BEA" w:rsidRDefault="009B4F98" w:rsidP="009B4F98">
      <w:pPr>
        <w:autoSpaceDE w:val="0"/>
        <w:autoSpaceDN w:val="0"/>
        <w:adjustRightInd w:val="0"/>
        <w:spacing w:after="0" w:line="240" w:lineRule="auto"/>
        <w:jc w:val="both"/>
        <w:rPr>
          <w:rFonts w:ascii="Arial" w:eastAsia="Times New Roman" w:hAnsi="Arial" w:cs="Arial"/>
          <w:color w:val="222222"/>
        </w:rPr>
      </w:pPr>
      <w:r w:rsidRPr="004F7BEA">
        <w:rPr>
          <w:rFonts w:ascii="Arial" w:eastAsia="Times New Roman" w:hAnsi="Arial" w:cs="Arial"/>
          <w:b/>
          <w:i/>
          <w:color w:val="222222"/>
        </w:rPr>
        <w:t>Two experts</w:t>
      </w:r>
      <w:r w:rsidRPr="004F7BEA">
        <w:rPr>
          <w:rFonts w:ascii="Arial" w:eastAsia="Times New Roman" w:hAnsi="Arial" w:cs="Arial"/>
          <w:color w:val="222222"/>
        </w:rPr>
        <w:t xml:space="preserve">, Dr </w:t>
      </w:r>
      <w:proofErr w:type="spellStart"/>
      <w:r w:rsidRPr="004F7BEA">
        <w:rPr>
          <w:rFonts w:ascii="Arial" w:eastAsia="Times New Roman" w:hAnsi="Arial" w:cs="Arial"/>
          <w:color w:val="222222"/>
        </w:rPr>
        <w:t>Ingeborg</w:t>
      </w:r>
      <w:proofErr w:type="spellEnd"/>
      <w:r w:rsidRPr="004F7BEA">
        <w:rPr>
          <w:rFonts w:ascii="Arial" w:eastAsia="Times New Roman" w:hAnsi="Arial" w:cs="Arial"/>
          <w:color w:val="222222"/>
        </w:rPr>
        <w:t xml:space="preserve"> Auer, ZAMG, Austria and Mr Michel Leroy, </w:t>
      </w:r>
      <w:proofErr w:type="spellStart"/>
      <w:r w:rsidRPr="004F7BEA">
        <w:rPr>
          <w:rFonts w:ascii="Arial" w:eastAsia="Times New Roman" w:hAnsi="Arial" w:cs="Arial"/>
          <w:color w:val="222222"/>
        </w:rPr>
        <w:t>Météo</w:t>
      </w:r>
      <w:proofErr w:type="spellEnd"/>
      <w:r w:rsidRPr="004F7BEA">
        <w:rPr>
          <w:rFonts w:ascii="Arial" w:eastAsia="Times New Roman" w:hAnsi="Arial" w:cs="Arial"/>
          <w:color w:val="222222"/>
        </w:rPr>
        <w:t xml:space="preserve">-France, France </w:t>
      </w:r>
      <w:r w:rsidR="003100C9" w:rsidRPr="004F7BEA">
        <w:rPr>
          <w:rFonts w:ascii="Arial" w:eastAsia="Times New Roman" w:hAnsi="Arial" w:cs="Arial"/>
          <w:b/>
          <w:i/>
          <w:color w:val="222222"/>
        </w:rPr>
        <w:t>visit</w:t>
      </w:r>
      <w:r w:rsidRPr="004F7BEA">
        <w:rPr>
          <w:rFonts w:ascii="Arial" w:eastAsia="Times New Roman" w:hAnsi="Arial" w:cs="Arial"/>
          <w:b/>
          <w:i/>
          <w:color w:val="222222"/>
        </w:rPr>
        <w:t>ed the WMO Secretariat</w:t>
      </w:r>
      <w:r w:rsidRPr="004F7BEA">
        <w:rPr>
          <w:rFonts w:ascii="Arial" w:eastAsia="Times New Roman" w:hAnsi="Arial" w:cs="Arial"/>
          <w:color w:val="222222"/>
        </w:rPr>
        <w:t xml:space="preserve"> in November 2013 and developed draft recognition criteria from climatological and instrumentation perspectives.</w:t>
      </w:r>
    </w:p>
    <w:p w:rsidR="009B4F98" w:rsidRPr="004F7BEA" w:rsidRDefault="009B4F98" w:rsidP="009B4F98">
      <w:pPr>
        <w:autoSpaceDE w:val="0"/>
        <w:autoSpaceDN w:val="0"/>
        <w:adjustRightInd w:val="0"/>
        <w:spacing w:after="0" w:line="240" w:lineRule="auto"/>
        <w:jc w:val="both"/>
        <w:rPr>
          <w:rFonts w:ascii="Arial" w:eastAsia="MS Mincho" w:hAnsi="Arial" w:cs="Arial"/>
          <w:lang w:eastAsia="en-US"/>
        </w:rPr>
      </w:pPr>
    </w:p>
    <w:p w:rsidR="00220196" w:rsidRPr="004F7BEA" w:rsidRDefault="003100C9" w:rsidP="003100C9">
      <w:pPr>
        <w:shd w:val="clear" w:color="auto" w:fill="FFFFFF"/>
        <w:spacing w:after="240" w:line="240" w:lineRule="auto"/>
        <w:jc w:val="both"/>
        <w:rPr>
          <w:rFonts w:ascii="Arial" w:eastAsia="Times New Roman" w:hAnsi="Arial" w:cs="Arial"/>
          <w:color w:val="222222"/>
        </w:rPr>
      </w:pPr>
      <w:r w:rsidRPr="004F7BEA">
        <w:rPr>
          <w:rFonts w:ascii="Arial" w:eastAsia="Times New Roman" w:hAnsi="Arial" w:cs="Arial"/>
          <w:b/>
          <w:i/>
          <w:color w:val="222222"/>
        </w:rPr>
        <w:t>A WMO scoping meeting on a potential WMO recognition mechanism for centennial observing stations</w:t>
      </w:r>
      <w:r w:rsidRPr="004F7BEA">
        <w:rPr>
          <w:rFonts w:ascii="Arial" w:eastAsia="Times New Roman" w:hAnsi="Arial" w:cs="Arial"/>
          <w:color w:val="222222"/>
        </w:rPr>
        <w:t xml:space="preserve"> was organised on 11-13 June 2014 at WMO Headquarters, Gen</w:t>
      </w:r>
      <w:r w:rsidR="00FC4C46">
        <w:rPr>
          <w:rFonts w:ascii="Arial" w:eastAsia="Times New Roman" w:hAnsi="Arial" w:cs="Arial"/>
          <w:color w:val="222222"/>
        </w:rPr>
        <w:t>eva, Switzerland. Experts from M</w:t>
      </w:r>
      <w:r w:rsidRPr="004F7BEA">
        <w:rPr>
          <w:rFonts w:ascii="Arial" w:eastAsia="Times New Roman" w:hAnsi="Arial" w:cs="Arial"/>
          <w:color w:val="222222"/>
        </w:rPr>
        <w:t xml:space="preserve">ember countries, </w:t>
      </w:r>
      <w:proofErr w:type="spellStart"/>
      <w:r w:rsidRPr="004F7BEA">
        <w:rPr>
          <w:rFonts w:ascii="Arial" w:eastAsia="Times New Roman" w:hAnsi="Arial" w:cs="Arial"/>
          <w:color w:val="222222"/>
        </w:rPr>
        <w:t>CCl</w:t>
      </w:r>
      <w:proofErr w:type="spellEnd"/>
      <w:r w:rsidRPr="004F7BEA">
        <w:rPr>
          <w:rFonts w:ascii="Arial" w:eastAsia="Times New Roman" w:hAnsi="Arial" w:cs="Arial"/>
          <w:color w:val="222222"/>
        </w:rPr>
        <w:t xml:space="preserve">, </w:t>
      </w:r>
      <w:r w:rsidR="00D028AA">
        <w:rPr>
          <w:rFonts w:ascii="Arial" w:eastAsia="Times New Roman" w:hAnsi="Arial" w:cs="Arial"/>
          <w:color w:val="222222"/>
        </w:rPr>
        <w:t>the Commission for Basic Systems (</w:t>
      </w:r>
      <w:r w:rsidRPr="004F7BEA">
        <w:rPr>
          <w:rFonts w:ascii="Arial" w:eastAsia="Times New Roman" w:hAnsi="Arial" w:cs="Arial"/>
          <w:color w:val="222222"/>
        </w:rPr>
        <w:t>CBS</w:t>
      </w:r>
      <w:r w:rsidR="00D028AA">
        <w:rPr>
          <w:rFonts w:ascii="Arial" w:eastAsia="Times New Roman" w:hAnsi="Arial" w:cs="Arial"/>
          <w:color w:val="222222"/>
        </w:rPr>
        <w:t>)</w:t>
      </w:r>
      <w:r w:rsidRPr="004F7BEA">
        <w:rPr>
          <w:rFonts w:ascii="Arial" w:eastAsia="Times New Roman" w:hAnsi="Arial" w:cs="Arial"/>
          <w:color w:val="222222"/>
        </w:rPr>
        <w:t xml:space="preserve">, CIMO, GCOS, </w:t>
      </w:r>
      <w:r w:rsidR="00D028AA">
        <w:rPr>
          <w:rFonts w:ascii="Arial" w:eastAsia="Times New Roman" w:hAnsi="Arial" w:cs="Arial"/>
          <w:color w:val="222222"/>
        </w:rPr>
        <w:t>the WMO Integrated Observing System (</w:t>
      </w:r>
      <w:r w:rsidRPr="004F7BEA">
        <w:rPr>
          <w:rFonts w:ascii="Arial" w:eastAsia="Times New Roman" w:hAnsi="Arial" w:cs="Arial"/>
          <w:color w:val="222222"/>
        </w:rPr>
        <w:t>WIGOS</w:t>
      </w:r>
      <w:r w:rsidR="00D028AA">
        <w:rPr>
          <w:rFonts w:ascii="Arial" w:eastAsia="Times New Roman" w:hAnsi="Arial" w:cs="Arial"/>
          <w:color w:val="222222"/>
        </w:rPr>
        <w:t>)</w:t>
      </w:r>
      <w:r w:rsidRPr="004F7BEA">
        <w:rPr>
          <w:rFonts w:ascii="Arial" w:eastAsia="Times New Roman" w:hAnsi="Arial" w:cs="Arial"/>
          <w:color w:val="222222"/>
        </w:rPr>
        <w:t xml:space="preserve"> and the WMO Secretariat discussed the issue, consolidated the above mentioned criteria and proposed a mechanism </w:t>
      </w:r>
      <w:r w:rsidRPr="004F7BEA">
        <w:rPr>
          <w:rFonts w:ascii="Arial" w:eastAsia="Times New Roman" w:hAnsi="Arial" w:cs="Arial"/>
          <w:color w:val="222222"/>
        </w:rPr>
        <w:lastRenderedPageBreak/>
        <w:t>for the recognition of centennial observing stations (meeting report cf. http://www.wmo.int/pages/prog/wcp/wcdmp/COS.php).</w:t>
      </w:r>
    </w:p>
    <w:p w:rsidR="00220196" w:rsidRPr="004F7BEA" w:rsidRDefault="00220196" w:rsidP="003100C9">
      <w:pPr>
        <w:shd w:val="clear" w:color="auto" w:fill="FFFFFF"/>
        <w:spacing w:after="0" w:line="240" w:lineRule="auto"/>
        <w:jc w:val="both"/>
        <w:rPr>
          <w:rFonts w:ascii="Arial" w:eastAsia="Times New Roman" w:hAnsi="Arial" w:cs="Arial"/>
          <w:color w:val="222222"/>
        </w:rPr>
      </w:pPr>
      <w:proofErr w:type="spellStart"/>
      <w:r w:rsidRPr="004F7BEA">
        <w:rPr>
          <w:rFonts w:ascii="Arial" w:eastAsia="Times New Roman" w:hAnsi="Arial" w:cs="Arial"/>
          <w:color w:val="222222"/>
        </w:rPr>
        <w:t>CCl</w:t>
      </w:r>
      <w:proofErr w:type="spellEnd"/>
      <w:r w:rsidRPr="004F7BEA">
        <w:rPr>
          <w:rFonts w:ascii="Arial" w:eastAsia="Times New Roman" w:hAnsi="Arial" w:cs="Arial"/>
          <w:color w:val="222222"/>
        </w:rPr>
        <w:t xml:space="preserve">, CIMO and CBS </w:t>
      </w:r>
      <w:r w:rsidR="00972FB3">
        <w:rPr>
          <w:rFonts w:ascii="Arial" w:eastAsia="Times New Roman" w:hAnsi="Arial" w:cs="Arial"/>
          <w:color w:val="222222"/>
        </w:rPr>
        <w:t xml:space="preserve">subsequently </w:t>
      </w:r>
      <w:r w:rsidRPr="004F7BEA">
        <w:rPr>
          <w:rFonts w:ascii="Arial" w:eastAsia="Times New Roman" w:hAnsi="Arial" w:cs="Arial"/>
          <w:color w:val="222222"/>
        </w:rPr>
        <w:t>agreed to further support the recognition of centennial observing stations initiative; cf. paragraph 10.2 (</w:t>
      </w:r>
      <w:proofErr w:type="spellStart"/>
      <w:r w:rsidRPr="004F7BEA">
        <w:rPr>
          <w:rFonts w:ascii="Arial" w:eastAsia="Times New Roman" w:hAnsi="Arial" w:cs="Arial"/>
          <w:b/>
          <w:i/>
          <w:color w:val="222222"/>
        </w:rPr>
        <w:t>CCl</w:t>
      </w:r>
      <w:proofErr w:type="spellEnd"/>
      <w:r w:rsidRPr="004F7BEA">
        <w:rPr>
          <w:rFonts w:ascii="Arial" w:eastAsia="Times New Roman" w:hAnsi="Arial" w:cs="Arial"/>
          <w:b/>
          <w:i/>
          <w:color w:val="222222"/>
        </w:rPr>
        <w:t>-XVI</w:t>
      </w:r>
      <w:r w:rsidRPr="004F7BEA">
        <w:rPr>
          <w:rFonts w:ascii="Arial" w:eastAsia="Times New Roman" w:hAnsi="Arial" w:cs="Arial"/>
          <w:color w:val="222222"/>
        </w:rPr>
        <w:t>); doc 7(8) with Recommendation 7(8)/1 (</w:t>
      </w:r>
      <w:r w:rsidRPr="004F7BEA">
        <w:rPr>
          <w:rFonts w:ascii="Arial" w:eastAsia="Times New Roman" w:hAnsi="Arial" w:cs="Arial"/>
          <w:b/>
          <w:i/>
          <w:color w:val="222222"/>
        </w:rPr>
        <w:t>CIMO-XVI</w:t>
      </w:r>
      <w:r w:rsidRPr="004F7BEA">
        <w:rPr>
          <w:rFonts w:ascii="Arial" w:eastAsia="Times New Roman" w:hAnsi="Arial" w:cs="Arial"/>
          <w:color w:val="222222"/>
        </w:rPr>
        <w:t xml:space="preserve">) and paragraph 3.1(1).30 </w:t>
      </w:r>
      <w:r w:rsidRPr="004F7BEA">
        <w:rPr>
          <w:rFonts w:ascii="Arial" w:eastAsia="Times New Roman" w:hAnsi="Arial" w:cs="Arial"/>
          <w:b/>
          <w:i/>
          <w:color w:val="222222"/>
        </w:rPr>
        <w:t>(CBS-Ext.(2014)</w:t>
      </w:r>
      <w:r w:rsidRPr="004F7BEA">
        <w:rPr>
          <w:rFonts w:ascii="Arial" w:eastAsia="Times New Roman" w:hAnsi="Arial" w:cs="Arial"/>
          <w:color w:val="222222"/>
        </w:rPr>
        <w:t>.   </w:t>
      </w:r>
      <w:r w:rsidRPr="004F7BEA">
        <w:rPr>
          <w:rFonts w:ascii="Arial" w:eastAsia="Times New Roman" w:hAnsi="Arial" w:cs="Arial"/>
          <w:color w:val="222222"/>
        </w:rPr>
        <w:br w:type="textWrapping" w:clear="all"/>
      </w:r>
    </w:p>
    <w:p w:rsidR="00220196" w:rsidRPr="004F7BEA" w:rsidRDefault="00220196" w:rsidP="003100C9">
      <w:pPr>
        <w:shd w:val="clear" w:color="auto" w:fill="FFFFFF"/>
        <w:spacing w:after="0" w:line="240" w:lineRule="auto"/>
        <w:jc w:val="both"/>
        <w:rPr>
          <w:rFonts w:ascii="Arial" w:eastAsia="Times New Roman" w:hAnsi="Arial" w:cs="Arial"/>
          <w:color w:val="222222"/>
        </w:rPr>
      </w:pPr>
    </w:p>
    <w:p w:rsidR="00B76A7F" w:rsidRPr="004F7BEA" w:rsidRDefault="0078028C" w:rsidP="00B76A7F">
      <w:pPr>
        <w:rPr>
          <w:rFonts w:ascii="Arial" w:hAnsi="Arial" w:cs="Arial"/>
          <w:b/>
          <w:u w:val="single"/>
        </w:rPr>
      </w:pPr>
      <w:r w:rsidRPr="004F7BEA">
        <w:rPr>
          <w:rFonts w:ascii="Arial" w:hAnsi="Arial" w:cs="Arial"/>
          <w:b/>
          <w:u w:val="single"/>
        </w:rPr>
        <w:t>Test case</w:t>
      </w:r>
      <w:r w:rsidR="007B0232">
        <w:rPr>
          <w:rFonts w:ascii="Arial" w:hAnsi="Arial" w:cs="Arial"/>
          <w:b/>
          <w:u w:val="single"/>
        </w:rPr>
        <w:t>s</w:t>
      </w:r>
      <w:r w:rsidRPr="004F7BEA">
        <w:rPr>
          <w:rFonts w:ascii="Arial" w:hAnsi="Arial" w:cs="Arial"/>
          <w:b/>
          <w:u w:val="single"/>
        </w:rPr>
        <w:t xml:space="preserve"> </w:t>
      </w:r>
    </w:p>
    <w:p w:rsidR="00606866" w:rsidRPr="004F7BEA" w:rsidRDefault="00150418" w:rsidP="00150418">
      <w:pPr>
        <w:jc w:val="both"/>
        <w:rPr>
          <w:rFonts w:ascii="Arial" w:hAnsi="Arial" w:cs="Arial"/>
        </w:rPr>
      </w:pPr>
      <w:r w:rsidRPr="004F7BEA">
        <w:rPr>
          <w:rFonts w:ascii="Arial" w:hAnsi="Arial" w:cs="Arial"/>
        </w:rPr>
        <w:t xml:space="preserve">Participants in the </w:t>
      </w:r>
      <w:r w:rsidR="00972FB3">
        <w:rPr>
          <w:rFonts w:ascii="Arial" w:hAnsi="Arial" w:cs="Arial"/>
        </w:rPr>
        <w:t>above mentioned scoping meeting</w:t>
      </w:r>
      <w:r w:rsidRPr="004F7BEA">
        <w:rPr>
          <w:rFonts w:ascii="Arial" w:hAnsi="Arial" w:cs="Arial"/>
        </w:rPr>
        <w:t xml:space="preserve"> agreed to test the draft recognition criteria. Relevant exercises were performed within </w:t>
      </w:r>
      <w:proofErr w:type="spellStart"/>
      <w:r w:rsidRPr="004F7BEA">
        <w:rPr>
          <w:rFonts w:ascii="Arial" w:hAnsi="Arial" w:cs="Arial"/>
        </w:rPr>
        <w:t>Aemet</w:t>
      </w:r>
      <w:proofErr w:type="spellEnd"/>
      <w:r w:rsidRPr="004F7BEA">
        <w:rPr>
          <w:rFonts w:ascii="Arial" w:hAnsi="Arial" w:cs="Arial"/>
        </w:rPr>
        <w:t>, Spain; DNM, Guinea; Hong Kong Observatory</w:t>
      </w:r>
      <w:r w:rsidR="00606866" w:rsidRPr="004F7BEA">
        <w:rPr>
          <w:rFonts w:ascii="Arial" w:hAnsi="Arial" w:cs="Arial"/>
        </w:rPr>
        <w:t xml:space="preserve"> (HKO)</w:t>
      </w:r>
      <w:r w:rsidRPr="004F7BEA">
        <w:rPr>
          <w:rFonts w:ascii="Arial" w:hAnsi="Arial" w:cs="Arial"/>
        </w:rPr>
        <w:t xml:space="preserve">, Hong Kong, China; </w:t>
      </w:r>
      <w:proofErr w:type="spellStart"/>
      <w:r w:rsidRPr="004F7BEA">
        <w:rPr>
          <w:rFonts w:ascii="Arial" w:hAnsi="Arial" w:cs="Arial"/>
        </w:rPr>
        <w:t>Météo</w:t>
      </w:r>
      <w:proofErr w:type="spellEnd"/>
      <w:r w:rsidRPr="004F7BEA">
        <w:rPr>
          <w:rFonts w:ascii="Arial" w:hAnsi="Arial" w:cs="Arial"/>
        </w:rPr>
        <w:t>-France</w:t>
      </w:r>
      <w:r w:rsidR="00606866" w:rsidRPr="004F7BEA">
        <w:rPr>
          <w:rFonts w:ascii="Arial" w:hAnsi="Arial" w:cs="Arial"/>
        </w:rPr>
        <w:t xml:space="preserve"> (MF)</w:t>
      </w:r>
      <w:r w:rsidRPr="004F7BEA">
        <w:rPr>
          <w:rFonts w:ascii="Arial" w:hAnsi="Arial" w:cs="Arial"/>
        </w:rPr>
        <w:t>, France; National Weather Services</w:t>
      </w:r>
      <w:r w:rsidR="00606866" w:rsidRPr="004F7BEA">
        <w:rPr>
          <w:rFonts w:ascii="Arial" w:hAnsi="Arial" w:cs="Arial"/>
        </w:rPr>
        <w:t xml:space="preserve"> (NWS)</w:t>
      </w:r>
      <w:r w:rsidRPr="004F7BEA">
        <w:rPr>
          <w:rFonts w:ascii="Arial" w:hAnsi="Arial" w:cs="Arial"/>
        </w:rPr>
        <w:t>, USA and ZAMG, Austria. A relevant template was</w:t>
      </w:r>
      <w:r w:rsidR="00A27DE3">
        <w:rPr>
          <w:rFonts w:ascii="Arial" w:hAnsi="Arial" w:cs="Arial"/>
        </w:rPr>
        <w:t xml:space="preserve"> proposed by D</w:t>
      </w:r>
      <w:r w:rsidR="00606866" w:rsidRPr="004F7BEA">
        <w:rPr>
          <w:rFonts w:ascii="Arial" w:hAnsi="Arial" w:cs="Arial"/>
        </w:rPr>
        <w:t>r T. C. Lee, H</w:t>
      </w:r>
      <w:r w:rsidRPr="004F7BEA">
        <w:rPr>
          <w:rFonts w:ascii="Arial" w:hAnsi="Arial" w:cs="Arial"/>
        </w:rPr>
        <w:t xml:space="preserve">KO, and </w:t>
      </w:r>
      <w:r w:rsidR="00AF00E2" w:rsidRPr="004F7BEA">
        <w:rPr>
          <w:rFonts w:ascii="Arial" w:hAnsi="Arial" w:cs="Arial"/>
        </w:rPr>
        <w:t>used in most cases (</w:t>
      </w:r>
      <w:proofErr w:type="spellStart"/>
      <w:r w:rsidR="0018570D">
        <w:rPr>
          <w:rFonts w:ascii="Arial" w:hAnsi="Arial" w:cs="Arial"/>
        </w:rPr>
        <w:t>cf</w:t>
      </w:r>
      <w:proofErr w:type="spellEnd"/>
      <w:r w:rsidR="0018570D">
        <w:rPr>
          <w:rFonts w:ascii="Arial" w:hAnsi="Arial" w:cs="Arial"/>
        </w:rPr>
        <w:t xml:space="preserve"> Attachment 2 of the A</w:t>
      </w:r>
      <w:r w:rsidR="0018570D" w:rsidRPr="0018570D">
        <w:rPr>
          <w:rFonts w:ascii="Arial" w:hAnsi="Arial" w:cs="Arial"/>
        </w:rPr>
        <w:t>n</w:t>
      </w:r>
      <w:r w:rsidR="00AF00E2" w:rsidRPr="0018570D">
        <w:rPr>
          <w:rFonts w:ascii="Arial" w:hAnsi="Arial" w:cs="Arial"/>
        </w:rPr>
        <w:t>nex).</w:t>
      </w:r>
      <w:r w:rsidR="00606866" w:rsidRPr="0018570D">
        <w:rPr>
          <w:rFonts w:ascii="Arial" w:hAnsi="Arial" w:cs="Arial"/>
        </w:rPr>
        <w:t xml:space="preserve"> It</w:t>
      </w:r>
      <w:r w:rsidR="00606866" w:rsidRPr="004F7BEA">
        <w:rPr>
          <w:rFonts w:ascii="Arial" w:hAnsi="Arial" w:cs="Arial"/>
        </w:rPr>
        <w:t xml:space="preserve"> can be concluded that the overall performance of the draft criteria was considered to be appropriate; further details see table below:</w:t>
      </w:r>
    </w:p>
    <w:tbl>
      <w:tblPr>
        <w:tblStyle w:val="TableGrid"/>
        <w:tblW w:w="0" w:type="auto"/>
        <w:tblLook w:val="04A0" w:firstRow="1" w:lastRow="0" w:firstColumn="1" w:lastColumn="0" w:noHBand="0" w:noVBand="1"/>
      </w:tblPr>
      <w:tblGrid>
        <w:gridCol w:w="828"/>
        <w:gridCol w:w="3780"/>
        <w:gridCol w:w="4634"/>
      </w:tblGrid>
      <w:tr w:rsidR="00E3104F" w:rsidRPr="004F7BEA" w:rsidTr="00E3104F">
        <w:tc>
          <w:tcPr>
            <w:tcW w:w="828" w:type="dxa"/>
            <w:shd w:val="clear" w:color="auto" w:fill="BFBFBF" w:themeFill="background1" w:themeFillShade="BF"/>
          </w:tcPr>
          <w:p w:rsidR="00606866" w:rsidRPr="004F7BEA" w:rsidRDefault="00606866" w:rsidP="00606866">
            <w:pPr>
              <w:jc w:val="center"/>
              <w:rPr>
                <w:rFonts w:ascii="Arial" w:hAnsi="Arial" w:cs="Arial"/>
                <w:b/>
                <w:sz w:val="20"/>
                <w:szCs w:val="20"/>
              </w:rPr>
            </w:pPr>
            <w:r w:rsidRPr="004F7BEA">
              <w:rPr>
                <w:rFonts w:ascii="Arial" w:hAnsi="Arial" w:cs="Arial"/>
                <w:b/>
                <w:sz w:val="20"/>
                <w:szCs w:val="20"/>
              </w:rPr>
              <w:t>NMHS</w:t>
            </w:r>
          </w:p>
        </w:tc>
        <w:tc>
          <w:tcPr>
            <w:tcW w:w="3780" w:type="dxa"/>
            <w:shd w:val="clear" w:color="auto" w:fill="BFBFBF" w:themeFill="background1" w:themeFillShade="BF"/>
          </w:tcPr>
          <w:p w:rsidR="00606866" w:rsidRPr="004F7BEA" w:rsidRDefault="00606866" w:rsidP="00606866">
            <w:pPr>
              <w:jc w:val="center"/>
              <w:rPr>
                <w:rFonts w:ascii="Arial" w:hAnsi="Arial" w:cs="Arial"/>
                <w:b/>
                <w:sz w:val="20"/>
                <w:szCs w:val="20"/>
              </w:rPr>
            </w:pPr>
            <w:r w:rsidRPr="004F7BEA">
              <w:rPr>
                <w:rFonts w:ascii="Arial" w:hAnsi="Arial" w:cs="Arial"/>
                <w:b/>
                <w:sz w:val="20"/>
                <w:szCs w:val="20"/>
              </w:rPr>
              <w:t>Key outcome</w:t>
            </w:r>
          </w:p>
        </w:tc>
        <w:tc>
          <w:tcPr>
            <w:tcW w:w="4634" w:type="dxa"/>
            <w:shd w:val="clear" w:color="auto" w:fill="BFBFBF" w:themeFill="background1" w:themeFillShade="BF"/>
          </w:tcPr>
          <w:p w:rsidR="00606866" w:rsidRPr="004F7BEA" w:rsidRDefault="00606866" w:rsidP="00606866">
            <w:pPr>
              <w:jc w:val="center"/>
              <w:rPr>
                <w:rFonts w:ascii="Arial" w:hAnsi="Arial" w:cs="Arial"/>
                <w:b/>
                <w:sz w:val="20"/>
                <w:szCs w:val="20"/>
              </w:rPr>
            </w:pPr>
            <w:r w:rsidRPr="004F7BEA">
              <w:rPr>
                <w:rFonts w:ascii="Arial" w:hAnsi="Arial" w:cs="Arial"/>
                <w:b/>
                <w:sz w:val="20"/>
                <w:szCs w:val="20"/>
              </w:rPr>
              <w:t>Remarks</w:t>
            </w:r>
          </w:p>
        </w:tc>
      </w:tr>
      <w:tr w:rsidR="00E3104F" w:rsidRPr="004F7BEA" w:rsidTr="00E3104F">
        <w:tc>
          <w:tcPr>
            <w:tcW w:w="828" w:type="dxa"/>
          </w:tcPr>
          <w:p w:rsidR="00606866" w:rsidRPr="004F7BEA" w:rsidRDefault="00606866" w:rsidP="00150418">
            <w:pPr>
              <w:jc w:val="both"/>
              <w:rPr>
                <w:rFonts w:ascii="Arial" w:hAnsi="Arial" w:cs="Arial"/>
                <w:sz w:val="20"/>
                <w:szCs w:val="20"/>
              </w:rPr>
            </w:pPr>
            <w:proofErr w:type="spellStart"/>
            <w:r w:rsidRPr="004F7BEA">
              <w:rPr>
                <w:rFonts w:ascii="Arial" w:hAnsi="Arial" w:cs="Arial"/>
                <w:sz w:val="20"/>
                <w:szCs w:val="20"/>
              </w:rPr>
              <w:t>Aemet</w:t>
            </w:r>
            <w:proofErr w:type="spellEnd"/>
          </w:p>
        </w:tc>
        <w:tc>
          <w:tcPr>
            <w:tcW w:w="3780" w:type="dxa"/>
          </w:tcPr>
          <w:p w:rsidR="00606866" w:rsidRPr="004F7BEA" w:rsidRDefault="00B72EEC" w:rsidP="00B72EEC">
            <w:pPr>
              <w:jc w:val="both"/>
              <w:rPr>
                <w:rFonts w:ascii="Arial" w:hAnsi="Arial" w:cs="Arial"/>
                <w:sz w:val="20"/>
                <w:szCs w:val="20"/>
              </w:rPr>
            </w:pPr>
            <w:r w:rsidRPr="004F7BEA">
              <w:rPr>
                <w:rFonts w:ascii="Arial" w:hAnsi="Arial" w:cs="Arial"/>
                <w:sz w:val="20"/>
                <w:szCs w:val="20"/>
              </w:rPr>
              <w:t xml:space="preserve">Expect 9 out of </w:t>
            </w:r>
            <w:proofErr w:type="spellStart"/>
            <w:r w:rsidRPr="004F7BEA">
              <w:rPr>
                <w:rFonts w:ascii="Arial" w:hAnsi="Arial" w:cs="Arial"/>
                <w:sz w:val="20"/>
                <w:szCs w:val="20"/>
              </w:rPr>
              <w:t>Aemet’s</w:t>
            </w:r>
            <w:proofErr w:type="spellEnd"/>
            <w:r w:rsidRPr="004F7BEA">
              <w:rPr>
                <w:rFonts w:ascii="Arial" w:hAnsi="Arial" w:cs="Arial"/>
                <w:sz w:val="20"/>
                <w:szCs w:val="20"/>
              </w:rPr>
              <w:t xml:space="preserve"> 24 candidate stations to fulfil the criteria</w:t>
            </w:r>
          </w:p>
        </w:tc>
        <w:tc>
          <w:tcPr>
            <w:tcW w:w="4634" w:type="dxa"/>
          </w:tcPr>
          <w:p w:rsidR="00606866" w:rsidRPr="004F7BEA" w:rsidRDefault="00B72EEC" w:rsidP="00150418">
            <w:pPr>
              <w:jc w:val="both"/>
              <w:rPr>
                <w:rFonts w:ascii="Arial" w:hAnsi="Arial" w:cs="Arial"/>
                <w:sz w:val="20"/>
                <w:szCs w:val="20"/>
              </w:rPr>
            </w:pPr>
            <w:r w:rsidRPr="004F7BEA">
              <w:rPr>
                <w:rFonts w:ascii="Arial" w:hAnsi="Arial" w:cs="Arial"/>
                <w:sz w:val="20"/>
                <w:szCs w:val="20"/>
              </w:rPr>
              <w:t>More detailed report under preparation</w:t>
            </w:r>
          </w:p>
        </w:tc>
      </w:tr>
      <w:tr w:rsidR="00E3104F" w:rsidRPr="004F7BEA" w:rsidTr="00E3104F">
        <w:tc>
          <w:tcPr>
            <w:tcW w:w="828" w:type="dxa"/>
          </w:tcPr>
          <w:p w:rsidR="00606866" w:rsidRPr="004F7BEA" w:rsidRDefault="00606866" w:rsidP="00150418">
            <w:pPr>
              <w:jc w:val="both"/>
              <w:rPr>
                <w:rFonts w:ascii="Arial" w:hAnsi="Arial" w:cs="Arial"/>
                <w:sz w:val="20"/>
                <w:szCs w:val="20"/>
              </w:rPr>
            </w:pPr>
            <w:r w:rsidRPr="004F7BEA">
              <w:rPr>
                <w:rFonts w:ascii="Arial" w:hAnsi="Arial" w:cs="Arial"/>
                <w:sz w:val="20"/>
                <w:szCs w:val="20"/>
              </w:rPr>
              <w:t>DNM</w:t>
            </w:r>
          </w:p>
        </w:tc>
        <w:tc>
          <w:tcPr>
            <w:tcW w:w="3780" w:type="dxa"/>
          </w:tcPr>
          <w:p w:rsidR="00606866" w:rsidRPr="004F7BEA" w:rsidRDefault="00C41BCD" w:rsidP="00150418">
            <w:pPr>
              <w:jc w:val="both"/>
              <w:rPr>
                <w:rFonts w:ascii="Arial" w:hAnsi="Arial" w:cs="Arial"/>
                <w:sz w:val="20"/>
                <w:szCs w:val="20"/>
              </w:rPr>
            </w:pPr>
            <w:r w:rsidRPr="004F7BEA">
              <w:rPr>
                <w:rFonts w:ascii="Arial" w:hAnsi="Arial" w:cs="Arial"/>
                <w:sz w:val="20"/>
                <w:szCs w:val="20"/>
              </w:rPr>
              <w:t>1 out of 5 candidate stations may meet the criteria</w:t>
            </w:r>
          </w:p>
        </w:tc>
        <w:tc>
          <w:tcPr>
            <w:tcW w:w="4634" w:type="dxa"/>
          </w:tcPr>
          <w:p w:rsidR="00606866" w:rsidRPr="004F7BEA" w:rsidRDefault="00606866" w:rsidP="00150418">
            <w:pPr>
              <w:jc w:val="both"/>
              <w:rPr>
                <w:rFonts w:ascii="Arial" w:hAnsi="Arial" w:cs="Arial"/>
                <w:sz w:val="20"/>
                <w:szCs w:val="20"/>
              </w:rPr>
            </w:pPr>
          </w:p>
        </w:tc>
      </w:tr>
      <w:tr w:rsidR="00E3104F" w:rsidRPr="004F7BEA" w:rsidTr="00E3104F">
        <w:tc>
          <w:tcPr>
            <w:tcW w:w="828" w:type="dxa"/>
          </w:tcPr>
          <w:p w:rsidR="00606866" w:rsidRPr="004F7BEA" w:rsidRDefault="00606866" w:rsidP="00150418">
            <w:pPr>
              <w:jc w:val="both"/>
              <w:rPr>
                <w:rFonts w:ascii="Arial" w:hAnsi="Arial" w:cs="Arial"/>
                <w:sz w:val="20"/>
                <w:szCs w:val="20"/>
              </w:rPr>
            </w:pPr>
            <w:r w:rsidRPr="004F7BEA">
              <w:rPr>
                <w:rFonts w:ascii="Arial" w:hAnsi="Arial" w:cs="Arial"/>
                <w:sz w:val="20"/>
                <w:szCs w:val="20"/>
              </w:rPr>
              <w:t>HKO</w:t>
            </w:r>
          </w:p>
        </w:tc>
        <w:tc>
          <w:tcPr>
            <w:tcW w:w="3780" w:type="dxa"/>
          </w:tcPr>
          <w:p w:rsidR="00606866" w:rsidRPr="004F7BEA" w:rsidRDefault="00B72EEC" w:rsidP="00150418">
            <w:pPr>
              <w:jc w:val="both"/>
              <w:rPr>
                <w:rFonts w:ascii="Arial" w:hAnsi="Arial" w:cs="Arial"/>
                <w:sz w:val="20"/>
                <w:szCs w:val="20"/>
              </w:rPr>
            </w:pPr>
            <w:r w:rsidRPr="004F7BEA">
              <w:rPr>
                <w:rFonts w:ascii="Arial" w:hAnsi="Arial" w:cs="Arial"/>
                <w:sz w:val="20"/>
                <w:szCs w:val="20"/>
              </w:rPr>
              <w:t>HKO Headquarters station to pass the draft criteria</w:t>
            </w:r>
          </w:p>
        </w:tc>
        <w:tc>
          <w:tcPr>
            <w:tcW w:w="4634" w:type="dxa"/>
          </w:tcPr>
          <w:p w:rsidR="00606866" w:rsidRPr="004F7BEA" w:rsidRDefault="00606866" w:rsidP="00150418">
            <w:pPr>
              <w:jc w:val="both"/>
              <w:rPr>
                <w:rFonts w:ascii="Arial" w:hAnsi="Arial" w:cs="Arial"/>
                <w:sz w:val="20"/>
                <w:szCs w:val="20"/>
              </w:rPr>
            </w:pPr>
          </w:p>
        </w:tc>
      </w:tr>
      <w:tr w:rsidR="00E3104F" w:rsidRPr="004F7BEA" w:rsidTr="00E3104F">
        <w:tc>
          <w:tcPr>
            <w:tcW w:w="828" w:type="dxa"/>
          </w:tcPr>
          <w:p w:rsidR="00606866" w:rsidRPr="004F7BEA" w:rsidRDefault="00606866" w:rsidP="00150418">
            <w:pPr>
              <w:jc w:val="both"/>
              <w:rPr>
                <w:rFonts w:ascii="Arial" w:hAnsi="Arial" w:cs="Arial"/>
                <w:sz w:val="20"/>
                <w:szCs w:val="20"/>
              </w:rPr>
            </w:pPr>
            <w:r w:rsidRPr="004F7BEA">
              <w:rPr>
                <w:rFonts w:ascii="Arial" w:hAnsi="Arial" w:cs="Arial"/>
                <w:sz w:val="20"/>
                <w:szCs w:val="20"/>
              </w:rPr>
              <w:t>MF</w:t>
            </w:r>
          </w:p>
        </w:tc>
        <w:tc>
          <w:tcPr>
            <w:tcW w:w="3780" w:type="dxa"/>
          </w:tcPr>
          <w:p w:rsidR="00606866" w:rsidRPr="004F7BEA" w:rsidRDefault="00DA3DCD" w:rsidP="00150418">
            <w:pPr>
              <w:jc w:val="both"/>
              <w:rPr>
                <w:rFonts w:ascii="Arial" w:hAnsi="Arial" w:cs="Arial"/>
                <w:sz w:val="20"/>
                <w:szCs w:val="20"/>
              </w:rPr>
            </w:pPr>
            <w:r w:rsidRPr="004F7BEA">
              <w:rPr>
                <w:rFonts w:ascii="Arial" w:hAnsi="Arial" w:cs="Arial"/>
                <w:sz w:val="20"/>
                <w:szCs w:val="20"/>
              </w:rPr>
              <w:t>136 out of 380 candidate stations for precipitation to fulfil the criteria</w:t>
            </w:r>
          </w:p>
        </w:tc>
        <w:tc>
          <w:tcPr>
            <w:tcW w:w="4634" w:type="dxa"/>
          </w:tcPr>
          <w:p w:rsidR="00606866" w:rsidRPr="004F7BEA" w:rsidRDefault="00DA3DCD" w:rsidP="00972FB3">
            <w:pPr>
              <w:jc w:val="both"/>
              <w:rPr>
                <w:rFonts w:ascii="Arial" w:hAnsi="Arial" w:cs="Arial"/>
                <w:sz w:val="20"/>
                <w:szCs w:val="20"/>
              </w:rPr>
            </w:pPr>
            <w:r w:rsidRPr="004F7BEA">
              <w:rPr>
                <w:rFonts w:ascii="Arial" w:hAnsi="Arial" w:cs="Arial"/>
                <w:sz w:val="20"/>
                <w:szCs w:val="20"/>
              </w:rPr>
              <w:t>Sufficient metadata might not always be available; Very time-consuming to fill in the template for each station (</w:t>
            </w:r>
            <w:r w:rsidR="00E3104F">
              <w:rPr>
                <w:rFonts w:ascii="Arial" w:hAnsi="Arial" w:cs="Arial"/>
                <w:sz w:val="20"/>
                <w:szCs w:val="20"/>
              </w:rPr>
              <w:t xml:space="preserve">-&gt; </w:t>
            </w:r>
            <w:r w:rsidRPr="004F7BEA">
              <w:rPr>
                <w:rFonts w:ascii="Arial" w:hAnsi="Arial" w:cs="Arial"/>
                <w:sz w:val="20"/>
                <w:szCs w:val="20"/>
              </w:rPr>
              <w:t xml:space="preserve">countries with a large number of </w:t>
            </w:r>
            <w:r w:rsidR="00972FB3">
              <w:rPr>
                <w:rFonts w:ascii="Arial" w:hAnsi="Arial" w:cs="Arial"/>
                <w:sz w:val="20"/>
                <w:szCs w:val="20"/>
              </w:rPr>
              <w:t xml:space="preserve">centennial </w:t>
            </w:r>
            <w:r w:rsidRPr="004F7BEA">
              <w:rPr>
                <w:rFonts w:ascii="Arial" w:hAnsi="Arial" w:cs="Arial"/>
                <w:sz w:val="20"/>
                <w:szCs w:val="20"/>
              </w:rPr>
              <w:t>stations); MF might not be able to maintain</w:t>
            </w:r>
            <w:r w:rsidR="00B77791" w:rsidRPr="004F7BEA">
              <w:rPr>
                <w:rFonts w:ascii="Arial" w:hAnsi="Arial" w:cs="Arial"/>
                <w:sz w:val="20"/>
                <w:szCs w:val="20"/>
              </w:rPr>
              <w:t xml:space="preserve"> stations</w:t>
            </w:r>
            <w:r w:rsidRPr="004F7BEA">
              <w:rPr>
                <w:rFonts w:ascii="Arial" w:hAnsi="Arial" w:cs="Arial"/>
                <w:sz w:val="20"/>
                <w:szCs w:val="20"/>
              </w:rPr>
              <w:t xml:space="preserve"> according to WMO standards</w:t>
            </w:r>
            <w:r w:rsidR="00B77791" w:rsidRPr="004F7BEA">
              <w:rPr>
                <w:rFonts w:ascii="Arial" w:hAnsi="Arial" w:cs="Arial"/>
                <w:sz w:val="20"/>
                <w:szCs w:val="20"/>
              </w:rPr>
              <w:t>, which are not owned or operated by MF</w:t>
            </w:r>
            <w:r w:rsidRPr="004F7BEA">
              <w:rPr>
                <w:rFonts w:ascii="Arial" w:hAnsi="Arial" w:cs="Arial"/>
                <w:sz w:val="20"/>
                <w:szCs w:val="20"/>
              </w:rPr>
              <w:t xml:space="preserve">.  </w:t>
            </w:r>
          </w:p>
        </w:tc>
      </w:tr>
      <w:tr w:rsidR="00E3104F" w:rsidRPr="004F7BEA" w:rsidTr="00E3104F">
        <w:tc>
          <w:tcPr>
            <w:tcW w:w="828" w:type="dxa"/>
          </w:tcPr>
          <w:p w:rsidR="00606866" w:rsidRPr="004F7BEA" w:rsidRDefault="00606866" w:rsidP="00150418">
            <w:pPr>
              <w:jc w:val="both"/>
              <w:rPr>
                <w:rFonts w:ascii="Arial" w:hAnsi="Arial" w:cs="Arial"/>
                <w:sz w:val="20"/>
                <w:szCs w:val="20"/>
              </w:rPr>
            </w:pPr>
            <w:r w:rsidRPr="004F7BEA">
              <w:rPr>
                <w:rFonts w:ascii="Arial" w:hAnsi="Arial" w:cs="Arial"/>
                <w:sz w:val="20"/>
                <w:szCs w:val="20"/>
              </w:rPr>
              <w:t>NWS</w:t>
            </w:r>
          </w:p>
        </w:tc>
        <w:tc>
          <w:tcPr>
            <w:tcW w:w="3780" w:type="dxa"/>
          </w:tcPr>
          <w:p w:rsidR="00606866" w:rsidRPr="004F7BEA" w:rsidRDefault="00E3104F" w:rsidP="00150418">
            <w:pPr>
              <w:jc w:val="both"/>
              <w:rPr>
                <w:rFonts w:ascii="Arial" w:hAnsi="Arial" w:cs="Arial"/>
                <w:sz w:val="20"/>
                <w:szCs w:val="20"/>
              </w:rPr>
            </w:pPr>
            <w:r>
              <w:rPr>
                <w:rFonts w:ascii="Arial" w:hAnsi="Arial" w:cs="Arial"/>
                <w:sz w:val="20"/>
                <w:szCs w:val="20"/>
              </w:rPr>
              <w:t>Positive feedback; criteria performed well</w:t>
            </w:r>
          </w:p>
        </w:tc>
        <w:tc>
          <w:tcPr>
            <w:tcW w:w="4634" w:type="dxa"/>
          </w:tcPr>
          <w:p w:rsidR="00606866" w:rsidRPr="004F7BEA" w:rsidRDefault="00B72EEC" w:rsidP="00150418">
            <w:pPr>
              <w:jc w:val="both"/>
              <w:rPr>
                <w:rFonts w:ascii="Arial" w:hAnsi="Arial" w:cs="Arial"/>
                <w:sz w:val="20"/>
                <w:szCs w:val="20"/>
              </w:rPr>
            </w:pPr>
            <w:r w:rsidRPr="004F7BEA">
              <w:rPr>
                <w:rFonts w:ascii="Arial" w:hAnsi="Arial" w:cs="Arial"/>
                <w:sz w:val="20"/>
                <w:szCs w:val="20"/>
              </w:rPr>
              <w:t xml:space="preserve">Difficulty to examine each potential candidate, as this is very time-consuming for countries </w:t>
            </w:r>
            <w:r w:rsidR="00972FB3">
              <w:rPr>
                <w:rFonts w:ascii="Arial" w:hAnsi="Arial" w:cs="Arial"/>
                <w:sz w:val="20"/>
                <w:szCs w:val="20"/>
              </w:rPr>
              <w:t>with a large number of centennial</w:t>
            </w:r>
            <w:r w:rsidRPr="004F7BEA">
              <w:rPr>
                <w:rFonts w:ascii="Arial" w:hAnsi="Arial" w:cs="Arial"/>
                <w:sz w:val="20"/>
                <w:szCs w:val="20"/>
              </w:rPr>
              <w:t xml:space="preserve"> stations</w:t>
            </w:r>
          </w:p>
        </w:tc>
      </w:tr>
      <w:tr w:rsidR="00E3104F" w:rsidRPr="004F7BEA" w:rsidTr="00E3104F">
        <w:tc>
          <w:tcPr>
            <w:tcW w:w="828" w:type="dxa"/>
          </w:tcPr>
          <w:p w:rsidR="00606866" w:rsidRPr="004F7BEA" w:rsidRDefault="00606866" w:rsidP="00150418">
            <w:pPr>
              <w:jc w:val="both"/>
              <w:rPr>
                <w:rFonts w:ascii="Arial" w:hAnsi="Arial" w:cs="Arial"/>
                <w:sz w:val="20"/>
                <w:szCs w:val="20"/>
              </w:rPr>
            </w:pPr>
            <w:r w:rsidRPr="004F7BEA">
              <w:rPr>
                <w:rFonts w:ascii="Arial" w:hAnsi="Arial" w:cs="Arial"/>
                <w:sz w:val="20"/>
                <w:szCs w:val="20"/>
              </w:rPr>
              <w:t>ZAMG</w:t>
            </w:r>
          </w:p>
        </w:tc>
        <w:tc>
          <w:tcPr>
            <w:tcW w:w="3780" w:type="dxa"/>
          </w:tcPr>
          <w:p w:rsidR="00606866" w:rsidRPr="004F7BEA" w:rsidRDefault="00E3104F" w:rsidP="00E3104F">
            <w:pPr>
              <w:jc w:val="both"/>
              <w:rPr>
                <w:rFonts w:ascii="Arial" w:hAnsi="Arial" w:cs="Arial"/>
                <w:sz w:val="20"/>
                <w:szCs w:val="20"/>
              </w:rPr>
            </w:pPr>
            <w:r>
              <w:rPr>
                <w:rFonts w:ascii="Arial" w:hAnsi="Arial" w:cs="Arial"/>
                <w:sz w:val="20"/>
                <w:szCs w:val="20"/>
              </w:rPr>
              <w:t>Positive feedback; c</w:t>
            </w:r>
            <w:r w:rsidR="000636BC">
              <w:rPr>
                <w:rFonts w:ascii="Arial" w:hAnsi="Arial" w:cs="Arial"/>
                <w:sz w:val="20"/>
                <w:szCs w:val="20"/>
              </w:rPr>
              <w:t>riteria perf</w:t>
            </w:r>
            <w:r>
              <w:rPr>
                <w:rFonts w:ascii="Arial" w:hAnsi="Arial" w:cs="Arial"/>
                <w:sz w:val="20"/>
                <w:szCs w:val="20"/>
              </w:rPr>
              <w:t>ormed well</w:t>
            </w:r>
          </w:p>
        </w:tc>
        <w:tc>
          <w:tcPr>
            <w:tcW w:w="4634" w:type="dxa"/>
          </w:tcPr>
          <w:p w:rsidR="00606866" w:rsidRPr="004F7BEA" w:rsidRDefault="00DA3DCD" w:rsidP="00DA3DCD">
            <w:pPr>
              <w:jc w:val="both"/>
              <w:rPr>
                <w:rFonts w:ascii="Arial" w:hAnsi="Arial" w:cs="Arial"/>
                <w:sz w:val="20"/>
                <w:szCs w:val="20"/>
              </w:rPr>
            </w:pPr>
            <w:r w:rsidRPr="004F7BEA">
              <w:rPr>
                <w:rFonts w:ascii="Arial" w:hAnsi="Arial" w:cs="Arial"/>
                <w:sz w:val="20"/>
                <w:szCs w:val="20"/>
              </w:rPr>
              <w:t>Sufficient m</w:t>
            </w:r>
            <w:r w:rsidR="00B72EEC" w:rsidRPr="004F7BEA">
              <w:rPr>
                <w:rFonts w:ascii="Arial" w:hAnsi="Arial" w:cs="Arial"/>
                <w:sz w:val="20"/>
                <w:szCs w:val="20"/>
              </w:rPr>
              <w:t>etadata might not always be available</w:t>
            </w:r>
          </w:p>
        </w:tc>
      </w:tr>
    </w:tbl>
    <w:p w:rsidR="002C04B9" w:rsidRDefault="002C04B9" w:rsidP="00150418">
      <w:pPr>
        <w:jc w:val="both"/>
        <w:rPr>
          <w:rFonts w:ascii="Arial" w:hAnsi="Arial" w:cs="Arial"/>
        </w:rPr>
      </w:pPr>
    </w:p>
    <w:p w:rsidR="00150418" w:rsidRPr="005C3294" w:rsidRDefault="002C04B9" w:rsidP="00150418">
      <w:pPr>
        <w:jc w:val="both"/>
        <w:rPr>
          <w:rFonts w:ascii="Arial" w:hAnsi="Arial" w:cs="Arial"/>
          <w:b/>
          <w:u w:val="single"/>
        </w:rPr>
      </w:pPr>
      <w:r w:rsidRPr="005C3294">
        <w:rPr>
          <w:rFonts w:ascii="Arial" w:hAnsi="Arial" w:cs="Arial"/>
          <w:b/>
          <w:u w:val="single"/>
        </w:rPr>
        <w:t>Additional feedback</w:t>
      </w:r>
      <w:r w:rsidR="00606866" w:rsidRPr="005C3294">
        <w:rPr>
          <w:rFonts w:ascii="Arial" w:hAnsi="Arial" w:cs="Arial"/>
          <w:b/>
          <w:u w:val="single"/>
        </w:rPr>
        <w:t xml:space="preserve"> </w:t>
      </w:r>
    </w:p>
    <w:p w:rsidR="002C04B9" w:rsidRPr="002C04B9" w:rsidRDefault="00220196" w:rsidP="000636BC">
      <w:pPr>
        <w:shd w:val="clear" w:color="auto" w:fill="FFFFFF"/>
        <w:spacing w:after="0" w:line="240" w:lineRule="auto"/>
        <w:jc w:val="both"/>
        <w:rPr>
          <w:rFonts w:ascii="Arial" w:eastAsia="Times New Roman" w:hAnsi="Arial" w:cs="Arial"/>
          <w:iCs/>
          <w:color w:val="222222"/>
        </w:rPr>
      </w:pPr>
      <w:r w:rsidRPr="002C04B9">
        <w:rPr>
          <w:rFonts w:ascii="Arial" w:eastAsia="Times New Roman" w:hAnsi="Arial" w:cs="Arial"/>
          <w:iCs/>
          <w:color w:val="222222"/>
        </w:rPr>
        <w:t xml:space="preserve">During a side meeting, Members at </w:t>
      </w:r>
      <w:proofErr w:type="spellStart"/>
      <w:r w:rsidRPr="002C04B9">
        <w:rPr>
          <w:rFonts w:ascii="Arial" w:eastAsia="Times New Roman" w:hAnsi="Arial" w:cs="Arial"/>
          <w:iCs/>
          <w:color w:val="222222"/>
        </w:rPr>
        <w:t>CCl</w:t>
      </w:r>
      <w:proofErr w:type="spellEnd"/>
      <w:r w:rsidRPr="002C04B9">
        <w:rPr>
          <w:rFonts w:ascii="Arial" w:eastAsia="Times New Roman" w:hAnsi="Arial" w:cs="Arial"/>
          <w:iCs/>
          <w:color w:val="222222"/>
        </w:rPr>
        <w:t>-XVI requested</w:t>
      </w:r>
      <w:r w:rsidR="002C04B9">
        <w:rPr>
          <w:rFonts w:ascii="Arial" w:eastAsia="Times New Roman" w:hAnsi="Arial" w:cs="Arial"/>
          <w:iCs/>
          <w:color w:val="222222"/>
        </w:rPr>
        <w:t>:</w:t>
      </w:r>
      <w:r w:rsidRPr="002C04B9">
        <w:rPr>
          <w:rFonts w:ascii="Arial" w:eastAsia="Times New Roman" w:hAnsi="Arial" w:cs="Arial"/>
          <w:iCs/>
          <w:color w:val="222222"/>
        </w:rPr>
        <w:t xml:space="preserve"> </w:t>
      </w:r>
    </w:p>
    <w:p w:rsidR="002C04B9" w:rsidRPr="002C04B9" w:rsidRDefault="002C04B9" w:rsidP="000636BC">
      <w:pPr>
        <w:shd w:val="clear" w:color="auto" w:fill="FFFFFF"/>
        <w:spacing w:after="0" w:line="240" w:lineRule="auto"/>
        <w:jc w:val="both"/>
        <w:rPr>
          <w:rFonts w:ascii="Arial" w:eastAsia="Times New Roman" w:hAnsi="Arial" w:cs="Arial"/>
          <w:iCs/>
          <w:color w:val="222222"/>
        </w:rPr>
      </w:pPr>
    </w:p>
    <w:p w:rsidR="002C04B9" w:rsidRPr="002C04B9" w:rsidRDefault="00220196" w:rsidP="002C04B9">
      <w:pPr>
        <w:pStyle w:val="ListParagraph"/>
        <w:numPr>
          <w:ilvl w:val="0"/>
          <w:numId w:val="1"/>
        </w:numPr>
        <w:shd w:val="clear" w:color="auto" w:fill="FFFFFF"/>
        <w:spacing w:after="0" w:line="240" w:lineRule="auto"/>
        <w:jc w:val="both"/>
        <w:rPr>
          <w:rFonts w:ascii="Arial" w:eastAsia="Times New Roman" w:hAnsi="Arial" w:cs="Arial"/>
          <w:iCs/>
          <w:color w:val="222222"/>
        </w:rPr>
      </w:pPr>
      <w:r w:rsidRPr="002C04B9">
        <w:rPr>
          <w:rFonts w:ascii="Arial" w:eastAsia="Times New Roman" w:hAnsi="Arial" w:cs="Arial"/>
          <w:iCs/>
          <w:color w:val="222222"/>
        </w:rPr>
        <w:t xml:space="preserve">to also consider long-term observing stations, which do not yet have a centennial record, in order to encourage continuation of respective observations ('candidate station'); </w:t>
      </w:r>
    </w:p>
    <w:p w:rsidR="002C04B9" w:rsidRPr="002C04B9" w:rsidRDefault="00220196" w:rsidP="002C04B9">
      <w:pPr>
        <w:pStyle w:val="ListParagraph"/>
        <w:numPr>
          <w:ilvl w:val="0"/>
          <w:numId w:val="1"/>
        </w:numPr>
        <w:shd w:val="clear" w:color="auto" w:fill="FFFFFF"/>
        <w:spacing w:after="0" w:line="240" w:lineRule="auto"/>
        <w:jc w:val="both"/>
        <w:rPr>
          <w:rFonts w:ascii="Arial" w:eastAsia="Times New Roman" w:hAnsi="Arial" w:cs="Arial"/>
          <w:color w:val="222222"/>
        </w:rPr>
      </w:pPr>
      <w:r w:rsidRPr="002C04B9">
        <w:rPr>
          <w:rFonts w:ascii="Arial" w:eastAsia="Times New Roman" w:hAnsi="Arial" w:cs="Arial"/>
          <w:iCs/>
          <w:color w:val="222222"/>
        </w:rPr>
        <w:t xml:space="preserve">further specification of some of the proposed criteria (e.g. 'station relocation'); and </w:t>
      </w:r>
    </w:p>
    <w:p w:rsidR="00220196" w:rsidRPr="002C04B9" w:rsidRDefault="00220196" w:rsidP="002C04B9">
      <w:pPr>
        <w:pStyle w:val="ListParagraph"/>
        <w:numPr>
          <w:ilvl w:val="0"/>
          <w:numId w:val="1"/>
        </w:numPr>
        <w:shd w:val="clear" w:color="auto" w:fill="FFFFFF"/>
        <w:spacing w:after="0" w:line="240" w:lineRule="auto"/>
        <w:jc w:val="both"/>
        <w:rPr>
          <w:rFonts w:ascii="Arial" w:eastAsia="Times New Roman" w:hAnsi="Arial" w:cs="Arial"/>
          <w:color w:val="222222"/>
        </w:rPr>
      </w:pPr>
      <w:proofErr w:type="gramStart"/>
      <w:r w:rsidRPr="002C04B9">
        <w:rPr>
          <w:rFonts w:ascii="Arial" w:eastAsia="Times New Roman" w:hAnsi="Arial" w:cs="Arial"/>
          <w:iCs/>
          <w:color w:val="222222"/>
        </w:rPr>
        <w:t>consideration</w:t>
      </w:r>
      <w:proofErr w:type="gramEnd"/>
      <w:r w:rsidRPr="002C04B9">
        <w:rPr>
          <w:rFonts w:ascii="Arial" w:eastAsia="Times New Roman" w:hAnsi="Arial" w:cs="Arial"/>
          <w:iCs/>
          <w:color w:val="222222"/>
        </w:rPr>
        <w:t xml:space="preserve"> of introducing different categories/lists of recognised centennial stations to better reflect the site and data characteristics of the stations, such as existence or non-existence of data gaps, relocations, urbanisation effects etc.</w:t>
      </w:r>
    </w:p>
    <w:p w:rsidR="00220196" w:rsidRPr="002C04B9" w:rsidRDefault="00220196" w:rsidP="000636BC">
      <w:pPr>
        <w:shd w:val="clear" w:color="auto" w:fill="FFFFFF"/>
        <w:spacing w:after="0" w:line="240" w:lineRule="auto"/>
        <w:jc w:val="both"/>
        <w:rPr>
          <w:rFonts w:ascii="Arial" w:eastAsia="Times New Roman" w:hAnsi="Arial" w:cs="Arial"/>
          <w:color w:val="222222"/>
        </w:rPr>
      </w:pPr>
    </w:p>
    <w:p w:rsidR="00220196" w:rsidRPr="002C04B9" w:rsidRDefault="00220196" w:rsidP="000636BC">
      <w:pPr>
        <w:shd w:val="clear" w:color="auto" w:fill="FFFFFF"/>
        <w:spacing w:after="0" w:line="240" w:lineRule="auto"/>
        <w:jc w:val="both"/>
        <w:rPr>
          <w:rFonts w:ascii="Arial" w:eastAsia="Times New Roman" w:hAnsi="Arial" w:cs="Arial"/>
          <w:color w:val="222222"/>
        </w:rPr>
      </w:pPr>
      <w:r w:rsidRPr="002C04B9">
        <w:rPr>
          <w:rFonts w:ascii="Arial" w:eastAsia="Times New Roman" w:hAnsi="Arial" w:cs="Arial"/>
          <w:iCs/>
          <w:color w:val="222222"/>
        </w:rPr>
        <w:t>During a Panel discussion, Members at CIMO/TECO expressed concerns over who will provide the overall management of the process, the cost, the complexity and also the benefit.</w:t>
      </w:r>
    </w:p>
    <w:p w:rsidR="00220196" w:rsidRDefault="00220196" w:rsidP="00B76A7F">
      <w:pPr>
        <w:rPr>
          <w:rFonts w:ascii="Arial" w:hAnsi="Arial" w:cs="Arial"/>
        </w:rPr>
      </w:pPr>
    </w:p>
    <w:p w:rsidR="006D0DC3" w:rsidRPr="004F7BEA" w:rsidRDefault="006D0DC3" w:rsidP="00B76A7F">
      <w:pPr>
        <w:rPr>
          <w:rFonts w:ascii="Arial" w:hAnsi="Arial" w:cs="Arial"/>
        </w:rPr>
      </w:pPr>
    </w:p>
    <w:p w:rsidR="002C04B9" w:rsidRDefault="002C04B9" w:rsidP="00BE779F">
      <w:pPr>
        <w:jc w:val="both"/>
        <w:rPr>
          <w:rFonts w:ascii="Arial" w:hAnsi="Arial" w:cs="Arial"/>
          <w:b/>
          <w:u w:val="single"/>
        </w:rPr>
      </w:pPr>
      <w:r>
        <w:rPr>
          <w:rFonts w:ascii="Arial" w:hAnsi="Arial" w:cs="Arial"/>
          <w:b/>
          <w:u w:val="single"/>
        </w:rPr>
        <w:lastRenderedPageBreak/>
        <w:t>Discussion</w:t>
      </w:r>
    </w:p>
    <w:p w:rsidR="00BE779F" w:rsidRDefault="007B0232" w:rsidP="00BE779F">
      <w:pPr>
        <w:jc w:val="both"/>
        <w:rPr>
          <w:rFonts w:ascii="Arial" w:hAnsi="Arial" w:cs="Arial"/>
        </w:rPr>
      </w:pPr>
      <w:r w:rsidRPr="007B0232">
        <w:rPr>
          <w:rFonts w:ascii="Arial" w:hAnsi="Arial" w:cs="Arial"/>
        </w:rPr>
        <w:t>The test case</w:t>
      </w:r>
      <w:r>
        <w:rPr>
          <w:rFonts w:ascii="Arial" w:hAnsi="Arial" w:cs="Arial"/>
        </w:rPr>
        <w:t>s indicate the appropriateness of the draft recognition criteria</w:t>
      </w:r>
      <w:r w:rsidR="00BE779F">
        <w:rPr>
          <w:rFonts w:ascii="Arial" w:hAnsi="Arial" w:cs="Arial"/>
        </w:rPr>
        <w:t xml:space="preserve"> as well as of the proposed template</w:t>
      </w:r>
      <w:r>
        <w:rPr>
          <w:rFonts w:ascii="Arial" w:hAnsi="Arial" w:cs="Arial"/>
        </w:rPr>
        <w:t xml:space="preserve">. The resource implications for Member countries with a rather large number of potential </w:t>
      </w:r>
      <w:r w:rsidR="00BE779F">
        <w:rPr>
          <w:rFonts w:ascii="Arial" w:hAnsi="Arial" w:cs="Arial"/>
        </w:rPr>
        <w:t>cente</w:t>
      </w:r>
      <w:r w:rsidR="007829EA">
        <w:rPr>
          <w:rFonts w:ascii="Arial" w:hAnsi="Arial" w:cs="Arial"/>
        </w:rPr>
        <w:t>nnial stations are acknowledged</w:t>
      </w:r>
      <w:r w:rsidR="004D0731">
        <w:rPr>
          <w:rFonts w:ascii="Arial" w:hAnsi="Arial" w:cs="Arial"/>
        </w:rPr>
        <w:t xml:space="preserve"> (it may be </w:t>
      </w:r>
      <w:r w:rsidR="007829EA">
        <w:rPr>
          <w:rFonts w:ascii="Arial" w:hAnsi="Arial" w:cs="Arial"/>
        </w:rPr>
        <w:t xml:space="preserve">suggested to </w:t>
      </w:r>
      <w:r w:rsidR="004D0731">
        <w:rPr>
          <w:rFonts w:ascii="Arial" w:hAnsi="Arial" w:cs="Arial"/>
        </w:rPr>
        <w:t xml:space="preserve">prioritise the work by </w:t>
      </w:r>
      <w:r w:rsidR="007829EA">
        <w:rPr>
          <w:rFonts w:ascii="Arial" w:hAnsi="Arial" w:cs="Arial"/>
        </w:rPr>
        <w:t>start</w:t>
      </w:r>
      <w:r w:rsidR="004D0731">
        <w:rPr>
          <w:rFonts w:ascii="Arial" w:hAnsi="Arial" w:cs="Arial"/>
        </w:rPr>
        <w:t>ing</w:t>
      </w:r>
      <w:r w:rsidR="007829EA">
        <w:rPr>
          <w:rFonts w:ascii="Arial" w:hAnsi="Arial" w:cs="Arial"/>
        </w:rPr>
        <w:t xml:space="preserve"> with stations</w:t>
      </w:r>
      <w:r w:rsidR="00BE779F">
        <w:rPr>
          <w:rFonts w:ascii="Arial" w:hAnsi="Arial" w:cs="Arial"/>
        </w:rPr>
        <w:t xml:space="preserve"> </w:t>
      </w:r>
      <w:r w:rsidR="007829EA">
        <w:rPr>
          <w:rFonts w:ascii="Arial" w:hAnsi="Arial" w:cs="Arial"/>
        </w:rPr>
        <w:t xml:space="preserve">with the longest </w:t>
      </w:r>
      <w:r w:rsidR="004D0731">
        <w:rPr>
          <w:rFonts w:ascii="Arial" w:hAnsi="Arial" w:cs="Arial"/>
        </w:rPr>
        <w:t xml:space="preserve">and/or most important </w:t>
      </w:r>
      <w:r w:rsidR="007829EA">
        <w:rPr>
          <w:rFonts w:ascii="Arial" w:hAnsi="Arial" w:cs="Arial"/>
        </w:rPr>
        <w:t>records</w:t>
      </w:r>
      <w:r w:rsidR="004D0731">
        <w:rPr>
          <w:rFonts w:ascii="Arial" w:hAnsi="Arial" w:cs="Arial"/>
        </w:rPr>
        <w:t xml:space="preserve">). </w:t>
      </w:r>
      <w:r w:rsidR="00BE779F">
        <w:rPr>
          <w:rFonts w:ascii="Arial" w:hAnsi="Arial" w:cs="Arial"/>
        </w:rPr>
        <w:t>It is, however, hoped that the process of identifying WMO Centennial Observing Stations (</w:t>
      </w:r>
      <w:r w:rsidR="00CA6721">
        <w:rPr>
          <w:rFonts w:ascii="Arial" w:hAnsi="Arial" w:cs="Arial"/>
        </w:rPr>
        <w:t>as stations meeting the recognition criteria will be known</w:t>
      </w:r>
      <w:r w:rsidR="00BE779F">
        <w:rPr>
          <w:rFonts w:ascii="Arial" w:hAnsi="Arial" w:cs="Arial"/>
        </w:rPr>
        <w:t xml:space="preserve">) provides valuable information to the respective NMHSs themselves. The majority of Members </w:t>
      </w:r>
      <w:r w:rsidR="00CA6721">
        <w:rPr>
          <w:rFonts w:ascii="Arial" w:hAnsi="Arial" w:cs="Arial"/>
        </w:rPr>
        <w:t>are</w:t>
      </w:r>
      <w:r w:rsidR="00BE779F">
        <w:rPr>
          <w:rFonts w:ascii="Arial" w:hAnsi="Arial" w:cs="Arial"/>
        </w:rPr>
        <w:t xml:space="preserve"> expected to have a rather small number of potential WMO centennial stations.</w:t>
      </w:r>
    </w:p>
    <w:p w:rsidR="00645A01" w:rsidRPr="00E5680E" w:rsidRDefault="00BE779F" w:rsidP="00BE779F">
      <w:pPr>
        <w:jc w:val="both"/>
        <w:rPr>
          <w:rFonts w:ascii="Arial" w:hAnsi="Arial" w:cs="Arial"/>
          <w:i/>
        </w:rPr>
      </w:pPr>
      <w:r>
        <w:rPr>
          <w:rFonts w:ascii="Arial" w:hAnsi="Arial" w:cs="Arial"/>
        </w:rPr>
        <w:t xml:space="preserve">For observing stations not owned and/or run by a NMHS it is considered to be </w:t>
      </w:r>
      <w:r w:rsidR="00645A01">
        <w:rPr>
          <w:rFonts w:ascii="Arial" w:hAnsi="Arial" w:cs="Arial"/>
        </w:rPr>
        <w:t>a motivation to operate the station in accordance to WMO standards in order to keep the WMO recognition status. It is understood, however, that there is no way for the NMHS to guarantee such performance.</w:t>
      </w:r>
      <w:r w:rsidR="00CA6721">
        <w:rPr>
          <w:rFonts w:ascii="Arial" w:hAnsi="Arial" w:cs="Arial"/>
        </w:rPr>
        <w:t xml:space="preserve"> </w:t>
      </w:r>
      <w:r w:rsidR="00E5680E">
        <w:rPr>
          <w:rFonts w:ascii="Arial" w:hAnsi="Arial" w:cs="Arial"/>
        </w:rPr>
        <w:t>(</w:t>
      </w:r>
      <w:r w:rsidR="00E5680E" w:rsidRPr="00E5680E">
        <w:rPr>
          <w:rFonts w:ascii="Arial" w:hAnsi="Arial" w:cs="Arial"/>
          <w:i/>
        </w:rPr>
        <w:t xml:space="preserve">Note: </w:t>
      </w:r>
      <w:r w:rsidR="00875508">
        <w:rPr>
          <w:rFonts w:ascii="Arial" w:hAnsi="Arial" w:cs="Arial"/>
          <w:i/>
        </w:rPr>
        <w:t>Consider the outcome of a</w:t>
      </w:r>
      <w:r w:rsidR="00E5680E">
        <w:rPr>
          <w:rFonts w:ascii="Arial" w:hAnsi="Arial" w:cs="Arial"/>
          <w:i/>
        </w:rPr>
        <w:t xml:space="preserve"> current WIGOS initiative </w:t>
      </w:r>
      <w:r w:rsidR="00875508">
        <w:rPr>
          <w:rFonts w:ascii="Arial" w:hAnsi="Arial" w:cs="Arial"/>
          <w:i/>
        </w:rPr>
        <w:t xml:space="preserve">on </w:t>
      </w:r>
      <w:r w:rsidR="00E5680E">
        <w:rPr>
          <w:rFonts w:ascii="Arial" w:hAnsi="Arial" w:cs="Arial"/>
          <w:i/>
        </w:rPr>
        <w:t>non-NMHS stations</w:t>
      </w:r>
      <w:r w:rsidR="000141BB">
        <w:rPr>
          <w:rFonts w:ascii="Arial" w:hAnsi="Arial" w:cs="Arial"/>
          <w:i/>
        </w:rPr>
        <w:t>)</w:t>
      </w:r>
    </w:p>
    <w:p w:rsidR="00FA0F40" w:rsidRDefault="00D028AA" w:rsidP="00BE779F">
      <w:pPr>
        <w:jc w:val="both"/>
        <w:rPr>
          <w:rFonts w:ascii="Arial" w:hAnsi="Arial" w:cs="Arial"/>
        </w:rPr>
      </w:pPr>
      <w:r>
        <w:rPr>
          <w:rFonts w:ascii="Arial" w:hAnsi="Arial" w:cs="Arial"/>
        </w:rPr>
        <w:t>It is believed that the suggest</w:t>
      </w:r>
      <w:r w:rsidR="00645A01">
        <w:rPr>
          <w:rFonts w:ascii="Arial" w:hAnsi="Arial" w:cs="Arial"/>
        </w:rPr>
        <w:t>ed recognition mechanism as proposed by the</w:t>
      </w:r>
      <w:r w:rsidR="00972FB3">
        <w:rPr>
          <w:rFonts w:ascii="Arial" w:hAnsi="Arial" w:cs="Arial"/>
        </w:rPr>
        <w:t xml:space="preserve"> above mentioned WMO scoping meeting</w:t>
      </w:r>
      <w:r w:rsidR="00645A01">
        <w:rPr>
          <w:rFonts w:ascii="Arial" w:hAnsi="Arial" w:cs="Arial"/>
        </w:rPr>
        <w:t xml:space="preserve"> can be expanded, if Members wish so, to capture the idea of ‘candidate stations’, respectively long-term observing stations with observational records of </w:t>
      </w:r>
      <w:r w:rsidR="00972FB3">
        <w:rPr>
          <w:rFonts w:ascii="Arial" w:hAnsi="Arial" w:cs="Arial"/>
        </w:rPr>
        <w:t xml:space="preserve">e.g. </w:t>
      </w:r>
      <w:r w:rsidR="00645A01">
        <w:rPr>
          <w:rFonts w:ascii="Arial" w:hAnsi="Arial" w:cs="Arial"/>
        </w:rPr>
        <w:t xml:space="preserve">60 years or more. </w:t>
      </w:r>
      <w:r w:rsidR="00201137">
        <w:rPr>
          <w:rFonts w:ascii="Arial" w:hAnsi="Arial" w:cs="Arial"/>
        </w:rPr>
        <w:t xml:space="preserve">For the moment, however, it is recommended to focus on centennial stations only and consider the concept of ‘candidate stations’ in a </w:t>
      </w:r>
      <w:r w:rsidR="00972FB3">
        <w:rPr>
          <w:rFonts w:ascii="Arial" w:hAnsi="Arial" w:cs="Arial"/>
        </w:rPr>
        <w:t>later stage</w:t>
      </w:r>
      <w:r w:rsidR="00201137">
        <w:rPr>
          <w:rFonts w:ascii="Arial" w:hAnsi="Arial" w:cs="Arial"/>
        </w:rPr>
        <w:t xml:space="preserve">. It is felt to be important to gain enough operational experience with the mechanism before considering handling the much larger number of potential ‘candidate stations’. </w:t>
      </w:r>
    </w:p>
    <w:p w:rsidR="00FA0F40" w:rsidRDefault="00FA0F40" w:rsidP="00BE779F">
      <w:pPr>
        <w:jc w:val="both"/>
        <w:rPr>
          <w:rFonts w:ascii="Arial" w:hAnsi="Arial" w:cs="Arial"/>
        </w:rPr>
      </w:pPr>
      <w:r>
        <w:rPr>
          <w:rFonts w:ascii="Arial" w:hAnsi="Arial" w:cs="Arial"/>
        </w:rPr>
        <w:t>The implementati</w:t>
      </w:r>
      <w:r w:rsidR="00972FB3">
        <w:rPr>
          <w:rFonts w:ascii="Arial" w:hAnsi="Arial" w:cs="Arial"/>
        </w:rPr>
        <w:t>on of the WMO recognition mechanism</w:t>
      </w:r>
      <w:r>
        <w:rPr>
          <w:rFonts w:ascii="Arial" w:hAnsi="Arial" w:cs="Arial"/>
        </w:rPr>
        <w:t xml:space="preserve"> should be accompanied by a strong </w:t>
      </w:r>
      <w:r w:rsidR="00875508">
        <w:rPr>
          <w:rFonts w:ascii="Arial" w:hAnsi="Arial" w:cs="Arial"/>
        </w:rPr>
        <w:t xml:space="preserve">WMO </w:t>
      </w:r>
      <w:r>
        <w:rPr>
          <w:rFonts w:ascii="Arial" w:hAnsi="Arial" w:cs="Arial"/>
        </w:rPr>
        <w:t xml:space="preserve">campaign </w:t>
      </w:r>
      <w:r w:rsidR="00E7370A">
        <w:rPr>
          <w:rFonts w:ascii="Arial" w:hAnsi="Arial" w:cs="Arial"/>
        </w:rPr>
        <w:t xml:space="preserve">in support of </w:t>
      </w:r>
      <w:r>
        <w:rPr>
          <w:rFonts w:ascii="Arial" w:hAnsi="Arial" w:cs="Arial"/>
        </w:rPr>
        <w:t>high-quality observations.</w:t>
      </w:r>
    </w:p>
    <w:p w:rsidR="00E7370A" w:rsidRDefault="00201137" w:rsidP="00BE779F">
      <w:pPr>
        <w:jc w:val="both"/>
        <w:rPr>
          <w:rFonts w:ascii="Arial" w:hAnsi="Arial" w:cs="Arial"/>
        </w:rPr>
      </w:pPr>
      <w:r>
        <w:rPr>
          <w:rFonts w:ascii="Arial" w:hAnsi="Arial" w:cs="Arial"/>
        </w:rPr>
        <w:t>It is felt that further specification of the draft criteria, e.g. regarding ‘relocation’ can be counter-productive</w:t>
      </w:r>
      <w:r w:rsidR="000E2337">
        <w:rPr>
          <w:rFonts w:ascii="Arial" w:hAnsi="Arial" w:cs="Arial"/>
        </w:rPr>
        <w:t xml:space="preserve"> as there is a risk of ending up with too rigid criteria, which does not anymore capture individual settings. It is rather encouraged to apply climatological expertise in assessing individual cases, and document facts, which will be subject to review by a WMO expert team.  </w:t>
      </w:r>
      <w:r>
        <w:rPr>
          <w:rFonts w:ascii="Arial" w:hAnsi="Arial" w:cs="Arial"/>
        </w:rPr>
        <w:t xml:space="preserve"> </w:t>
      </w:r>
    </w:p>
    <w:p w:rsidR="0078028C" w:rsidRPr="004F7BEA" w:rsidRDefault="004F7BEA" w:rsidP="00B76A7F">
      <w:pPr>
        <w:rPr>
          <w:rFonts w:ascii="Arial" w:hAnsi="Arial" w:cs="Arial"/>
          <w:b/>
          <w:u w:val="single"/>
        </w:rPr>
      </w:pPr>
      <w:bookmarkStart w:id="0" w:name="_GoBack"/>
      <w:bookmarkEnd w:id="0"/>
      <w:r w:rsidRPr="004F7BEA">
        <w:rPr>
          <w:rFonts w:ascii="Arial" w:hAnsi="Arial" w:cs="Arial"/>
          <w:b/>
          <w:u w:val="single"/>
        </w:rPr>
        <w:t>Conclusion and w</w:t>
      </w:r>
      <w:r w:rsidR="0078028C" w:rsidRPr="004F7BEA">
        <w:rPr>
          <w:rFonts w:ascii="Arial" w:hAnsi="Arial" w:cs="Arial"/>
          <w:b/>
          <w:u w:val="single"/>
        </w:rPr>
        <w:t>ay forward</w:t>
      </w:r>
    </w:p>
    <w:p w:rsidR="00B76A7F" w:rsidRDefault="00360C51" w:rsidP="00CF3870">
      <w:pPr>
        <w:jc w:val="both"/>
        <w:rPr>
          <w:rFonts w:ascii="Arial" w:hAnsi="Arial" w:cs="Arial"/>
        </w:rPr>
      </w:pPr>
      <w:r>
        <w:rPr>
          <w:rFonts w:ascii="Arial" w:hAnsi="Arial" w:cs="Arial"/>
        </w:rPr>
        <w:t xml:space="preserve">Based on the discussion above it is proposed to </w:t>
      </w:r>
      <w:r w:rsidR="008C5E33">
        <w:rPr>
          <w:rFonts w:ascii="Arial" w:hAnsi="Arial" w:cs="Arial"/>
        </w:rPr>
        <w:t xml:space="preserve">consider </w:t>
      </w:r>
      <w:r w:rsidR="006E69E7">
        <w:rPr>
          <w:rFonts w:ascii="Arial" w:hAnsi="Arial" w:cs="Arial"/>
        </w:rPr>
        <w:t>implement</w:t>
      </w:r>
      <w:r w:rsidR="00972FB3">
        <w:rPr>
          <w:rFonts w:ascii="Arial" w:hAnsi="Arial" w:cs="Arial"/>
        </w:rPr>
        <w:t>ation of</w:t>
      </w:r>
      <w:r w:rsidR="006E69E7">
        <w:rPr>
          <w:rFonts w:ascii="Arial" w:hAnsi="Arial" w:cs="Arial"/>
        </w:rPr>
        <w:t xml:space="preserve"> a WMO recognition mechanism for centennial stations as described </w:t>
      </w:r>
      <w:r w:rsidR="006E69E7" w:rsidRPr="0018570D">
        <w:rPr>
          <w:rFonts w:ascii="Arial" w:hAnsi="Arial" w:cs="Arial"/>
        </w:rPr>
        <w:t>in the Annex.</w:t>
      </w:r>
    </w:p>
    <w:p w:rsidR="007B0232" w:rsidRDefault="00F60757" w:rsidP="00CF3870">
      <w:pPr>
        <w:jc w:val="both"/>
        <w:rPr>
          <w:rFonts w:ascii="Arial" w:hAnsi="Arial" w:cs="Arial"/>
        </w:rPr>
      </w:pPr>
      <w:r>
        <w:rPr>
          <w:rFonts w:ascii="Arial" w:hAnsi="Arial" w:cs="Arial"/>
        </w:rPr>
        <w:t xml:space="preserve">The proposal is expected to be introduced and discussed during ICG-WIGOS IV, 17-20 February 2015, where ICG-WIGOS will be invited to consider establishing a small task team with participation from CBS, </w:t>
      </w:r>
      <w:proofErr w:type="spellStart"/>
      <w:r>
        <w:rPr>
          <w:rFonts w:ascii="Arial" w:hAnsi="Arial" w:cs="Arial"/>
        </w:rPr>
        <w:t>CCl</w:t>
      </w:r>
      <w:proofErr w:type="spellEnd"/>
      <w:r>
        <w:rPr>
          <w:rFonts w:ascii="Arial" w:hAnsi="Arial" w:cs="Arial"/>
        </w:rPr>
        <w:t xml:space="preserve">, CIMO and </w:t>
      </w:r>
      <w:r w:rsidRPr="0018570D">
        <w:rPr>
          <w:rFonts w:ascii="Arial" w:hAnsi="Arial" w:cs="Arial"/>
        </w:rPr>
        <w:t>GCOS with Terms of Reference</w:t>
      </w:r>
      <w:r w:rsidR="0049156D" w:rsidRPr="0018570D">
        <w:rPr>
          <w:rFonts w:ascii="Arial" w:hAnsi="Arial" w:cs="Arial"/>
        </w:rPr>
        <w:t xml:space="preserve"> as</w:t>
      </w:r>
      <w:r w:rsidR="0049156D">
        <w:rPr>
          <w:rFonts w:ascii="Arial" w:hAnsi="Arial" w:cs="Arial"/>
        </w:rPr>
        <w:t xml:space="preserve"> provided in the Annex.</w:t>
      </w:r>
    </w:p>
    <w:p w:rsidR="0049156D" w:rsidRDefault="008C5E33" w:rsidP="00CF3870">
      <w:pPr>
        <w:jc w:val="both"/>
        <w:rPr>
          <w:rFonts w:ascii="Arial" w:hAnsi="Arial" w:cs="Arial"/>
        </w:rPr>
      </w:pPr>
      <w:r>
        <w:rPr>
          <w:rFonts w:ascii="Arial" w:hAnsi="Arial" w:cs="Arial"/>
        </w:rPr>
        <w:t>It is planned to submit a draft resolution to the 17</w:t>
      </w:r>
      <w:r w:rsidRPr="008C5E33">
        <w:rPr>
          <w:rFonts w:ascii="Arial" w:hAnsi="Arial" w:cs="Arial"/>
          <w:vertAlign w:val="superscript"/>
        </w:rPr>
        <w:t>th</w:t>
      </w:r>
      <w:r>
        <w:rPr>
          <w:rFonts w:ascii="Arial" w:hAnsi="Arial" w:cs="Arial"/>
        </w:rPr>
        <w:t xml:space="preserve"> session of the World Meteorological Congress in order to pave the way for the implementation of the recognition mechanism. </w:t>
      </w:r>
    </w:p>
    <w:p w:rsidR="00CF3870" w:rsidRDefault="00CF3870" w:rsidP="006D27F2">
      <w:pPr>
        <w:rPr>
          <w:rFonts w:ascii="Arial" w:hAnsi="Arial" w:cs="Arial"/>
        </w:rPr>
      </w:pPr>
    </w:p>
    <w:p w:rsidR="00CF3870" w:rsidRDefault="00CF3870" w:rsidP="00CF3870">
      <w:pPr>
        <w:jc w:val="center"/>
        <w:rPr>
          <w:rFonts w:ascii="Arial" w:hAnsi="Arial" w:cs="Arial"/>
        </w:rPr>
      </w:pPr>
      <w:r>
        <w:rPr>
          <w:rFonts w:ascii="Arial" w:hAnsi="Arial" w:cs="Arial"/>
        </w:rPr>
        <w:t>--------------------------------------</w:t>
      </w:r>
    </w:p>
    <w:p w:rsidR="00CF3870" w:rsidRDefault="00CF3870" w:rsidP="006D0DC3">
      <w:pPr>
        <w:jc w:val="right"/>
        <w:rPr>
          <w:rFonts w:ascii="Arial" w:hAnsi="Arial" w:cs="Arial"/>
        </w:rPr>
      </w:pPr>
      <w:r>
        <w:rPr>
          <w:rFonts w:ascii="Arial" w:hAnsi="Arial" w:cs="Arial"/>
        </w:rPr>
        <w:br w:type="page"/>
      </w:r>
      <w:r>
        <w:rPr>
          <w:rFonts w:ascii="Arial" w:hAnsi="Arial" w:cs="Arial"/>
        </w:rPr>
        <w:lastRenderedPageBreak/>
        <w:t>ANNEX</w:t>
      </w:r>
    </w:p>
    <w:p w:rsidR="00CF3870" w:rsidRDefault="00CF3870" w:rsidP="00CF3870">
      <w:pPr>
        <w:jc w:val="center"/>
        <w:rPr>
          <w:rFonts w:ascii="Arial" w:hAnsi="Arial" w:cs="Arial"/>
        </w:rPr>
      </w:pPr>
    </w:p>
    <w:p w:rsidR="0067381F" w:rsidRDefault="0067381F" w:rsidP="0067381F">
      <w:pPr>
        <w:jc w:val="center"/>
        <w:rPr>
          <w:b/>
        </w:rPr>
      </w:pPr>
      <w:r>
        <w:rPr>
          <w:b/>
        </w:rPr>
        <w:t xml:space="preserve">Proposed WMO mechanism for the </w:t>
      </w:r>
      <w:r w:rsidRPr="00E3310F">
        <w:rPr>
          <w:b/>
        </w:rPr>
        <w:t xml:space="preserve">recognition of </w:t>
      </w:r>
      <w:r>
        <w:rPr>
          <w:b/>
        </w:rPr>
        <w:t>centennial observing stations</w:t>
      </w:r>
    </w:p>
    <w:p w:rsidR="0067381F" w:rsidRDefault="0067381F" w:rsidP="0067381F">
      <w:pPr>
        <w:jc w:val="both"/>
        <w:rPr>
          <w:u w:val="single"/>
        </w:rPr>
      </w:pPr>
    </w:p>
    <w:p w:rsidR="0067381F" w:rsidRPr="00D30F1C" w:rsidRDefault="0067381F" w:rsidP="0067381F">
      <w:pPr>
        <w:jc w:val="both"/>
        <w:rPr>
          <w:b/>
          <w:u w:val="single"/>
        </w:rPr>
      </w:pPr>
      <w:r w:rsidRPr="00D30F1C">
        <w:rPr>
          <w:b/>
          <w:u w:val="single"/>
        </w:rPr>
        <w:t xml:space="preserve">Aims: </w:t>
      </w:r>
    </w:p>
    <w:p w:rsidR="0067381F" w:rsidRDefault="0067381F" w:rsidP="0067381F">
      <w:pPr>
        <w:pStyle w:val="ListParagraph"/>
        <w:numPr>
          <w:ilvl w:val="0"/>
          <w:numId w:val="3"/>
        </w:numPr>
        <w:jc w:val="both"/>
      </w:pPr>
      <w:r>
        <w:t>To raise awareness of existin</w:t>
      </w:r>
      <w:r w:rsidR="00C53A3C">
        <w:t>g long-term observations and their</w:t>
      </w:r>
      <w:r>
        <w:t xml:space="preserve"> importance across WMO programmes,</w:t>
      </w:r>
      <w:r w:rsidR="00C53A3C">
        <w:t xml:space="preserve"> to </w:t>
      </w:r>
      <w:r>
        <w:t>international mechanisms (such as GFCS)</w:t>
      </w:r>
      <w:r w:rsidR="00C53A3C">
        <w:t>,</w:t>
      </w:r>
      <w:r>
        <w:t xml:space="preserve"> and the public;</w:t>
      </w:r>
    </w:p>
    <w:p w:rsidR="0067381F" w:rsidRPr="00C53A3C" w:rsidRDefault="0067381F" w:rsidP="0067381F">
      <w:pPr>
        <w:pStyle w:val="ListParagraph"/>
        <w:numPr>
          <w:ilvl w:val="0"/>
          <w:numId w:val="3"/>
        </w:numPr>
        <w:jc w:val="both"/>
        <w:rPr>
          <w:color w:val="FF0000"/>
        </w:rPr>
      </w:pPr>
      <w:r w:rsidRPr="005D7AA2">
        <w:t>To help maintaining, and facilitate planning for, long-term observing sites;</w:t>
      </w:r>
    </w:p>
    <w:p w:rsidR="0067381F" w:rsidRDefault="0067381F" w:rsidP="0067381F">
      <w:pPr>
        <w:pStyle w:val="ListParagraph"/>
        <w:numPr>
          <w:ilvl w:val="0"/>
          <w:numId w:val="3"/>
        </w:numPr>
        <w:jc w:val="both"/>
      </w:pPr>
      <w:r>
        <w:t>To promote high quality long-term observations in the future;</w:t>
      </w:r>
    </w:p>
    <w:p w:rsidR="0067381F" w:rsidRDefault="0067381F" w:rsidP="0067381F">
      <w:pPr>
        <w:pStyle w:val="ListParagraph"/>
        <w:numPr>
          <w:ilvl w:val="0"/>
          <w:numId w:val="3"/>
        </w:numPr>
        <w:jc w:val="both"/>
      </w:pPr>
      <w:r>
        <w:t>To encourage sharing of long-term time series data including its use for climate variability and change analyses;</w:t>
      </w:r>
    </w:p>
    <w:p w:rsidR="0067381F" w:rsidRPr="00A67CD4" w:rsidRDefault="0067381F" w:rsidP="0067381F">
      <w:pPr>
        <w:pStyle w:val="ListParagraph"/>
        <w:numPr>
          <w:ilvl w:val="0"/>
          <w:numId w:val="3"/>
        </w:numPr>
        <w:jc w:val="both"/>
      </w:pPr>
      <w:r>
        <w:t xml:space="preserve">To facilitate the WIGOS ambition and to </w:t>
      </w:r>
      <w:r w:rsidRPr="00A67CD4">
        <w:t>promote the effective and efficient use of resources</w:t>
      </w:r>
      <w:r>
        <w:t>, including resource mobilization, to ensure sustainable meteorological observations.</w:t>
      </w:r>
    </w:p>
    <w:p w:rsidR="0067381F" w:rsidRDefault="0067381F" w:rsidP="0067381F">
      <w:pPr>
        <w:jc w:val="both"/>
        <w:rPr>
          <w:b/>
          <w:u w:val="single"/>
        </w:rPr>
      </w:pPr>
    </w:p>
    <w:p w:rsidR="0067381F" w:rsidRPr="00D30F1C" w:rsidRDefault="0067381F" w:rsidP="0067381F">
      <w:pPr>
        <w:jc w:val="both"/>
        <w:rPr>
          <w:b/>
          <w:u w:val="single"/>
        </w:rPr>
      </w:pPr>
      <w:r w:rsidRPr="00D30F1C">
        <w:rPr>
          <w:b/>
          <w:u w:val="single"/>
        </w:rPr>
        <w:t>Proposed mechanism:</w:t>
      </w:r>
    </w:p>
    <w:p w:rsidR="0067381F" w:rsidRPr="00971F24" w:rsidRDefault="0067381F" w:rsidP="0067381F">
      <w:pPr>
        <w:pStyle w:val="ListParagraph"/>
        <w:numPr>
          <w:ilvl w:val="0"/>
          <w:numId w:val="3"/>
        </w:numPr>
        <w:jc w:val="both"/>
        <w:rPr>
          <w:i/>
        </w:rPr>
      </w:pPr>
      <w:r w:rsidRPr="00971F24">
        <w:rPr>
          <w:b/>
        </w:rPr>
        <w:t>Send out to Members, on a regular basis</w:t>
      </w:r>
      <w:r w:rsidR="005D7AA2">
        <w:rPr>
          <w:b/>
        </w:rPr>
        <w:t xml:space="preserve"> (e.g. every second year, </w:t>
      </w:r>
      <w:proofErr w:type="spellStart"/>
      <w:r w:rsidR="005D7AA2">
        <w:rPr>
          <w:b/>
        </w:rPr>
        <w:t>tbd</w:t>
      </w:r>
      <w:proofErr w:type="spellEnd"/>
      <w:r w:rsidR="005D7AA2">
        <w:rPr>
          <w:b/>
        </w:rPr>
        <w:t>)</w:t>
      </w:r>
      <w:r w:rsidRPr="00971F24">
        <w:rPr>
          <w:b/>
        </w:rPr>
        <w:t xml:space="preserve">, a permanent invitation to apply for WMO recognition of centennial observing stations as per criteria defined in </w:t>
      </w:r>
      <w:r w:rsidRPr="006D0DC3">
        <w:rPr>
          <w:b/>
        </w:rPr>
        <w:t>attachment 1:</w:t>
      </w:r>
      <w:r w:rsidRPr="00971F24">
        <w:rPr>
          <w:b/>
        </w:rPr>
        <w:t xml:space="preserve"> </w:t>
      </w:r>
    </w:p>
    <w:p w:rsidR="0067381F" w:rsidRPr="00971F24" w:rsidRDefault="0067381F" w:rsidP="0067381F">
      <w:pPr>
        <w:pStyle w:val="ListParagraph"/>
        <w:jc w:val="both"/>
        <w:rPr>
          <w:i/>
        </w:rPr>
      </w:pPr>
      <w:r w:rsidRPr="00971F24">
        <w:rPr>
          <w:i/>
        </w:rPr>
        <w:t xml:space="preserve">Note: The invitation will include the list of recognition criteria to be ticked off </w:t>
      </w:r>
      <w:r w:rsidR="00484C65" w:rsidRPr="00971F24">
        <w:rPr>
          <w:i/>
        </w:rPr>
        <w:t xml:space="preserve">and commented </w:t>
      </w:r>
      <w:r w:rsidR="005D7AA2">
        <w:rPr>
          <w:i/>
        </w:rPr>
        <w:t xml:space="preserve">on </w:t>
      </w:r>
      <w:r w:rsidRPr="00971F24">
        <w:rPr>
          <w:i/>
        </w:rPr>
        <w:t xml:space="preserve">by Members for each nominated observing </w:t>
      </w:r>
      <w:r w:rsidRPr="006D0DC3">
        <w:rPr>
          <w:i/>
        </w:rPr>
        <w:t>stations</w:t>
      </w:r>
      <w:r w:rsidR="005D59A6" w:rsidRPr="006D0DC3">
        <w:rPr>
          <w:i/>
        </w:rPr>
        <w:t xml:space="preserve"> (template cf. attachment 2)</w:t>
      </w:r>
      <w:r w:rsidRPr="006D0DC3">
        <w:rPr>
          <w:i/>
        </w:rPr>
        <w:t>.</w:t>
      </w:r>
      <w:r w:rsidRPr="00971F24">
        <w:rPr>
          <w:i/>
        </w:rPr>
        <w:t xml:space="preserve"> Further, it will include information on the review cycle (e.g. once a year), and it will request nomination of a national focal point including information of his/her official position in the respective organization. Members will be encouraged to include into their applications nominations from observing station operators outside the NMHS.                                         </w:t>
      </w:r>
    </w:p>
    <w:p w:rsidR="0067381F" w:rsidRPr="00971F24" w:rsidRDefault="00971F24" w:rsidP="0067381F">
      <w:pPr>
        <w:pStyle w:val="ListParagraph"/>
        <w:numPr>
          <w:ilvl w:val="0"/>
          <w:numId w:val="3"/>
        </w:numPr>
        <w:jc w:val="both"/>
        <w:rPr>
          <w:b/>
        </w:rPr>
      </w:pPr>
      <w:r w:rsidRPr="00971F24">
        <w:rPr>
          <w:b/>
        </w:rPr>
        <w:t xml:space="preserve">Review of nominations </w:t>
      </w:r>
      <w:r w:rsidR="005D7AA2">
        <w:rPr>
          <w:b/>
        </w:rPr>
        <w:t xml:space="preserve">received from NMHSs </w:t>
      </w:r>
      <w:r w:rsidRPr="00971F24">
        <w:rPr>
          <w:b/>
        </w:rPr>
        <w:t>by the</w:t>
      </w:r>
      <w:r w:rsidR="0067381F" w:rsidRPr="00971F24">
        <w:rPr>
          <w:b/>
        </w:rPr>
        <w:t xml:space="preserve"> </w:t>
      </w:r>
      <w:r w:rsidR="00972FB3">
        <w:rPr>
          <w:rFonts w:cs="Arial"/>
          <w:b/>
        </w:rPr>
        <w:t xml:space="preserve">Task Team on Long-term Observing </w:t>
      </w:r>
      <w:r w:rsidR="00972FB3" w:rsidRPr="002638AA">
        <w:rPr>
          <w:rFonts w:cs="Arial"/>
          <w:b/>
        </w:rPr>
        <w:t>S</w:t>
      </w:r>
      <w:r w:rsidRPr="002638AA">
        <w:rPr>
          <w:rFonts w:cs="Arial"/>
          <w:b/>
        </w:rPr>
        <w:t xml:space="preserve">tations (proposed </w:t>
      </w:r>
      <w:r w:rsidR="002638AA" w:rsidRPr="002638AA">
        <w:rPr>
          <w:rFonts w:cs="Arial"/>
          <w:b/>
        </w:rPr>
        <w:t xml:space="preserve">to be established under </w:t>
      </w:r>
      <w:r w:rsidRPr="002638AA">
        <w:rPr>
          <w:rFonts w:cs="Arial"/>
          <w:b/>
        </w:rPr>
        <w:t xml:space="preserve">WIGOS; </w:t>
      </w:r>
      <w:r w:rsidR="005D7AA2" w:rsidRPr="002638AA">
        <w:rPr>
          <w:rFonts w:cs="Arial"/>
          <w:b/>
        </w:rPr>
        <w:t>see</w:t>
      </w:r>
      <w:r w:rsidR="005D7AA2">
        <w:rPr>
          <w:rFonts w:cs="Arial"/>
          <w:b/>
        </w:rPr>
        <w:t xml:space="preserve"> proposed Terms of Reference </w:t>
      </w:r>
      <w:r>
        <w:rPr>
          <w:rFonts w:cs="Arial"/>
          <w:b/>
        </w:rPr>
        <w:t xml:space="preserve"> below</w:t>
      </w:r>
      <w:r w:rsidRPr="00971F24">
        <w:rPr>
          <w:rFonts w:cs="Arial"/>
          <w:b/>
        </w:rPr>
        <w:t>)</w:t>
      </w:r>
    </w:p>
    <w:p w:rsidR="0067381F" w:rsidRPr="00971F24" w:rsidRDefault="0067381F" w:rsidP="0067381F">
      <w:pPr>
        <w:pStyle w:val="ListParagraph"/>
        <w:numPr>
          <w:ilvl w:val="0"/>
          <w:numId w:val="3"/>
        </w:numPr>
        <w:jc w:val="both"/>
        <w:rPr>
          <w:b/>
        </w:rPr>
      </w:pPr>
      <w:r w:rsidRPr="00971F24">
        <w:rPr>
          <w:b/>
        </w:rPr>
        <w:t xml:space="preserve">Recommendations for formal recognition to be </w:t>
      </w:r>
      <w:r w:rsidR="00FC7FF9">
        <w:rPr>
          <w:b/>
        </w:rPr>
        <w:t>tabled at Executive Council sessions</w:t>
      </w:r>
      <w:r w:rsidRPr="00971F24">
        <w:rPr>
          <w:b/>
        </w:rPr>
        <w:t>;</w:t>
      </w:r>
    </w:p>
    <w:p w:rsidR="0067381F" w:rsidRPr="00971F24" w:rsidRDefault="0067381F" w:rsidP="0067381F">
      <w:pPr>
        <w:pStyle w:val="ListParagraph"/>
        <w:numPr>
          <w:ilvl w:val="0"/>
          <w:numId w:val="3"/>
        </w:numPr>
        <w:jc w:val="both"/>
        <w:rPr>
          <w:b/>
        </w:rPr>
      </w:pPr>
      <w:r w:rsidRPr="00971F24">
        <w:rPr>
          <w:b/>
        </w:rPr>
        <w:t xml:space="preserve">Stations to be listed in the WIGOS Information Resource (WIR); </w:t>
      </w:r>
    </w:p>
    <w:p w:rsidR="0067381F" w:rsidRPr="00971F24" w:rsidRDefault="0067381F" w:rsidP="0067381F">
      <w:pPr>
        <w:pStyle w:val="ListParagraph"/>
        <w:numPr>
          <w:ilvl w:val="0"/>
          <w:numId w:val="3"/>
        </w:numPr>
        <w:jc w:val="both"/>
        <w:rPr>
          <w:b/>
        </w:rPr>
      </w:pPr>
      <w:r w:rsidRPr="00971F24">
        <w:rPr>
          <w:b/>
        </w:rPr>
        <w:t xml:space="preserve">WMO to run, and to keep up-to-date, a special Website </w:t>
      </w:r>
      <w:r w:rsidR="005D7AA2">
        <w:rPr>
          <w:b/>
        </w:rPr>
        <w:t xml:space="preserve">and </w:t>
      </w:r>
      <w:r w:rsidRPr="00971F24">
        <w:rPr>
          <w:b/>
        </w:rPr>
        <w:t>a brochure on centennial observing stations in</w:t>
      </w:r>
      <w:r w:rsidR="005D7AA2">
        <w:rPr>
          <w:b/>
        </w:rPr>
        <w:t>dicating</w:t>
      </w:r>
      <w:r w:rsidRPr="00971F24">
        <w:rPr>
          <w:b/>
        </w:rPr>
        <w:t xml:space="preserve"> their particular importance, with reference to the above mentioned station list;</w:t>
      </w:r>
    </w:p>
    <w:p w:rsidR="0067381F" w:rsidRPr="00971F24" w:rsidRDefault="0067381F" w:rsidP="0067381F">
      <w:pPr>
        <w:pStyle w:val="ListParagraph"/>
        <w:numPr>
          <w:ilvl w:val="0"/>
          <w:numId w:val="3"/>
        </w:numPr>
        <w:jc w:val="both"/>
        <w:rPr>
          <w:b/>
        </w:rPr>
      </w:pPr>
      <w:r w:rsidRPr="00971F24">
        <w:rPr>
          <w:b/>
        </w:rPr>
        <w:t>Nominations to be renewed every ten years.</w:t>
      </w:r>
    </w:p>
    <w:p w:rsidR="00CF3870" w:rsidRPr="00971F24" w:rsidRDefault="00CF3870" w:rsidP="00D30F1C">
      <w:pPr>
        <w:jc w:val="both"/>
        <w:rPr>
          <w:rFonts w:cs="Arial"/>
        </w:rPr>
      </w:pPr>
    </w:p>
    <w:p w:rsidR="00484C65" w:rsidRPr="00971F24" w:rsidRDefault="00971F24" w:rsidP="00D30F1C">
      <w:pPr>
        <w:jc w:val="both"/>
        <w:rPr>
          <w:rFonts w:cs="Arial"/>
        </w:rPr>
      </w:pPr>
      <w:r w:rsidRPr="00D30F1C">
        <w:rPr>
          <w:rFonts w:cs="Arial"/>
          <w:b/>
          <w:u w:val="single"/>
        </w:rPr>
        <w:t xml:space="preserve">Draft Terms of Reference of </w:t>
      </w:r>
      <w:proofErr w:type="gramStart"/>
      <w:r w:rsidRPr="00D30F1C">
        <w:rPr>
          <w:rFonts w:cs="Arial"/>
          <w:b/>
          <w:u w:val="single"/>
        </w:rPr>
        <w:t>an</w:t>
      </w:r>
      <w:proofErr w:type="gramEnd"/>
      <w:r w:rsidRPr="00D30F1C">
        <w:rPr>
          <w:rFonts w:cs="Arial"/>
          <w:b/>
          <w:u w:val="single"/>
        </w:rPr>
        <w:t xml:space="preserve"> </w:t>
      </w:r>
      <w:r w:rsidR="00521FA1" w:rsidRPr="00D30F1C">
        <w:rPr>
          <w:rFonts w:cs="Arial"/>
          <w:b/>
          <w:u w:val="single"/>
        </w:rPr>
        <w:t xml:space="preserve">WIGOS </w:t>
      </w:r>
      <w:r w:rsidR="00BD5A3C" w:rsidRPr="00D30F1C">
        <w:rPr>
          <w:rFonts w:cs="Arial"/>
          <w:b/>
          <w:u w:val="single"/>
        </w:rPr>
        <w:t>Task</w:t>
      </w:r>
      <w:r w:rsidR="00972FB3">
        <w:rPr>
          <w:rFonts w:cs="Arial"/>
          <w:b/>
          <w:u w:val="single"/>
        </w:rPr>
        <w:t xml:space="preserve"> Team on Long-term Observing S</w:t>
      </w:r>
      <w:r w:rsidR="00521FA1" w:rsidRPr="00D30F1C">
        <w:rPr>
          <w:rFonts w:cs="Arial"/>
          <w:b/>
          <w:u w:val="single"/>
        </w:rPr>
        <w:t>tations</w:t>
      </w:r>
      <w:r>
        <w:rPr>
          <w:rFonts w:cs="Arial"/>
        </w:rPr>
        <w:t xml:space="preserve"> (</w:t>
      </w:r>
      <w:r w:rsidR="00972FB3">
        <w:rPr>
          <w:rFonts w:cs="Arial"/>
        </w:rPr>
        <w:t xml:space="preserve">Task Team </w:t>
      </w:r>
      <w:r>
        <w:rPr>
          <w:rFonts w:cs="Arial"/>
        </w:rPr>
        <w:t xml:space="preserve">proposed to be established for an initial </w:t>
      </w:r>
      <w:r w:rsidRPr="00971F24">
        <w:rPr>
          <w:rFonts w:cs="Arial"/>
        </w:rPr>
        <w:t>two years</w:t>
      </w:r>
      <w:r w:rsidR="00474C77" w:rsidRPr="00971F24">
        <w:rPr>
          <w:rFonts w:cs="Arial"/>
        </w:rPr>
        <w:t xml:space="preserve"> </w:t>
      </w:r>
      <w:r w:rsidRPr="00971F24">
        <w:rPr>
          <w:rFonts w:cs="Arial"/>
        </w:rPr>
        <w:t xml:space="preserve">period </w:t>
      </w:r>
      <w:r>
        <w:rPr>
          <w:rFonts w:cs="Arial"/>
        </w:rPr>
        <w:t xml:space="preserve">December </w:t>
      </w:r>
      <w:r w:rsidR="00474C77" w:rsidRPr="00971F24">
        <w:rPr>
          <w:rFonts w:cs="Arial"/>
        </w:rPr>
        <w:t>2015</w:t>
      </w:r>
      <w:r>
        <w:rPr>
          <w:rFonts w:cs="Arial"/>
        </w:rPr>
        <w:t xml:space="preserve"> to December </w:t>
      </w:r>
      <w:r w:rsidR="00474C77" w:rsidRPr="00971F24">
        <w:rPr>
          <w:rFonts w:cs="Arial"/>
        </w:rPr>
        <w:t>2017)</w:t>
      </w:r>
      <w:r w:rsidR="00BD5A3C" w:rsidRPr="00971F24">
        <w:rPr>
          <w:rFonts w:cs="Arial"/>
        </w:rPr>
        <w:t>:</w:t>
      </w:r>
    </w:p>
    <w:p w:rsidR="00055A6D" w:rsidRPr="00971F24" w:rsidRDefault="00055A6D" w:rsidP="00D30F1C">
      <w:pPr>
        <w:pStyle w:val="ListParagraph"/>
        <w:numPr>
          <w:ilvl w:val="0"/>
          <w:numId w:val="3"/>
        </w:numPr>
        <w:jc w:val="both"/>
        <w:rPr>
          <w:rFonts w:cs="Arial"/>
        </w:rPr>
      </w:pPr>
      <w:r w:rsidRPr="00971F24">
        <w:rPr>
          <w:rFonts w:cs="Arial"/>
        </w:rPr>
        <w:t>Consolidate the work done on the WMO r</w:t>
      </w:r>
      <w:r w:rsidR="00BD5A3C" w:rsidRPr="00971F24">
        <w:rPr>
          <w:rFonts w:cs="Arial"/>
        </w:rPr>
        <w:t xml:space="preserve">ecognition mechanism </w:t>
      </w:r>
      <w:r w:rsidRPr="00971F24">
        <w:rPr>
          <w:rFonts w:cs="Arial"/>
        </w:rPr>
        <w:t xml:space="preserve">for </w:t>
      </w:r>
      <w:r w:rsidR="00BD5A3C" w:rsidRPr="00971F24">
        <w:rPr>
          <w:rFonts w:cs="Arial"/>
        </w:rPr>
        <w:t xml:space="preserve">centennial </w:t>
      </w:r>
      <w:r w:rsidRPr="00971F24">
        <w:rPr>
          <w:rFonts w:cs="Arial"/>
        </w:rPr>
        <w:t>observing stations with the aim of its operational implementation</w:t>
      </w:r>
    </w:p>
    <w:p w:rsidR="00055A6D" w:rsidRPr="00971F24" w:rsidRDefault="00CB4497" w:rsidP="00D30F1C">
      <w:pPr>
        <w:pStyle w:val="ListParagraph"/>
        <w:numPr>
          <w:ilvl w:val="0"/>
          <w:numId w:val="3"/>
        </w:numPr>
        <w:jc w:val="both"/>
        <w:rPr>
          <w:rFonts w:cs="Arial"/>
        </w:rPr>
      </w:pPr>
      <w:r w:rsidRPr="00971F24">
        <w:rPr>
          <w:rFonts w:cs="Arial"/>
        </w:rPr>
        <w:lastRenderedPageBreak/>
        <w:t>Investigate</w:t>
      </w:r>
      <w:r w:rsidR="00055A6D" w:rsidRPr="00971F24">
        <w:rPr>
          <w:rFonts w:cs="Arial"/>
        </w:rPr>
        <w:t xml:space="preserve"> options for broadening the recognition mechanism to include long-term observing stations with less than 100 years of </w:t>
      </w:r>
      <w:r w:rsidRPr="00971F24">
        <w:rPr>
          <w:rFonts w:cs="Arial"/>
        </w:rPr>
        <w:t>observations (‘candidate stations’)</w:t>
      </w:r>
    </w:p>
    <w:p w:rsidR="00BD5A3C" w:rsidRPr="000206B3" w:rsidRDefault="00227C9A" w:rsidP="00D30F1C">
      <w:pPr>
        <w:pStyle w:val="ListParagraph"/>
        <w:numPr>
          <w:ilvl w:val="0"/>
          <w:numId w:val="3"/>
        </w:numPr>
        <w:jc w:val="both"/>
        <w:rPr>
          <w:rFonts w:cs="Arial"/>
        </w:rPr>
      </w:pPr>
      <w:r w:rsidRPr="000206B3">
        <w:rPr>
          <w:rFonts w:cs="Arial"/>
        </w:rPr>
        <w:t>Guide the</w:t>
      </w:r>
      <w:r w:rsidR="00971F24" w:rsidRPr="000206B3">
        <w:rPr>
          <w:rFonts w:cs="Arial"/>
        </w:rPr>
        <w:t xml:space="preserve"> drafting of an invitation letter </w:t>
      </w:r>
      <w:r w:rsidR="000206B3">
        <w:rPr>
          <w:rFonts w:cs="Arial"/>
        </w:rPr>
        <w:t xml:space="preserve">to WMO Members </w:t>
      </w:r>
      <w:r w:rsidR="000206B3" w:rsidRPr="000206B3">
        <w:t>to apply for WMO recognition of centennial observing stations</w:t>
      </w:r>
      <w:r w:rsidR="000206B3" w:rsidRPr="000206B3">
        <w:rPr>
          <w:rFonts w:cs="Arial"/>
        </w:rPr>
        <w:t xml:space="preserve"> </w:t>
      </w:r>
      <w:r w:rsidR="000206B3">
        <w:rPr>
          <w:rFonts w:cs="Arial"/>
        </w:rPr>
        <w:t>(</w:t>
      </w:r>
      <w:r w:rsidR="005D7AA2">
        <w:rPr>
          <w:rFonts w:cs="Arial"/>
        </w:rPr>
        <w:t xml:space="preserve">to be sent out by WMO </w:t>
      </w:r>
      <w:r w:rsidR="00971F24" w:rsidRPr="000206B3">
        <w:rPr>
          <w:rFonts w:cs="Arial"/>
        </w:rPr>
        <w:t>Secretariat</w:t>
      </w:r>
      <w:r w:rsidR="000206B3">
        <w:rPr>
          <w:rFonts w:cs="Arial"/>
        </w:rPr>
        <w:t>)</w:t>
      </w:r>
      <w:r w:rsidR="00971F24" w:rsidRPr="000206B3">
        <w:rPr>
          <w:rFonts w:cs="Arial"/>
        </w:rPr>
        <w:t xml:space="preserve">, </w:t>
      </w:r>
      <w:r w:rsidR="00474C77" w:rsidRPr="000206B3">
        <w:rPr>
          <w:rFonts w:cs="Arial"/>
        </w:rPr>
        <w:t xml:space="preserve">analyse </w:t>
      </w:r>
      <w:r w:rsidR="00203C0B" w:rsidRPr="000206B3">
        <w:rPr>
          <w:rFonts w:cs="Arial"/>
        </w:rPr>
        <w:t xml:space="preserve">the responses and propose a list of recognised centennial observing stations </w:t>
      </w:r>
      <w:r w:rsidR="001869EA" w:rsidRPr="000206B3">
        <w:rPr>
          <w:rFonts w:cs="Arial"/>
        </w:rPr>
        <w:t xml:space="preserve">through </w:t>
      </w:r>
      <w:r w:rsidR="00203C0B" w:rsidRPr="000206B3">
        <w:rPr>
          <w:rFonts w:cs="Arial"/>
        </w:rPr>
        <w:t>ICG-WIGOS</w:t>
      </w:r>
      <w:r w:rsidR="001869EA" w:rsidRPr="000206B3">
        <w:rPr>
          <w:rFonts w:cs="Arial"/>
        </w:rPr>
        <w:t xml:space="preserve"> to WMO Executive Council</w:t>
      </w:r>
    </w:p>
    <w:p w:rsidR="00C73A3F" w:rsidRPr="00971F24" w:rsidRDefault="00C73A3F" w:rsidP="00D30F1C">
      <w:pPr>
        <w:pStyle w:val="ListParagraph"/>
        <w:numPr>
          <w:ilvl w:val="0"/>
          <w:numId w:val="3"/>
        </w:numPr>
        <w:jc w:val="both"/>
        <w:rPr>
          <w:rFonts w:cs="Arial"/>
        </w:rPr>
      </w:pPr>
      <w:r w:rsidRPr="00971F24">
        <w:rPr>
          <w:rFonts w:cs="Arial"/>
        </w:rPr>
        <w:t xml:space="preserve">Guide the development of a specific WMO </w:t>
      </w:r>
      <w:proofErr w:type="spellStart"/>
      <w:r w:rsidRPr="00971F24">
        <w:rPr>
          <w:rFonts w:cs="Arial"/>
        </w:rPr>
        <w:t>WebSite</w:t>
      </w:r>
      <w:proofErr w:type="spellEnd"/>
      <w:r w:rsidRPr="00971F24">
        <w:rPr>
          <w:rFonts w:cs="Arial"/>
        </w:rPr>
        <w:t xml:space="preserve"> and a WMO brochure to promote long-term observations and the WMO recognition mechanism for centennial observing stations  </w:t>
      </w:r>
    </w:p>
    <w:p w:rsidR="00BD5A3C" w:rsidRPr="00971F24" w:rsidRDefault="00055A6D" w:rsidP="00D30F1C">
      <w:pPr>
        <w:pStyle w:val="ListParagraph"/>
        <w:numPr>
          <w:ilvl w:val="0"/>
          <w:numId w:val="3"/>
        </w:numPr>
        <w:jc w:val="both"/>
        <w:rPr>
          <w:rFonts w:cs="Arial"/>
        </w:rPr>
      </w:pPr>
      <w:r w:rsidRPr="00971F24">
        <w:rPr>
          <w:rFonts w:cs="Arial"/>
        </w:rPr>
        <w:t xml:space="preserve">Provide guidance on </w:t>
      </w:r>
      <w:r w:rsidR="005D7AA2">
        <w:rPr>
          <w:rFonts w:cs="Arial"/>
        </w:rPr>
        <w:t>(</w:t>
      </w:r>
      <w:proofErr w:type="spellStart"/>
      <w:r w:rsidR="005D7AA2">
        <w:rPr>
          <w:rFonts w:cs="Arial"/>
        </w:rPr>
        <w:t>i</w:t>
      </w:r>
      <w:proofErr w:type="spellEnd"/>
      <w:r w:rsidR="005D7AA2">
        <w:rPr>
          <w:rFonts w:cs="Arial"/>
        </w:rPr>
        <w:t xml:space="preserve">) </w:t>
      </w:r>
      <w:r w:rsidR="00CB4497" w:rsidRPr="00971F24">
        <w:rPr>
          <w:rFonts w:cs="Arial"/>
        </w:rPr>
        <w:t xml:space="preserve">maintaining </w:t>
      </w:r>
      <w:r w:rsidR="00BD5A3C" w:rsidRPr="00971F24">
        <w:rPr>
          <w:rFonts w:cs="Arial"/>
        </w:rPr>
        <w:t xml:space="preserve">long-term </w:t>
      </w:r>
      <w:r w:rsidR="00CB4497" w:rsidRPr="00971F24">
        <w:rPr>
          <w:rFonts w:cs="Arial"/>
        </w:rPr>
        <w:t xml:space="preserve">observing stations </w:t>
      </w:r>
      <w:r w:rsidR="005D7AA2">
        <w:rPr>
          <w:rFonts w:cs="Arial"/>
        </w:rPr>
        <w:t xml:space="preserve">and (ii) </w:t>
      </w:r>
      <w:r w:rsidR="00CB4497" w:rsidRPr="00971F24">
        <w:rPr>
          <w:rFonts w:cs="Arial"/>
        </w:rPr>
        <w:t>gener</w:t>
      </w:r>
      <w:r w:rsidR="005D7AA2">
        <w:rPr>
          <w:rFonts w:cs="Arial"/>
        </w:rPr>
        <w:t>at</w:t>
      </w:r>
      <w:r w:rsidR="00CB4497" w:rsidRPr="00971F24">
        <w:rPr>
          <w:rFonts w:cs="Arial"/>
        </w:rPr>
        <w:t>in</w:t>
      </w:r>
      <w:r w:rsidR="005D7AA2">
        <w:rPr>
          <w:rFonts w:cs="Arial"/>
        </w:rPr>
        <w:t>g</w:t>
      </w:r>
      <w:r w:rsidR="00CB4497" w:rsidRPr="00971F24">
        <w:rPr>
          <w:rFonts w:cs="Arial"/>
        </w:rPr>
        <w:t xml:space="preserve"> </w:t>
      </w:r>
      <w:r w:rsidR="005D7AA2">
        <w:rPr>
          <w:rFonts w:cs="Arial"/>
        </w:rPr>
        <w:t xml:space="preserve">long and homogeneous station </w:t>
      </w:r>
      <w:r w:rsidR="00CB4497" w:rsidRPr="00971F24">
        <w:rPr>
          <w:rFonts w:cs="Arial"/>
        </w:rPr>
        <w:t xml:space="preserve">time series </w:t>
      </w:r>
      <w:r w:rsidR="00474C77" w:rsidRPr="00971F24">
        <w:rPr>
          <w:rFonts w:cs="Arial"/>
        </w:rPr>
        <w:t>of GCOS Essential Variables</w:t>
      </w:r>
    </w:p>
    <w:p w:rsidR="00BD5A3C" w:rsidRPr="00971F24" w:rsidRDefault="00203C0B" w:rsidP="00D30F1C">
      <w:pPr>
        <w:pStyle w:val="ListParagraph"/>
        <w:numPr>
          <w:ilvl w:val="0"/>
          <w:numId w:val="3"/>
        </w:numPr>
        <w:jc w:val="both"/>
        <w:rPr>
          <w:rFonts w:cs="Arial"/>
        </w:rPr>
      </w:pPr>
      <w:r w:rsidRPr="00971F24">
        <w:rPr>
          <w:rFonts w:cs="Arial"/>
        </w:rPr>
        <w:t xml:space="preserve">Advise on </w:t>
      </w:r>
      <w:r w:rsidR="005D7AA2">
        <w:rPr>
          <w:rFonts w:cs="Arial"/>
        </w:rPr>
        <w:t>how to implement</w:t>
      </w:r>
      <w:r w:rsidRPr="00971F24">
        <w:rPr>
          <w:rFonts w:cs="Arial"/>
        </w:rPr>
        <w:t xml:space="preserve"> the recognition mechanism</w:t>
      </w:r>
      <w:r w:rsidR="00FC7FF9">
        <w:rPr>
          <w:rFonts w:cs="Arial"/>
        </w:rPr>
        <w:t xml:space="preserve"> </w:t>
      </w:r>
    </w:p>
    <w:p w:rsidR="00203C0B" w:rsidRPr="00971F24" w:rsidRDefault="00203C0B" w:rsidP="00D30F1C">
      <w:pPr>
        <w:pStyle w:val="ListParagraph"/>
        <w:numPr>
          <w:ilvl w:val="0"/>
          <w:numId w:val="3"/>
        </w:numPr>
        <w:jc w:val="both"/>
        <w:rPr>
          <w:rFonts w:cs="Arial"/>
        </w:rPr>
      </w:pPr>
      <w:r w:rsidRPr="00971F24">
        <w:rPr>
          <w:rFonts w:cs="Arial"/>
        </w:rPr>
        <w:t>Report half-yearly to ICG-WIGOS</w:t>
      </w:r>
    </w:p>
    <w:p w:rsidR="00CF3870" w:rsidRPr="00972FB3" w:rsidRDefault="00972FB3" w:rsidP="00CF3870">
      <w:pPr>
        <w:jc w:val="both"/>
        <w:rPr>
          <w:rFonts w:cs="Arial"/>
        </w:rPr>
      </w:pPr>
      <w:r w:rsidRPr="00972FB3">
        <w:rPr>
          <w:rFonts w:cs="Arial"/>
          <w:b/>
          <w:i/>
        </w:rPr>
        <w:t>Proposed membership</w:t>
      </w:r>
      <w:r>
        <w:rPr>
          <w:rFonts w:cs="Arial"/>
          <w:b/>
          <w:i/>
        </w:rPr>
        <w:t xml:space="preserve">: </w:t>
      </w:r>
      <w:r>
        <w:rPr>
          <w:rFonts w:cs="Arial"/>
        </w:rPr>
        <w:t xml:space="preserve"> one representative from CBS, </w:t>
      </w:r>
      <w:proofErr w:type="spellStart"/>
      <w:r>
        <w:rPr>
          <w:rFonts w:cs="Arial"/>
        </w:rPr>
        <w:t>CCl</w:t>
      </w:r>
      <w:proofErr w:type="spellEnd"/>
      <w:r>
        <w:rPr>
          <w:rFonts w:cs="Arial"/>
        </w:rPr>
        <w:t>, CIMO and GCOS</w:t>
      </w:r>
    </w:p>
    <w:p w:rsidR="00CF3870" w:rsidRDefault="00CF3870" w:rsidP="006D27F2">
      <w:pPr>
        <w:rPr>
          <w:rFonts w:ascii="Arial" w:hAnsi="Arial" w:cs="Arial"/>
        </w:rPr>
      </w:pPr>
    </w:p>
    <w:p w:rsidR="00CF3870" w:rsidRDefault="00CF3870" w:rsidP="006D27F2">
      <w:pPr>
        <w:rPr>
          <w:rFonts w:ascii="Arial" w:hAnsi="Arial" w:cs="Arial"/>
        </w:rPr>
      </w:pPr>
    </w:p>
    <w:p w:rsidR="00CF3870" w:rsidRDefault="00CF3870" w:rsidP="006D27F2">
      <w:pPr>
        <w:rPr>
          <w:rFonts w:ascii="Arial" w:hAnsi="Arial" w:cs="Arial"/>
        </w:rPr>
      </w:pPr>
    </w:p>
    <w:p w:rsidR="00CF3870" w:rsidRDefault="002E2A38" w:rsidP="002E2A38">
      <w:pPr>
        <w:jc w:val="right"/>
        <w:rPr>
          <w:rFonts w:ascii="Arial" w:hAnsi="Arial" w:cs="Arial"/>
        </w:rPr>
      </w:pPr>
      <w:r>
        <w:rPr>
          <w:rFonts w:ascii="Arial" w:hAnsi="Arial" w:cs="Arial"/>
        </w:rPr>
        <w:t>2 Attachments</w:t>
      </w:r>
    </w:p>
    <w:p w:rsidR="00CF3870" w:rsidRDefault="00CF3870" w:rsidP="006D27F2">
      <w:pPr>
        <w:rPr>
          <w:rFonts w:ascii="Arial" w:hAnsi="Arial" w:cs="Arial"/>
        </w:rPr>
      </w:pPr>
    </w:p>
    <w:p w:rsidR="00CF3870" w:rsidRDefault="00CF3870" w:rsidP="006D27F2">
      <w:pPr>
        <w:rPr>
          <w:rFonts w:ascii="Arial" w:hAnsi="Arial" w:cs="Arial"/>
        </w:rPr>
      </w:pPr>
    </w:p>
    <w:p w:rsidR="00CF3870" w:rsidRDefault="00CF3870" w:rsidP="006D27F2">
      <w:pPr>
        <w:rPr>
          <w:rFonts w:ascii="Arial" w:hAnsi="Arial" w:cs="Arial"/>
        </w:rPr>
      </w:pPr>
    </w:p>
    <w:p w:rsidR="00CF3870" w:rsidRDefault="00CF3870" w:rsidP="006D27F2">
      <w:pPr>
        <w:rPr>
          <w:rFonts w:ascii="Arial" w:hAnsi="Arial" w:cs="Arial"/>
        </w:rPr>
      </w:pPr>
    </w:p>
    <w:sectPr w:rsidR="00CF387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1F" w:rsidRDefault="0067381F" w:rsidP="0067381F">
      <w:pPr>
        <w:spacing w:after="0" w:line="240" w:lineRule="auto"/>
      </w:pPr>
      <w:r>
        <w:separator/>
      </w:r>
    </w:p>
  </w:endnote>
  <w:endnote w:type="continuationSeparator" w:id="0">
    <w:p w:rsidR="0067381F" w:rsidRDefault="0067381F" w:rsidP="0067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1F" w:rsidRDefault="0067381F" w:rsidP="0067381F">
      <w:pPr>
        <w:spacing w:after="0" w:line="240" w:lineRule="auto"/>
      </w:pPr>
      <w:r>
        <w:separator/>
      </w:r>
    </w:p>
  </w:footnote>
  <w:footnote w:type="continuationSeparator" w:id="0">
    <w:p w:rsidR="0067381F" w:rsidRDefault="0067381F" w:rsidP="00673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000A4"/>
    <w:multiLevelType w:val="hybridMultilevel"/>
    <w:tmpl w:val="E8640918"/>
    <w:lvl w:ilvl="0" w:tplc="661807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F01103"/>
    <w:multiLevelType w:val="hybridMultilevel"/>
    <w:tmpl w:val="56DCB5C4"/>
    <w:lvl w:ilvl="0" w:tplc="1F4A9EC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063C47"/>
    <w:multiLevelType w:val="hybridMultilevel"/>
    <w:tmpl w:val="DE98F79E"/>
    <w:lvl w:ilvl="0" w:tplc="55DE9A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7F"/>
    <w:rsid w:val="000141BB"/>
    <w:rsid w:val="000206B3"/>
    <w:rsid w:val="00055A6D"/>
    <w:rsid w:val="000636BC"/>
    <w:rsid w:val="000E2337"/>
    <w:rsid w:val="00150418"/>
    <w:rsid w:val="0018570D"/>
    <w:rsid w:val="001869EA"/>
    <w:rsid w:val="00201137"/>
    <w:rsid w:val="00203C0B"/>
    <w:rsid w:val="00220196"/>
    <w:rsid w:val="00227C9A"/>
    <w:rsid w:val="002638AA"/>
    <w:rsid w:val="002B1AC8"/>
    <w:rsid w:val="002C04B9"/>
    <w:rsid w:val="002E2A38"/>
    <w:rsid w:val="003100C9"/>
    <w:rsid w:val="00360C51"/>
    <w:rsid w:val="00370904"/>
    <w:rsid w:val="003C29EF"/>
    <w:rsid w:val="00474C77"/>
    <w:rsid w:val="00484C65"/>
    <w:rsid w:val="0049156D"/>
    <w:rsid w:val="004D0731"/>
    <w:rsid w:val="004F7BEA"/>
    <w:rsid w:val="00521FA1"/>
    <w:rsid w:val="0058792F"/>
    <w:rsid w:val="005C3294"/>
    <w:rsid w:val="005D59A6"/>
    <w:rsid w:val="005D7AA2"/>
    <w:rsid w:val="00606866"/>
    <w:rsid w:val="00645A01"/>
    <w:rsid w:val="0067381F"/>
    <w:rsid w:val="00683975"/>
    <w:rsid w:val="006D0DC3"/>
    <w:rsid w:val="006D27F2"/>
    <w:rsid w:val="006E69E7"/>
    <w:rsid w:val="0078028C"/>
    <w:rsid w:val="007829EA"/>
    <w:rsid w:val="007B0232"/>
    <w:rsid w:val="00875508"/>
    <w:rsid w:val="0089757D"/>
    <w:rsid w:val="008C5E33"/>
    <w:rsid w:val="00971F24"/>
    <w:rsid w:val="00972FB3"/>
    <w:rsid w:val="009B4F98"/>
    <w:rsid w:val="00A27DE3"/>
    <w:rsid w:val="00A35FDD"/>
    <w:rsid w:val="00AF00E2"/>
    <w:rsid w:val="00B459B7"/>
    <w:rsid w:val="00B72EEC"/>
    <w:rsid w:val="00B76A7F"/>
    <w:rsid w:val="00B77791"/>
    <w:rsid w:val="00BD5A3C"/>
    <w:rsid w:val="00BE779F"/>
    <w:rsid w:val="00C41BCD"/>
    <w:rsid w:val="00C53A3C"/>
    <w:rsid w:val="00C73A3F"/>
    <w:rsid w:val="00CA6721"/>
    <w:rsid w:val="00CB4497"/>
    <w:rsid w:val="00CF3870"/>
    <w:rsid w:val="00CF69D5"/>
    <w:rsid w:val="00D028AA"/>
    <w:rsid w:val="00D30F1C"/>
    <w:rsid w:val="00DA3DCD"/>
    <w:rsid w:val="00E3104F"/>
    <w:rsid w:val="00E5680E"/>
    <w:rsid w:val="00E7370A"/>
    <w:rsid w:val="00F60757"/>
    <w:rsid w:val="00F76C68"/>
    <w:rsid w:val="00FA0F40"/>
    <w:rsid w:val="00FB088A"/>
    <w:rsid w:val="00FC4C46"/>
    <w:rsid w:val="00FC7FF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4B9"/>
    <w:pPr>
      <w:ind w:left="720"/>
      <w:contextualSpacing/>
    </w:pPr>
  </w:style>
  <w:style w:type="paragraph" w:styleId="FootnoteText">
    <w:name w:val="footnote text"/>
    <w:basedOn w:val="Normal"/>
    <w:link w:val="FootnoteTextChar"/>
    <w:uiPriority w:val="99"/>
    <w:semiHidden/>
    <w:unhideWhenUsed/>
    <w:rsid w:val="0067381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7381F"/>
    <w:rPr>
      <w:sz w:val="20"/>
      <w:szCs w:val="20"/>
      <w:lang w:val="en-US"/>
    </w:rPr>
  </w:style>
  <w:style w:type="character" w:styleId="FootnoteReference">
    <w:name w:val="footnote reference"/>
    <w:basedOn w:val="DefaultParagraphFont"/>
    <w:uiPriority w:val="99"/>
    <w:semiHidden/>
    <w:unhideWhenUsed/>
    <w:rsid w:val="006738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4B9"/>
    <w:pPr>
      <w:ind w:left="720"/>
      <w:contextualSpacing/>
    </w:pPr>
  </w:style>
  <w:style w:type="paragraph" w:styleId="FootnoteText">
    <w:name w:val="footnote text"/>
    <w:basedOn w:val="Normal"/>
    <w:link w:val="FootnoteTextChar"/>
    <w:uiPriority w:val="99"/>
    <w:semiHidden/>
    <w:unhideWhenUsed/>
    <w:rsid w:val="0067381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7381F"/>
    <w:rPr>
      <w:sz w:val="20"/>
      <w:szCs w:val="20"/>
      <w:lang w:val="en-US"/>
    </w:rPr>
  </w:style>
  <w:style w:type="character" w:styleId="FootnoteReference">
    <w:name w:val="footnote reference"/>
    <w:basedOn w:val="DefaultParagraphFont"/>
    <w:uiPriority w:val="99"/>
    <w:semiHidden/>
    <w:unhideWhenUsed/>
    <w:rsid w:val="00673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5553">
      <w:bodyDiv w:val="1"/>
      <w:marLeft w:val="0"/>
      <w:marRight w:val="0"/>
      <w:marTop w:val="0"/>
      <w:marBottom w:val="0"/>
      <w:divBdr>
        <w:top w:val="none" w:sz="0" w:space="0" w:color="auto"/>
        <w:left w:val="none" w:sz="0" w:space="0" w:color="auto"/>
        <w:bottom w:val="none" w:sz="0" w:space="0" w:color="auto"/>
        <w:right w:val="none" w:sz="0" w:space="0" w:color="auto"/>
      </w:divBdr>
    </w:div>
    <w:div w:id="1989433649">
      <w:bodyDiv w:val="1"/>
      <w:marLeft w:val="0"/>
      <w:marRight w:val="0"/>
      <w:marTop w:val="0"/>
      <w:marBottom w:val="0"/>
      <w:divBdr>
        <w:top w:val="none" w:sz="0" w:space="0" w:color="auto"/>
        <w:left w:val="none" w:sz="0" w:space="0" w:color="auto"/>
        <w:bottom w:val="none" w:sz="0" w:space="0" w:color="auto"/>
        <w:right w:val="none" w:sz="0" w:space="0" w:color="auto"/>
      </w:divBdr>
      <w:divsChild>
        <w:div w:id="922178724">
          <w:marLeft w:val="0"/>
          <w:marRight w:val="0"/>
          <w:marTop w:val="0"/>
          <w:marBottom w:val="0"/>
          <w:divBdr>
            <w:top w:val="none" w:sz="0" w:space="0" w:color="auto"/>
            <w:left w:val="none" w:sz="0" w:space="0" w:color="auto"/>
            <w:bottom w:val="none" w:sz="0" w:space="0" w:color="auto"/>
            <w:right w:val="none" w:sz="0" w:space="0" w:color="auto"/>
          </w:divBdr>
        </w:div>
        <w:div w:id="1747343339">
          <w:marLeft w:val="0"/>
          <w:marRight w:val="0"/>
          <w:marTop w:val="0"/>
          <w:marBottom w:val="0"/>
          <w:divBdr>
            <w:top w:val="none" w:sz="0" w:space="0" w:color="auto"/>
            <w:left w:val="none" w:sz="0" w:space="0" w:color="auto"/>
            <w:bottom w:val="none" w:sz="0" w:space="0" w:color="auto"/>
            <w:right w:val="none" w:sz="0" w:space="0" w:color="auto"/>
          </w:divBdr>
          <w:divsChild>
            <w:div w:id="993607380">
              <w:marLeft w:val="0"/>
              <w:marRight w:val="0"/>
              <w:marTop w:val="0"/>
              <w:marBottom w:val="0"/>
              <w:divBdr>
                <w:top w:val="none" w:sz="0" w:space="0" w:color="auto"/>
                <w:left w:val="none" w:sz="0" w:space="0" w:color="auto"/>
                <w:bottom w:val="none" w:sz="0" w:space="0" w:color="auto"/>
                <w:right w:val="none" w:sz="0" w:space="0" w:color="auto"/>
              </w:divBdr>
            </w:div>
            <w:div w:id="1973241674">
              <w:marLeft w:val="0"/>
              <w:marRight w:val="0"/>
              <w:marTop w:val="0"/>
              <w:marBottom w:val="0"/>
              <w:divBdr>
                <w:top w:val="none" w:sz="0" w:space="0" w:color="auto"/>
                <w:left w:val="none" w:sz="0" w:space="0" w:color="auto"/>
                <w:bottom w:val="none" w:sz="0" w:space="0" w:color="auto"/>
                <w:right w:val="none" w:sz="0" w:space="0" w:color="auto"/>
              </w:divBdr>
            </w:div>
            <w:div w:id="43604230">
              <w:marLeft w:val="0"/>
              <w:marRight w:val="0"/>
              <w:marTop w:val="0"/>
              <w:marBottom w:val="0"/>
              <w:divBdr>
                <w:top w:val="none" w:sz="0" w:space="0" w:color="auto"/>
                <w:left w:val="none" w:sz="0" w:space="0" w:color="auto"/>
                <w:bottom w:val="none" w:sz="0" w:space="0" w:color="auto"/>
                <w:right w:val="none" w:sz="0" w:space="0" w:color="auto"/>
              </w:divBdr>
            </w:div>
            <w:div w:id="1551108092">
              <w:marLeft w:val="0"/>
              <w:marRight w:val="0"/>
              <w:marTop w:val="0"/>
              <w:marBottom w:val="0"/>
              <w:divBdr>
                <w:top w:val="none" w:sz="0" w:space="0" w:color="auto"/>
                <w:left w:val="none" w:sz="0" w:space="0" w:color="auto"/>
                <w:bottom w:val="none" w:sz="0" w:space="0" w:color="auto"/>
                <w:right w:val="none" w:sz="0" w:space="0" w:color="auto"/>
              </w:divBdr>
            </w:div>
            <w:div w:id="1647275317">
              <w:marLeft w:val="0"/>
              <w:marRight w:val="0"/>
              <w:marTop w:val="0"/>
              <w:marBottom w:val="0"/>
              <w:divBdr>
                <w:top w:val="none" w:sz="0" w:space="0" w:color="auto"/>
                <w:left w:val="none" w:sz="0" w:space="0" w:color="auto"/>
                <w:bottom w:val="none" w:sz="0" w:space="0" w:color="auto"/>
                <w:right w:val="none" w:sz="0" w:space="0" w:color="auto"/>
              </w:divBdr>
            </w:div>
            <w:div w:id="8824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80E3F-0BAE-463B-8A1D-22E49843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6B0F26CD.dotm</Template>
  <TotalTime>1123</TotalTime>
  <Pages>5</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 Hechler</dc:creator>
  <cp:lastModifiedBy>Peer Hechler</cp:lastModifiedBy>
  <cp:revision>53</cp:revision>
  <dcterms:created xsi:type="dcterms:W3CDTF">2015-01-07T09:58:00Z</dcterms:created>
  <dcterms:modified xsi:type="dcterms:W3CDTF">2015-01-30T12:59:00Z</dcterms:modified>
</cp:coreProperties>
</file>