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5160"/>
        <w:gridCol w:w="480"/>
        <w:gridCol w:w="4080"/>
      </w:tblGrid>
      <w:tr w:rsidR="00EB3A20" w:rsidRPr="007C72FA" w:rsidTr="00D02C1D">
        <w:tblPrEx>
          <w:tblCellMar>
            <w:top w:w="0" w:type="dxa"/>
            <w:bottom w:w="0" w:type="dxa"/>
          </w:tblCellMar>
        </w:tblPrEx>
        <w:tc>
          <w:tcPr>
            <w:tcW w:w="5160" w:type="dxa"/>
          </w:tcPr>
          <w:p w:rsidR="00EB3A20" w:rsidRPr="007C72FA" w:rsidRDefault="00EB3A20">
            <w:pPr>
              <w:pStyle w:val="Heading1"/>
              <w:rPr>
                <w:rFonts w:cs="Arial"/>
                <w:sz w:val="20"/>
                <w:szCs w:val="20"/>
              </w:rPr>
            </w:pPr>
            <w:bookmarkStart w:id="0" w:name="_GoBack"/>
            <w:bookmarkEnd w:id="0"/>
            <w:r w:rsidRPr="007C72FA">
              <w:rPr>
                <w:rFonts w:cs="Arial"/>
                <w:sz w:val="20"/>
                <w:szCs w:val="20"/>
              </w:rPr>
              <w:t>WORLD METEOROLOGICAL ORGANIZATION</w:t>
            </w:r>
          </w:p>
          <w:p w:rsidR="00EB3A20" w:rsidRPr="007C72FA" w:rsidRDefault="00EB3A20">
            <w:pPr>
              <w:jc w:val="center"/>
              <w:rPr>
                <w:rFonts w:cs="Arial"/>
                <w:sz w:val="20"/>
                <w:szCs w:val="20"/>
                <w:lang w:val="en-US"/>
              </w:rPr>
            </w:pPr>
            <w:r w:rsidRPr="007C72FA">
              <w:rPr>
                <w:rFonts w:cs="Arial"/>
                <w:sz w:val="20"/>
                <w:szCs w:val="20"/>
                <w:lang w:val="en-US"/>
              </w:rPr>
              <w:t>______________</w:t>
            </w:r>
            <w:r w:rsidR="008A303A" w:rsidRPr="007C72FA">
              <w:rPr>
                <w:rFonts w:cs="Arial"/>
                <w:sz w:val="20"/>
                <w:szCs w:val="20"/>
                <w:lang w:val="en-US"/>
              </w:rPr>
              <w:t>______</w:t>
            </w:r>
          </w:p>
          <w:p w:rsidR="00EB3A20" w:rsidRPr="007C72FA" w:rsidRDefault="00EB3A20" w:rsidP="007315A0">
            <w:pPr>
              <w:ind w:hanging="108"/>
              <w:rPr>
                <w:rFonts w:cs="Arial"/>
                <w:sz w:val="20"/>
                <w:szCs w:val="20"/>
                <w:lang w:val="en-US"/>
              </w:rPr>
            </w:pPr>
          </w:p>
          <w:p w:rsidR="00EB3A20" w:rsidRPr="007C72FA" w:rsidRDefault="00EB3A20">
            <w:pPr>
              <w:pStyle w:val="Heading3"/>
              <w:rPr>
                <w:rFonts w:cs="Arial"/>
              </w:rPr>
            </w:pPr>
            <w:r w:rsidRPr="007C72FA">
              <w:rPr>
                <w:rFonts w:cs="Arial"/>
              </w:rPr>
              <w:t>COMMISSION FOR BASIC SYSTEMS</w:t>
            </w:r>
          </w:p>
          <w:p w:rsidR="00EB3A20" w:rsidRPr="007C72FA" w:rsidRDefault="00EB3A20">
            <w:pPr>
              <w:pStyle w:val="BodyText"/>
              <w:spacing w:after="0"/>
              <w:jc w:val="center"/>
              <w:rPr>
                <w:rFonts w:cs="Arial"/>
                <w:sz w:val="20"/>
                <w:szCs w:val="20"/>
              </w:rPr>
            </w:pPr>
            <w:r w:rsidRPr="007C72FA">
              <w:rPr>
                <w:rFonts w:cs="Arial"/>
                <w:sz w:val="20"/>
                <w:szCs w:val="20"/>
              </w:rPr>
              <w:t>OPEN PROGRAMMME AREA GROUP ON</w:t>
            </w:r>
          </w:p>
          <w:p w:rsidR="00EB3A20" w:rsidRPr="007C72FA" w:rsidRDefault="00EB3A20">
            <w:pPr>
              <w:pStyle w:val="BodyText"/>
              <w:spacing w:after="0"/>
              <w:jc w:val="center"/>
              <w:rPr>
                <w:rFonts w:cs="Arial"/>
                <w:sz w:val="20"/>
                <w:szCs w:val="20"/>
              </w:rPr>
            </w:pPr>
            <w:r w:rsidRPr="007C72FA">
              <w:rPr>
                <w:rFonts w:cs="Arial"/>
                <w:sz w:val="20"/>
                <w:szCs w:val="20"/>
              </w:rPr>
              <w:t>INTEGRATED OBSERVING SYSTEMS</w:t>
            </w:r>
          </w:p>
          <w:p w:rsidR="00EB3A20" w:rsidRPr="007C72FA" w:rsidRDefault="00EB3A20" w:rsidP="007315A0">
            <w:pPr>
              <w:ind w:hanging="108"/>
              <w:rPr>
                <w:rFonts w:cs="Arial"/>
                <w:sz w:val="20"/>
                <w:szCs w:val="20"/>
                <w:lang w:val="en-US"/>
              </w:rPr>
            </w:pPr>
          </w:p>
          <w:p w:rsidR="00EB3A20" w:rsidRPr="00D2372E" w:rsidRDefault="00A828ED">
            <w:pPr>
              <w:pStyle w:val="BodyText2"/>
              <w:rPr>
                <w:rFonts w:cs="Arial"/>
                <w:caps/>
                <w:sz w:val="20"/>
                <w:szCs w:val="20"/>
              </w:rPr>
            </w:pPr>
            <w:r w:rsidRPr="00A828ED">
              <w:rPr>
                <w:rFonts w:cs="Arial"/>
                <w:caps/>
                <w:sz w:val="20"/>
                <w:szCs w:val="20"/>
              </w:rPr>
              <w:t xml:space="preserve">Second </w:t>
            </w:r>
            <w:r w:rsidR="00D2372E" w:rsidRPr="00D2372E">
              <w:rPr>
                <w:rFonts w:cs="Arial"/>
                <w:i/>
                <w:caps/>
                <w:sz w:val="20"/>
                <w:szCs w:val="20"/>
              </w:rPr>
              <w:t>Ad hoc</w:t>
            </w:r>
            <w:r w:rsidR="00D2372E" w:rsidRPr="00D2372E">
              <w:rPr>
                <w:rFonts w:cs="Arial"/>
                <w:caps/>
                <w:sz w:val="20"/>
                <w:szCs w:val="20"/>
              </w:rPr>
              <w:t xml:space="preserve"> </w:t>
            </w:r>
            <w:r w:rsidR="00AB6301">
              <w:rPr>
                <w:rFonts w:cs="Arial"/>
                <w:caps/>
                <w:sz w:val="20"/>
                <w:szCs w:val="20"/>
              </w:rPr>
              <w:t>IPET-OSDE workshop</w:t>
            </w:r>
            <w:r w:rsidR="00D2372E" w:rsidRPr="00D2372E">
              <w:rPr>
                <w:rFonts w:cs="Arial"/>
                <w:caps/>
                <w:sz w:val="20"/>
                <w:szCs w:val="20"/>
              </w:rPr>
              <w:t xml:space="preserve"> </w:t>
            </w:r>
            <w:r w:rsidR="00AB6301">
              <w:rPr>
                <w:rFonts w:cs="Arial"/>
                <w:caps/>
                <w:sz w:val="20"/>
                <w:szCs w:val="20"/>
              </w:rPr>
              <w:t xml:space="preserve">on Observing System </w:t>
            </w:r>
            <w:r w:rsidR="003A0360">
              <w:rPr>
                <w:rFonts w:cs="Arial"/>
                <w:caps/>
                <w:sz w:val="20"/>
                <w:szCs w:val="20"/>
              </w:rPr>
              <w:t xml:space="preserve">Network </w:t>
            </w:r>
            <w:r w:rsidR="00AB6301">
              <w:rPr>
                <w:rFonts w:cs="Arial"/>
                <w:caps/>
                <w:sz w:val="20"/>
                <w:szCs w:val="20"/>
              </w:rPr>
              <w:t>Design</w:t>
            </w:r>
          </w:p>
          <w:p w:rsidR="00EB3A20" w:rsidRPr="007C72FA" w:rsidRDefault="00EB3A20">
            <w:pPr>
              <w:jc w:val="center"/>
              <w:rPr>
                <w:rFonts w:cs="Arial"/>
                <w:sz w:val="20"/>
                <w:szCs w:val="20"/>
                <w:lang w:val="en-US"/>
              </w:rPr>
            </w:pPr>
          </w:p>
          <w:p w:rsidR="00EB3A20" w:rsidRPr="00D2372E" w:rsidRDefault="00EB3A20" w:rsidP="00DA3450">
            <w:pPr>
              <w:jc w:val="center"/>
              <w:rPr>
                <w:rFonts w:cs="Arial"/>
                <w:caps/>
                <w:sz w:val="20"/>
                <w:szCs w:val="20"/>
                <w:lang w:val="en-US"/>
              </w:rPr>
            </w:pPr>
            <w:r w:rsidRPr="00D2372E">
              <w:rPr>
                <w:rFonts w:cs="Arial"/>
                <w:caps/>
                <w:sz w:val="20"/>
                <w:szCs w:val="20"/>
                <w:lang w:val="en-US"/>
              </w:rPr>
              <w:t xml:space="preserve">GENEVA, SWITZERLAND, </w:t>
            </w:r>
            <w:r w:rsidR="00D2372E" w:rsidRPr="00D2372E">
              <w:rPr>
                <w:rFonts w:cs="Arial"/>
                <w:caps/>
                <w:sz w:val="20"/>
                <w:szCs w:val="20"/>
                <w:lang w:val="en-US"/>
              </w:rPr>
              <w:t>2</w:t>
            </w:r>
            <w:r w:rsidR="00D2372E">
              <w:rPr>
                <w:rFonts w:cs="Arial"/>
                <w:caps/>
                <w:sz w:val="20"/>
                <w:szCs w:val="20"/>
                <w:lang w:val="en-US"/>
              </w:rPr>
              <w:t>-</w:t>
            </w:r>
            <w:r w:rsidR="00D2372E" w:rsidRPr="00D2372E">
              <w:rPr>
                <w:rFonts w:cs="Arial"/>
                <w:caps/>
                <w:sz w:val="20"/>
                <w:szCs w:val="20"/>
                <w:lang w:val="en-US"/>
              </w:rPr>
              <w:t xml:space="preserve">4 </w:t>
            </w:r>
            <w:r w:rsidR="00A828ED">
              <w:rPr>
                <w:rFonts w:cs="Arial"/>
                <w:caps/>
                <w:sz w:val="20"/>
                <w:szCs w:val="20"/>
                <w:lang w:val="en-US"/>
              </w:rPr>
              <w:t>February 2015</w:t>
            </w:r>
          </w:p>
          <w:p w:rsidR="00EB3A20" w:rsidRPr="007C72FA" w:rsidRDefault="00EB3A20">
            <w:pPr>
              <w:rPr>
                <w:rFonts w:cs="Arial"/>
                <w:sz w:val="20"/>
                <w:szCs w:val="20"/>
                <w:lang w:val="en-US"/>
              </w:rPr>
            </w:pPr>
          </w:p>
        </w:tc>
        <w:tc>
          <w:tcPr>
            <w:tcW w:w="480" w:type="dxa"/>
          </w:tcPr>
          <w:p w:rsidR="00EB3A20" w:rsidRPr="007C72FA" w:rsidRDefault="00EB3A20">
            <w:pPr>
              <w:rPr>
                <w:rFonts w:cs="Arial"/>
                <w:sz w:val="20"/>
                <w:szCs w:val="20"/>
                <w:lang w:val="en-US"/>
              </w:rPr>
            </w:pPr>
          </w:p>
        </w:tc>
        <w:tc>
          <w:tcPr>
            <w:tcW w:w="4080" w:type="dxa"/>
          </w:tcPr>
          <w:p w:rsidR="00EB3A20" w:rsidRPr="00D515C5" w:rsidRDefault="00A828ED" w:rsidP="00B62F97">
            <w:pPr>
              <w:rPr>
                <w:rFonts w:cs="Arial"/>
                <w:sz w:val="20"/>
                <w:szCs w:val="20"/>
                <w:lang w:val="en-US"/>
              </w:rPr>
            </w:pPr>
            <w:r>
              <w:rPr>
                <w:rFonts w:cs="Arial"/>
                <w:sz w:val="20"/>
                <w:szCs w:val="20"/>
              </w:rPr>
              <w:fldChar w:fldCharType="begin">
                <w:ffData>
                  <w:name w:val="Meeting_Code"/>
                  <w:enabled/>
                  <w:calcOnExit w:val="0"/>
                  <w:textInput>
                    <w:default w:val="CBS/OPAG-IOS/OSDW2"/>
                  </w:textInput>
                </w:ffData>
              </w:fldChar>
            </w:r>
            <w:bookmarkStart w:id="1" w:name="Meeting_Code"/>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CBS/OPAG-IOS/OSDW2</w:t>
            </w:r>
            <w:r>
              <w:rPr>
                <w:rFonts w:cs="Arial"/>
                <w:sz w:val="20"/>
                <w:szCs w:val="20"/>
              </w:rPr>
              <w:fldChar w:fldCharType="end"/>
            </w:r>
            <w:bookmarkEnd w:id="1"/>
            <w:r w:rsidR="00740A2A" w:rsidRPr="00D515C5">
              <w:rPr>
                <w:rFonts w:cs="Arial"/>
                <w:sz w:val="20"/>
                <w:szCs w:val="20"/>
                <w:lang w:val="en-US"/>
              </w:rPr>
              <w:t xml:space="preserve"> / </w:t>
            </w:r>
            <w:r w:rsidR="00035A13">
              <w:rPr>
                <w:rFonts w:cs="Arial"/>
                <w:sz w:val="20"/>
                <w:szCs w:val="20"/>
              </w:rPr>
              <w:fldChar w:fldCharType="begin">
                <w:ffData>
                  <w:name w:val="DOC_NO"/>
                  <w:enabled/>
                  <w:calcOnExit w:val="0"/>
                  <w:textInput>
                    <w:default w:val="DOC. 6(4)"/>
                  </w:textInput>
                </w:ffData>
              </w:fldChar>
            </w:r>
            <w:bookmarkStart w:id="2" w:name="DOC_NO"/>
            <w:r w:rsidR="00035A13">
              <w:rPr>
                <w:rFonts w:cs="Arial"/>
                <w:sz w:val="20"/>
                <w:szCs w:val="20"/>
              </w:rPr>
              <w:instrText xml:space="preserve"> FORMTEXT </w:instrText>
            </w:r>
            <w:r w:rsidR="00035A13">
              <w:rPr>
                <w:rFonts w:cs="Arial"/>
                <w:sz w:val="20"/>
                <w:szCs w:val="20"/>
              </w:rPr>
            </w:r>
            <w:r w:rsidR="00035A13">
              <w:rPr>
                <w:rFonts w:cs="Arial"/>
                <w:sz w:val="20"/>
                <w:szCs w:val="20"/>
              </w:rPr>
              <w:fldChar w:fldCharType="separate"/>
            </w:r>
            <w:r w:rsidR="00035A13">
              <w:rPr>
                <w:rFonts w:cs="Arial"/>
                <w:noProof/>
                <w:sz w:val="20"/>
                <w:szCs w:val="20"/>
              </w:rPr>
              <w:t>DOC. 6(4)</w:t>
            </w:r>
            <w:r w:rsidR="00035A13">
              <w:rPr>
                <w:rFonts w:cs="Arial"/>
                <w:sz w:val="20"/>
                <w:szCs w:val="20"/>
              </w:rPr>
              <w:fldChar w:fldCharType="end"/>
            </w:r>
            <w:bookmarkEnd w:id="2"/>
          </w:p>
          <w:p w:rsidR="00EB3A20" w:rsidRPr="00740A2A" w:rsidRDefault="001970F6" w:rsidP="00E57046">
            <w:pPr>
              <w:rPr>
                <w:rFonts w:cs="Arial"/>
                <w:sz w:val="20"/>
                <w:szCs w:val="20"/>
                <w:lang w:val="en-US"/>
              </w:rPr>
            </w:pPr>
            <w:r w:rsidRPr="00D515C5">
              <w:rPr>
                <w:rFonts w:cs="Arial"/>
                <w:sz w:val="20"/>
                <w:szCs w:val="20"/>
                <w:lang w:val="en-US"/>
              </w:rPr>
              <w:t xml:space="preserve"> </w:t>
            </w:r>
            <w:r w:rsidR="00EB3A20" w:rsidRPr="00740A2A">
              <w:rPr>
                <w:rFonts w:cs="Arial"/>
                <w:sz w:val="20"/>
                <w:szCs w:val="20"/>
                <w:lang w:val="en-US"/>
              </w:rPr>
              <w:t>(</w:t>
            </w:r>
            <w:r w:rsidR="00E57046" w:rsidRPr="007C72FA">
              <w:rPr>
                <w:rFonts w:cs="Arial"/>
                <w:sz w:val="20"/>
                <w:szCs w:val="20"/>
                <w:lang w:val="fr-FR"/>
              </w:rPr>
              <w:fldChar w:fldCharType="begin"/>
            </w:r>
            <w:r w:rsidR="00E57046" w:rsidRPr="007C72FA">
              <w:rPr>
                <w:rFonts w:cs="Arial"/>
                <w:sz w:val="20"/>
                <w:szCs w:val="20"/>
                <w:lang w:val="fr-FR"/>
              </w:rPr>
              <w:instrText xml:space="preserve"> TIME \@ "dd.MM.yyyy" </w:instrText>
            </w:r>
            <w:r w:rsidR="00E57046" w:rsidRPr="007C72FA">
              <w:rPr>
                <w:rFonts w:cs="Arial"/>
                <w:sz w:val="20"/>
                <w:szCs w:val="20"/>
                <w:lang w:val="fr-FR"/>
              </w:rPr>
              <w:fldChar w:fldCharType="separate"/>
            </w:r>
            <w:r w:rsidR="00134164">
              <w:rPr>
                <w:rFonts w:cs="Arial"/>
                <w:noProof/>
                <w:sz w:val="20"/>
                <w:szCs w:val="20"/>
                <w:lang w:val="fr-FR"/>
              </w:rPr>
              <w:t>27.01.2015</w:t>
            </w:r>
            <w:r w:rsidR="00E57046" w:rsidRPr="007C72FA">
              <w:rPr>
                <w:rFonts w:cs="Arial"/>
                <w:sz w:val="20"/>
                <w:szCs w:val="20"/>
                <w:lang w:val="fr-FR"/>
              </w:rPr>
              <w:fldChar w:fldCharType="end"/>
            </w:r>
            <w:r w:rsidR="00EB3A20" w:rsidRPr="00740A2A">
              <w:rPr>
                <w:rFonts w:cs="Arial"/>
                <w:sz w:val="20"/>
                <w:szCs w:val="20"/>
                <w:lang w:val="en-US"/>
              </w:rPr>
              <w:t>)</w:t>
            </w:r>
          </w:p>
          <w:p w:rsidR="00EB3A20" w:rsidRPr="007C72FA" w:rsidRDefault="008A303A" w:rsidP="008A303A">
            <w:pPr>
              <w:rPr>
                <w:rFonts w:cs="Arial"/>
                <w:sz w:val="20"/>
                <w:szCs w:val="20"/>
                <w:lang w:val="en-US"/>
              </w:rPr>
            </w:pPr>
            <w:r w:rsidRPr="00740A2A">
              <w:rPr>
                <w:rFonts w:cs="Arial"/>
                <w:sz w:val="20"/>
                <w:szCs w:val="20"/>
                <w:lang w:val="en-US"/>
              </w:rPr>
              <w:t xml:space="preserve">   </w:t>
            </w:r>
            <w:r w:rsidR="001970F6" w:rsidRPr="00740A2A">
              <w:rPr>
                <w:rFonts w:cs="Arial"/>
                <w:sz w:val="20"/>
                <w:szCs w:val="20"/>
                <w:lang w:val="en-US"/>
              </w:rPr>
              <w:t xml:space="preserve"> </w:t>
            </w:r>
            <w:r w:rsidR="00EB3A20" w:rsidRPr="007C72FA">
              <w:rPr>
                <w:rFonts w:cs="Arial"/>
                <w:sz w:val="20"/>
                <w:szCs w:val="20"/>
                <w:lang w:val="en-US"/>
              </w:rPr>
              <w:t>_______</w:t>
            </w:r>
          </w:p>
          <w:p w:rsidR="00EB3A20" w:rsidRPr="007C72FA" w:rsidRDefault="00EB3A20">
            <w:pPr>
              <w:rPr>
                <w:rFonts w:cs="Arial"/>
                <w:sz w:val="20"/>
                <w:szCs w:val="20"/>
                <w:lang w:val="en-US"/>
              </w:rPr>
            </w:pPr>
          </w:p>
          <w:p w:rsidR="00EB3A20" w:rsidRPr="007C72FA" w:rsidRDefault="00EB3A20" w:rsidP="00B62F97">
            <w:pPr>
              <w:rPr>
                <w:rFonts w:cs="Arial"/>
                <w:sz w:val="20"/>
                <w:szCs w:val="20"/>
                <w:lang w:val="en-US"/>
              </w:rPr>
            </w:pPr>
          </w:p>
          <w:p w:rsidR="00EB3A20" w:rsidRPr="007C72FA" w:rsidRDefault="00EB3A20">
            <w:pPr>
              <w:rPr>
                <w:rFonts w:cs="Arial"/>
                <w:sz w:val="20"/>
                <w:szCs w:val="20"/>
                <w:lang w:val="en-US"/>
              </w:rPr>
            </w:pPr>
          </w:p>
          <w:p w:rsidR="008A303A" w:rsidRPr="007C72FA" w:rsidRDefault="008A303A">
            <w:pPr>
              <w:rPr>
                <w:rFonts w:cs="Arial"/>
                <w:sz w:val="20"/>
                <w:szCs w:val="20"/>
                <w:lang w:val="en-US"/>
              </w:rPr>
            </w:pPr>
          </w:p>
          <w:p w:rsidR="00EB3A20" w:rsidRPr="007C72FA" w:rsidRDefault="00EB3A20">
            <w:pPr>
              <w:rPr>
                <w:rFonts w:cs="Arial"/>
                <w:sz w:val="20"/>
                <w:szCs w:val="20"/>
                <w:lang w:val="en-US"/>
              </w:rPr>
            </w:pPr>
            <w:r w:rsidRPr="007C72FA">
              <w:rPr>
                <w:rFonts w:cs="Arial"/>
                <w:sz w:val="20"/>
                <w:szCs w:val="20"/>
                <w:lang w:val="en-US"/>
              </w:rPr>
              <w:t>Original:  ENGLISH</w:t>
            </w:r>
          </w:p>
          <w:p w:rsidR="00EB3A20" w:rsidRPr="007C72FA" w:rsidRDefault="00EB3A20">
            <w:pPr>
              <w:rPr>
                <w:rFonts w:cs="Arial"/>
                <w:sz w:val="20"/>
                <w:szCs w:val="20"/>
                <w:lang w:val="en-US"/>
              </w:rPr>
            </w:pPr>
          </w:p>
        </w:tc>
      </w:tr>
    </w:tbl>
    <w:p w:rsidR="00EB3A20" w:rsidRPr="007C72FA" w:rsidRDefault="00EB3A20">
      <w:pPr>
        <w:jc w:val="both"/>
        <w:rPr>
          <w:rFonts w:cs="Arial"/>
          <w:lang w:val="en-US"/>
        </w:rPr>
      </w:pPr>
    </w:p>
    <w:p w:rsidR="00EB3A20" w:rsidRPr="007C72FA" w:rsidRDefault="00EB3A20">
      <w:pPr>
        <w:jc w:val="both"/>
        <w:rPr>
          <w:rFonts w:cs="Arial"/>
          <w:lang w:val="en-US"/>
        </w:rPr>
      </w:pPr>
    </w:p>
    <w:p w:rsidR="00537AB6" w:rsidRDefault="00537AB6" w:rsidP="00537AB6">
      <w:pPr>
        <w:jc w:val="both"/>
        <w:rPr>
          <w:lang w:val="en-US"/>
        </w:rPr>
      </w:pPr>
    </w:p>
    <w:p w:rsidR="00035A13" w:rsidRPr="00035A13" w:rsidRDefault="00035A13" w:rsidP="00035A13">
      <w:pPr>
        <w:pStyle w:val="BodyText"/>
        <w:jc w:val="center"/>
        <w:rPr>
          <w:rFonts w:cs="Arial"/>
          <w:b/>
          <w:bCs/>
          <w:caps/>
          <w:szCs w:val="22"/>
        </w:rPr>
      </w:pPr>
      <w:r w:rsidRPr="00035A13">
        <w:rPr>
          <w:rFonts w:cs="Arial"/>
          <w:b/>
          <w:bCs/>
          <w:caps/>
          <w:szCs w:val="22"/>
        </w:rPr>
        <w:t>GLOBAL ATMOSPHERE WATCH PROGRAMME:</w:t>
      </w:r>
    </w:p>
    <w:p w:rsidR="00537AB6" w:rsidRPr="00FB5BF3" w:rsidRDefault="00035A13" w:rsidP="00035A13">
      <w:pPr>
        <w:pStyle w:val="BodyText"/>
        <w:spacing w:after="0"/>
        <w:jc w:val="center"/>
        <w:rPr>
          <w:rFonts w:cs="Arial"/>
          <w:bCs/>
          <w:iCs/>
        </w:rPr>
      </w:pPr>
      <w:r w:rsidRPr="00035A13">
        <w:rPr>
          <w:rFonts w:cs="Arial"/>
          <w:b/>
          <w:bCs/>
          <w:caps/>
          <w:szCs w:val="22"/>
        </w:rPr>
        <w:t>NETWORK DESIGN PRINCIPLES</w:t>
      </w:r>
    </w:p>
    <w:p w:rsidR="00035A13" w:rsidRDefault="00035A13" w:rsidP="00537AB6">
      <w:pPr>
        <w:jc w:val="center"/>
        <w:rPr>
          <w:rFonts w:cs="Arial"/>
          <w:i/>
          <w:iCs/>
          <w:szCs w:val="22"/>
        </w:rPr>
      </w:pPr>
    </w:p>
    <w:p w:rsidR="00537AB6" w:rsidRPr="00E57046" w:rsidRDefault="00537AB6" w:rsidP="00537AB6">
      <w:pPr>
        <w:jc w:val="center"/>
        <w:rPr>
          <w:rFonts w:cs="Arial"/>
          <w:i/>
          <w:iCs/>
          <w:szCs w:val="22"/>
        </w:rPr>
      </w:pPr>
      <w:r w:rsidRPr="00E57046">
        <w:rPr>
          <w:rFonts w:cs="Arial"/>
          <w:i/>
          <w:iCs/>
          <w:szCs w:val="22"/>
        </w:rPr>
        <w:t xml:space="preserve">(Submitted by </w:t>
      </w:r>
      <w:bookmarkStart w:id="3" w:name="Submitted_by"/>
      <w:r>
        <w:rPr>
          <w:rFonts w:cs="Arial"/>
          <w:i/>
          <w:iCs/>
          <w:szCs w:val="22"/>
        </w:rPr>
        <w:fldChar w:fldCharType="begin">
          <w:ffData>
            <w:name w:val="Submitted_by"/>
            <w:enabled/>
            <w:calcOnExit w:val="0"/>
            <w:textInput>
              <w:default w:val="the Secretariat"/>
            </w:textInput>
          </w:ffData>
        </w:fldChar>
      </w:r>
      <w:r>
        <w:rPr>
          <w:rFonts w:cs="Arial"/>
          <w:i/>
          <w:iCs/>
          <w:szCs w:val="22"/>
        </w:rPr>
        <w:instrText xml:space="preserve"> FORMTEXT </w:instrText>
      </w:r>
      <w:r w:rsidRPr="00AA79A1">
        <w:rPr>
          <w:rFonts w:cs="Arial"/>
          <w:i/>
          <w:iCs/>
          <w:szCs w:val="22"/>
        </w:rPr>
      </w:r>
      <w:r>
        <w:rPr>
          <w:rFonts w:cs="Arial"/>
          <w:i/>
          <w:iCs/>
          <w:szCs w:val="22"/>
        </w:rPr>
        <w:fldChar w:fldCharType="separate"/>
      </w:r>
      <w:r>
        <w:rPr>
          <w:rFonts w:cs="Arial"/>
          <w:i/>
          <w:iCs/>
          <w:noProof/>
          <w:szCs w:val="22"/>
        </w:rPr>
        <w:t>the Secretariat</w:t>
      </w:r>
      <w:r>
        <w:rPr>
          <w:rFonts w:cs="Arial"/>
          <w:i/>
          <w:iCs/>
          <w:szCs w:val="22"/>
        </w:rPr>
        <w:fldChar w:fldCharType="end"/>
      </w:r>
      <w:bookmarkEnd w:id="3"/>
      <w:r w:rsidRPr="00E57046">
        <w:rPr>
          <w:rFonts w:cs="Arial"/>
          <w:i/>
          <w:iCs/>
          <w:szCs w:val="22"/>
        </w:rPr>
        <w:t>)</w:t>
      </w: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537AB6" w:rsidTr="002072BA">
        <w:tblPrEx>
          <w:tblCellMar>
            <w:top w:w="0" w:type="dxa"/>
            <w:bottom w:w="0" w:type="dxa"/>
          </w:tblCellMar>
        </w:tblPrEx>
        <w:trPr>
          <w:jc w:val="center"/>
        </w:trPr>
        <w:tc>
          <w:tcPr>
            <w:tcW w:w="7947" w:type="dxa"/>
          </w:tcPr>
          <w:p w:rsidR="00537AB6" w:rsidRDefault="00537AB6" w:rsidP="002072BA">
            <w:pPr>
              <w:suppressAutoHyphens/>
              <w:jc w:val="both"/>
              <w:rPr>
                <w:rFonts w:cs="Arial"/>
                <w:szCs w:val="22"/>
              </w:rPr>
            </w:pPr>
          </w:p>
          <w:p w:rsidR="00537AB6" w:rsidRDefault="00537AB6" w:rsidP="002072BA">
            <w:pPr>
              <w:suppressAutoHyphens/>
              <w:jc w:val="center"/>
              <w:rPr>
                <w:rFonts w:cs="Arial"/>
                <w:b/>
                <w:szCs w:val="22"/>
              </w:rPr>
            </w:pPr>
            <w:r>
              <w:rPr>
                <w:rFonts w:cs="Arial"/>
                <w:b/>
                <w:szCs w:val="22"/>
              </w:rPr>
              <w:t>SUMMARY AND PURPOSE OF DOCUMENT</w:t>
            </w:r>
          </w:p>
          <w:p w:rsidR="00537AB6" w:rsidRPr="00B90D2B" w:rsidRDefault="00537AB6" w:rsidP="002072BA">
            <w:pPr>
              <w:suppressAutoHyphens/>
              <w:rPr>
                <w:rFonts w:cs="Arial"/>
                <w:szCs w:val="22"/>
              </w:rPr>
            </w:pPr>
          </w:p>
          <w:p w:rsidR="00537AB6" w:rsidRDefault="00537AB6" w:rsidP="002072BA">
            <w:pPr>
              <w:jc w:val="both"/>
              <w:rPr>
                <w:rFonts w:cs="Arial"/>
                <w:szCs w:val="22"/>
                <w:lang w:val="en-US"/>
              </w:rPr>
            </w:pPr>
            <w:r>
              <w:rPr>
                <w:rFonts w:cs="Arial"/>
                <w:szCs w:val="22"/>
                <w:lang w:val="en-US"/>
              </w:rPr>
              <w:t xml:space="preserve">The document </w:t>
            </w:r>
            <w:r w:rsidR="00035A13">
              <w:rPr>
                <w:rFonts w:cs="Arial"/>
                <w:szCs w:val="22"/>
                <w:lang w:val="en-US"/>
              </w:rPr>
              <w:t xml:space="preserve">describes major principles for establishment and evolution of the Global Atmosphere Watch </w:t>
            </w:r>
            <w:r w:rsidR="00D97603">
              <w:rPr>
                <w:rFonts w:cs="Arial"/>
                <w:szCs w:val="22"/>
                <w:lang w:val="en-US"/>
              </w:rPr>
              <w:t xml:space="preserve">(GAW) </w:t>
            </w:r>
            <w:r w:rsidR="00035A13">
              <w:rPr>
                <w:rFonts w:cs="Arial"/>
                <w:szCs w:val="22"/>
                <w:lang w:val="en-US"/>
              </w:rPr>
              <w:t xml:space="preserve">observational network. </w:t>
            </w:r>
          </w:p>
          <w:p w:rsidR="00537AB6" w:rsidRPr="00D97603" w:rsidRDefault="00537AB6" w:rsidP="002072BA">
            <w:pPr>
              <w:rPr>
                <w:rFonts w:cs="Arial"/>
                <w:spacing w:val="-2"/>
                <w:szCs w:val="22"/>
                <w:lang w:val="en-US"/>
              </w:rPr>
            </w:pPr>
          </w:p>
        </w:tc>
      </w:tr>
    </w:tbl>
    <w:p w:rsidR="00537AB6" w:rsidRDefault="00537AB6" w:rsidP="00537AB6">
      <w:pPr>
        <w:suppressAutoHyphens/>
        <w:rPr>
          <w:rFonts w:cs="Arial"/>
          <w:szCs w:val="22"/>
        </w:rPr>
      </w:pP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rPr>
          <w:rFonts w:cs="Arial"/>
          <w:szCs w:val="22"/>
        </w:rPr>
      </w:pPr>
    </w:p>
    <w:p w:rsidR="00537AB6" w:rsidRDefault="00537AB6" w:rsidP="00537AB6">
      <w:pPr>
        <w:jc w:val="center"/>
        <w:rPr>
          <w:rFonts w:cs="Arial"/>
          <w:b/>
          <w:bCs/>
          <w:szCs w:val="22"/>
        </w:rPr>
      </w:pPr>
      <w:r>
        <w:rPr>
          <w:rFonts w:cs="Arial"/>
          <w:b/>
          <w:bCs/>
          <w:szCs w:val="22"/>
        </w:rPr>
        <w:t>ACTION PROPOSED</w:t>
      </w:r>
    </w:p>
    <w:p w:rsidR="00537AB6" w:rsidRDefault="00537AB6" w:rsidP="00537AB6">
      <w:pPr>
        <w:rPr>
          <w:rFonts w:cs="Arial"/>
          <w:szCs w:val="22"/>
        </w:rPr>
      </w:pPr>
    </w:p>
    <w:p w:rsidR="00537AB6" w:rsidRDefault="00537AB6" w:rsidP="00537AB6">
      <w:pPr>
        <w:pStyle w:val="BlockText"/>
        <w:tabs>
          <w:tab w:val="left" w:pos="840"/>
        </w:tabs>
        <w:ind w:left="0" w:right="278"/>
      </w:pPr>
      <w:r>
        <w:tab/>
      </w:r>
      <w:r w:rsidR="00035A13">
        <w:t xml:space="preserve">Meeting participants are invited to take GAW principles into consideration while developing general Observing System Network Design principles for WIGOS. </w:t>
      </w:r>
    </w:p>
    <w:p w:rsidR="00537AB6" w:rsidRDefault="00537AB6" w:rsidP="00537AB6">
      <w:pPr>
        <w:pStyle w:val="BlockText"/>
        <w:ind w:left="0"/>
        <w:jc w:val="left"/>
      </w:pPr>
    </w:p>
    <w:p w:rsidR="00537AB6" w:rsidRDefault="00537AB6" w:rsidP="00537AB6">
      <w:pPr>
        <w:pStyle w:val="BlockText"/>
        <w:ind w:left="0"/>
        <w:jc w:val="left"/>
      </w:pPr>
    </w:p>
    <w:p w:rsidR="00537AB6" w:rsidRDefault="00537AB6" w:rsidP="00537AB6">
      <w:pPr>
        <w:pStyle w:val="BlockText"/>
        <w:ind w:left="0"/>
        <w:jc w:val="left"/>
      </w:pPr>
    </w:p>
    <w:p w:rsidR="00537AB6" w:rsidRDefault="00537AB6" w:rsidP="00537AB6">
      <w:pPr>
        <w:pStyle w:val="BlockText"/>
        <w:ind w:left="0"/>
        <w:jc w:val="center"/>
      </w:pPr>
      <w:r>
        <w:t>____________</w:t>
      </w:r>
    </w:p>
    <w:p w:rsidR="00ED038C" w:rsidRDefault="00ED038C" w:rsidP="00537AB6">
      <w:pPr>
        <w:pStyle w:val="BlockText"/>
        <w:ind w:left="0"/>
        <w:jc w:val="left"/>
        <w:sectPr w:rsidR="00ED038C" w:rsidSect="00F73098">
          <w:headerReference w:type="first" r:id="rId8"/>
          <w:pgSz w:w="11906" w:h="16838" w:code="9"/>
          <w:pgMar w:top="1134" w:right="1134" w:bottom="1134" w:left="1134" w:header="709" w:footer="709" w:gutter="0"/>
          <w:cols w:space="708"/>
          <w:docGrid w:linePitch="360"/>
        </w:sectPr>
      </w:pPr>
    </w:p>
    <w:p w:rsidR="00035A13" w:rsidRDefault="00035A13" w:rsidP="00537AB6">
      <w:pPr>
        <w:jc w:val="center"/>
        <w:rPr>
          <w:rFonts w:cs="Arial"/>
          <w:b/>
          <w:szCs w:val="22"/>
        </w:rPr>
      </w:pPr>
      <w:r>
        <w:rPr>
          <w:rFonts w:cs="Arial"/>
          <w:b/>
          <w:szCs w:val="22"/>
        </w:rPr>
        <w:lastRenderedPageBreak/>
        <w:t>GLOBAL ATMOSPHERE WATCH PROGRAMME:</w:t>
      </w:r>
    </w:p>
    <w:p w:rsidR="00035A13" w:rsidRDefault="00035A13" w:rsidP="00537AB6">
      <w:pPr>
        <w:jc w:val="center"/>
        <w:rPr>
          <w:rFonts w:cs="Arial"/>
          <w:b/>
          <w:szCs w:val="22"/>
        </w:rPr>
      </w:pPr>
      <w:r>
        <w:rPr>
          <w:rFonts w:cs="Arial"/>
          <w:b/>
          <w:szCs w:val="22"/>
        </w:rPr>
        <w:t>NETWORK DESIGN PRINCIPLES</w:t>
      </w:r>
    </w:p>
    <w:p w:rsidR="00035A13" w:rsidRDefault="00035A13" w:rsidP="00035A13">
      <w:pPr>
        <w:jc w:val="both"/>
        <w:rPr>
          <w:rFonts w:cs="Arial"/>
          <w:b/>
          <w:szCs w:val="22"/>
        </w:rPr>
      </w:pPr>
    </w:p>
    <w:p w:rsidR="00035A13" w:rsidRDefault="00035A13" w:rsidP="00035A13">
      <w:pPr>
        <w:jc w:val="both"/>
        <w:rPr>
          <w:rFonts w:cs="Arial"/>
          <w:szCs w:val="22"/>
        </w:rPr>
      </w:pPr>
      <w:r w:rsidRPr="00035A13">
        <w:rPr>
          <w:rFonts w:cs="Arial"/>
          <w:szCs w:val="22"/>
        </w:rPr>
        <w:t xml:space="preserve">1. The Global Atmosphere Watch </w:t>
      </w:r>
      <w:r>
        <w:rPr>
          <w:rFonts w:cs="Arial"/>
          <w:szCs w:val="22"/>
        </w:rPr>
        <w:t xml:space="preserve">(GAW) </w:t>
      </w:r>
      <w:r w:rsidRPr="00035A13">
        <w:rPr>
          <w:rFonts w:cs="Arial"/>
          <w:szCs w:val="22"/>
        </w:rPr>
        <w:t xml:space="preserve">Programme </w:t>
      </w:r>
      <w:r>
        <w:rPr>
          <w:rFonts w:cs="Arial"/>
          <w:szCs w:val="22"/>
        </w:rPr>
        <w:t>is</w:t>
      </w:r>
      <w:r w:rsidRPr="00035A13">
        <w:rPr>
          <w:rFonts w:cs="Arial"/>
          <w:szCs w:val="22"/>
        </w:rPr>
        <w:t xml:space="preserve"> </w:t>
      </w:r>
      <w:r>
        <w:rPr>
          <w:rFonts w:cs="Arial"/>
          <w:szCs w:val="22"/>
        </w:rPr>
        <w:t>a WMO Programme that addresses atmospheric chemical composition and</w:t>
      </w:r>
      <w:r w:rsidRPr="00035A13">
        <w:t xml:space="preserve"> </w:t>
      </w:r>
      <w:r w:rsidRPr="00035A13">
        <w:rPr>
          <w:rFonts w:cs="Arial"/>
          <w:szCs w:val="22"/>
        </w:rPr>
        <w:t>related physical characteristics of the global atmosphere.</w:t>
      </w:r>
      <w:r>
        <w:rPr>
          <w:rFonts w:cs="Arial"/>
          <w:szCs w:val="22"/>
        </w:rPr>
        <w:t xml:space="preserve"> It consists of </w:t>
      </w:r>
      <w:r w:rsidR="00281E57">
        <w:rPr>
          <w:rFonts w:cs="Arial"/>
          <w:szCs w:val="22"/>
        </w:rPr>
        <w:t xml:space="preserve">a </w:t>
      </w:r>
      <w:r w:rsidRPr="00035A13">
        <w:rPr>
          <w:rFonts w:cs="Arial"/>
          <w:szCs w:val="22"/>
        </w:rPr>
        <w:t>coordinated system of networks of observing stations, methods, techniques, facilities and arrangements encompassing the many monitoring and related scientific assessment activities</w:t>
      </w:r>
      <w:r>
        <w:rPr>
          <w:rFonts w:cs="Arial"/>
          <w:szCs w:val="22"/>
        </w:rPr>
        <w:t xml:space="preserve">. </w:t>
      </w:r>
    </w:p>
    <w:p w:rsidR="00035A13" w:rsidRDefault="00035A13" w:rsidP="00035A13">
      <w:pPr>
        <w:jc w:val="both"/>
        <w:rPr>
          <w:rFonts w:cs="Arial"/>
          <w:szCs w:val="22"/>
        </w:rPr>
      </w:pPr>
    </w:p>
    <w:p w:rsidR="00035A13" w:rsidRDefault="00035A13" w:rsidP="00035A13">
      <w:pPr>
        <w:jc w:val="both"/>
        <w:rPr>
          <w:rFonts w:cs="Arial"/>
          <w:szCs w:val="22"/>
        </w:rPr>
      </w:pPr>
      <w:r>
        <w:rPr>
          <w:rFonts w:cs="Arial"/>
          <w:szCs w:val="22"/>
        </w:rPr>
        <w:t>2. GAW addresses six groups of variables,</w:t>
      </w:r>
      <w:r w:rsidR="00D97603">
        <w:rPr>
          <w:rFonts w:cs="Arial"/>
          <w:szCs w:val="22"/>
        </w:rPr>
        <w:t xml:space="preserve"> namely</w:t>
      </w:r>
      <w:r>
        <w:rPr>
          <w:rFonts w:cs="Arial"/>
          <w:szCs w:val="22"/>
        </w:rPr>
        <w:t xml:space="preserve"> s</w:t>
      </w:r>
      <w:r w:rsidRPr="00035A13">
        <w:rPr>
          <w:rFonts w:cs="Arial"/>
          <w:szCs w:val="22"/>
        </w:rPr>
        <w:t xml:space="preserve">tratospheric </w:t>
      </w:r>
      <w:r>
        <w:rPr>
          <w:rFonts w:cs="Arial"/>
          <w:szCs w:val="22"/>
        </w:rPr>
        <w:t>o</w:t>
      </w:r>
      <w:r w:rsidRPr="00035A13">
        <w:rPr>
          <w:rFonts w:cs="Arial"/>
          <w:szCs w:val="22"/>
        </w:rPr>
        <w:t>zone and vertical ozone distribution</w:t>
      </w:r>
      <w:r>
        <w:rPr>
          <w:rFonts w:cs="Arial"/>
          <w:szCs w:val="22"/>
        </w:rPr>
        <w:t>, g</w:t>
      </w:r>
      <w:r w:rsidRPr="00035A13">
        <w:rPr>
          <w:rFonts w:cs="Arial"/>
          <w:szCs w:val="22"/>
        </w:rPr>
        <w:t xml:space="preserve">reenhouse </w:t>
      </w:r>
      <w:r>
        <w:rPr>
          <w:rFonts w:cs="Arial"/>
          <w:szCs w:val="22"/>
        </w:rPr>
        <w:t>g</w:t>
      </w:r>
      <w:r w:rsidRPr="00035A13">
        <w:rPr>
          <w:rFonts w:cs="Arial"/>
          <w:szCs w:val="22"/>
        </w:rPr>
        <w:t>ases</w:t>
      </w:r>
      <w:r>
        <w:rPr>
          <w:rFonts w:cs="Arial"/>
          <w:szCs w:val="22"/>
        </w:rPr>
        <w:t>, r</w:t>
      </w:r>
      <w:r w:rsidRPr="00035A13">
        <w:rPr>
          <w:rFonts w:cs="Arial"/>
          <w:szCs w:val="22"/>
        </w:rPr>
        <w:t xml:space="preserve">eactive </w:t>
      </w:r>
      <w:r>
        <w:rPr>
          <w:rFonts w:cs="Arial"/>
          <w:szCs w:val="22"/>
        </w:rPr>
        <w:t>g</w:t>
      </w:r>
      <w:r w:rsidRPr="00035A13">
        <w:rPr>
          <w:rFonts w:cs="Arial"/>
          <w:szCs w:val="22"/>
        </w:rPr>
        <w:t>ases</w:t>
      </w:r>
      <w:r>
        <w:rPr>
          <w:rFonts w:cs="Arial"/>
          <w:szCs w:val="22"/>
        </w:rPr>
        <w:t>, p</w:t>
      </w:r>
      <w:r w:rsidRPr="00035A13">
        <w:rPr>
          <w:rFonts w:cs="Arial"/>
          <w:szCs w:val="22"/>
        </w:rPr>
        <w:t xml:space="preserve">recipitation </w:t>
      </w:r>
      <w:r>
        <w:rPr>
          <w:rFonts w:cs="Arial"/>
          <w:szCs w:val="22"/>
        </w:rPr>
        <w:t>c</w:t>
      </w:r>
      <w:r w:rsidRPr="00035A13">
        <w:rPr>
          <w:rFonts w:cs="Arial"/>
          <w:szCs w:val="22"/>
        </w:rPr>
        <w:t>hemistry</w:t>
      </w:r>
      <w:r>
        <w:rPr>
          <w:rFonts w:cs="Arial"/>
          <w:szCs w:val="22"/>
        </w:rPr>
        <w:t>, a</w:t>
      </w:r>
      <w:r w:rsidRPr="00035A13">
        <w:rPr>
          <w:rFonts w:cs="Arial"/>
          <w:szCs w:val="22"/>
        </w:rPr>
        <w:t>erosols (chemical and physical properties)</w:t>
      </w:r>
      <w:r>
        <w:rPr>
          <w:rFonts w:cs="Arial"/>
          <w:szCs w:val="22"/>
        </w:rPr>
        <w:t xml:space="preserve"> and </w:t>
      </w:r>
      <w:r w:rsidRPr="00035A13">
        <w:rPr>
          <w:rFonts w:cs="Arial"/>
          <w:szCs w:val="22"/>
        </w:rPr>
        <w:t>UV Radiation</w:t>
      </w:r>
      <w:r>
        <w:rPr>
          <w:rFonts w:cs="Arial"/>
          <w:szCs w:val="22"/>
        </w:rPr>
        <w:t>. The variable</w:t>
      </w:r>
      <w:r w:rsidR="00D97603">
        <w:rPr>
          <w:rFonts w:cs="Arial"/>
          <w:szCs w:val="22"/>
        </w:rPr>
        <w:t>s</w:t>
      </w:r>
      <w:r>
        <w:rPr>
          <w:rFonts w:cs="Arial"/>
          <w:szCs w:val="22"/>
        </w:rPr>
        <w:t xml:space="preserve"> were included in the programme during different </w:t>
      </w:r>
      <w:r w:rsidR="00D97603">
        <w:rPr>
          <w:rFonts w:cs="Arial"/>
          <w:szCs w:val="22"/>
        </w:rPr>
        <w:t>periods</w:t>
      </w:r>
      <w:r>
        <w:rPr>
          <w:rFonts w:cs="Arial"/>
          <w:szCs w:val="22"/>
        </w:rPr>
        <w:t xml:space="preserve"> to address the environmental issues related to those variables. Hence, the maturity of supporting observational network </w:t>
      </w:r>
      <w:r w:rsidR="00D97603">
        <w:rPr>
          <w:rFonts w:cs="Arial"/>
          <w:szCs w:val="22"/>
        </w:rPr>
        <w:t xml:space="preserve">and the spatial coverage for </w:t>
      </w:r>
      <w:r w:rsidR="00281E57">
        <w:rPr>
          <w:rFonts w:cs="Arial"/>
          <w:szCs w:val="22"/>
        </w:rPr>
        <w:t xml:space="preserve">the </w:t>
      </w:r>
      <w:r w:rsidR="00D97603">
        <w:rPr>
          <w:rFonts w:cs="Arial"/>
          <w:szCs w:val="22"/>
        </w:rPr>
        <w:t xml:space="preserve">different </w:t>
      </w:r>
      <w:r>
        <w:rPr>
          <w:rFonts w:cs="Arial"/>
          <w:szCs w:val="22"/>
        </w:rPr>
        <w:t xml:space="preserve">variables </w:t>
      </w:r>
      <w:r w:rsidR="00281E57">
        <w:rPr>
          <w:rFonts w:cs="Arial"/>
          <w:szCs w:val="22"/>
        </w:rPr>
        <w:t xml:space="preserve">vary. </w:t>
      </w:r>
    </w:p>
    <w:p w:rsidR="00035A13" w:rsidRDefault="00035A13" w:rsidP="00035A13">
      <w:pPr>
        <w:jc w:val="both"/>
        <w:rPr>
          <w:rFonts w:cs="Arial"/>
          <w:szCs w:val="22"/>
        </w:rPr>
      </w:pPr>
    </w:p>
    <w:p w:rsidR="00035A13" w:rsidRDefault="00035A13" w:rsidP="00CE0B6D">
      <w:pPr>
        <w:jc w:val="both"/>
        <w:rPr>
          <w:rFonts w:cs="Arial"/>
          <w:szCs w:val="22"/>
        </w:rPr>
      </w:pPr>
      <w:r>
        <w:rPr>
          <w:rFonts w:cs="Arial"/>
          <w:szCs w:val="22"/>
        </w:rPr>
        <w:t xml:space="preserve">3. The Global Climate Observing System </w:t>
      </w:r>
      <w:r w:rsidR="00281E57">
        <w:rPr>
          <w:rFonts w:cs="Arial"/>
          <w:szCs w:val="22"/>
        </w:rPr>
        <w:t xml:space="preserve">(GCOS) </w:t>
      </w:r>
      <w:r w:rsidR="00CE0B6D">
        <w:rPr>
          <w:rFonts w:cs="Arial"/>
          <w:szCs w:val="22"/>
        </w:rPr>
        <w:t xml:space="preserve">defined 50 </w:t>
      </w:r>
      <w:r w:rsidRPr="00035A13">
        <w:rPr>
          <w:rFonts w:cs="Arial"/>
          <w:szCs w:val="22"/>
        </w:rPr>
        <w:t>Essential Climate Variables (ECVs)</w:t>
      </w:r>
      <w:r w:rsidR="00CE0B6D">
        <w:rPr>
          <w:rFonts w:cs="Arial"/>
          <w:szCs w:val="22"/>
        </w:rPr>
        <w:t xml:space="preserve"> required </w:t>
      </w:r>
      <w:r w:rsidRPr="00035A13">
        <w:rPr>
          <w:rFonts w:cs="Arial"/>
          <w:szCs w:val="22"/>
        </w:rPr>
        <w:t xml:space="preserve">to support the work of the UNFCCC and the IPCC. </w:t>
      </w:r>
      <w:r w:rsidR="00CE0B6D">
        <w:rPr>
          <w:rFonts w:cs="Arial"/>
          <w:szCs w:val="22"/>
        </w:rPr>
        <w:t>Several GAW observing networks are recognized by GCOS for atmospheric composition ECVs</w:t>
      </w:r>
      <w:r w:rsidR="00FF63A4">
        <w:rPr>
          <w:rFonts w:cs="Arial"/>
          <w:szCs w:val="22"/>
        </w:rPr>
        <w:t xml:space="preserve"> and </w:t>
      </w:r>
      <w:r w:rsidR="008412CC">
        <w:rPr>
          <w:rFonts w:cs="Arial"/>
          <w:szCs w:val="22"/>
        </w:rPr>
        <w:t>follow</w:t>
      </w:r>
      <w:r w:rsidR="00FF63A4">
        <w:rPr>
          <w:rFonts w:cs="Arial"/>
          <w:szCs w:val="22"/>
        </w:rPr>
        <w:t xml:space="preserve"> GCOS observational principles</w:t>
      </w:r>
      <w:r w:rsidR="00CE0B6D">
        <w:rPr>
          <w:rFonts w:cs="Arial"/>
          <w:szCs w:val="22"/>
        </w:rPr>
        <w:t>.</w:t>
      </w:r>
    </w:p>
    <w:p w:rsidR="00CE0B6D" w:rsidRDefault="00CE0B6D" w:rsidP="00CE0B6D">
      <w:pPr>
        <w:jc w:val="both"/>
        <w:rPr>
          <w:rFonts w:cs="Arial"/>
          <w:szCs w:val="22"/>
        </w:rPr>
      </w:pPr>
    </w:p>
    <w:p w:rsidR="00FF63A4" w:rsidRDefault="00CE0B6D" w:rsidP="00CE0B6D">
      <w:pPr>
        <w:jc w:val="both"/>
        <w:rPr>
          <w:rFonts w:cs="Arial"/>
          <w:szCs w:val="22"/>
        </w:rPr>
      </w:pPr>
      <w:r>
        <w:rPr>
          <w:rFonts w:cs="Arial"/>
          <w:szCs w:val="22"/>
        </w:rPr>
        <w:t>4. GAW observational network</w:t>
      </w:r>
      <w:r w:rsidRPr="00CE0B6D">
        <w:t xml:space="preserve"> </w:t>
      </w:r>
      <w:r>
        <w:t xml:space="preserve">consists of GAW </w:t>
      </w:r>
      <w:r w:rsidRPr="00CE0B6D">
        <w:rPr>
          <w:rFonts w:cs="Arial"/>
          <w:szCs w:val="22"/>
        </w:rPr>
        <w:t>Global and Regional stations and stations working within contributing networks.</w:t>
      </w:r>
      <w:r>
        <w:rPr>
          <w:rFonts w:cs="Arial"/>
          <w:szCs w:val="22"/>
        </w:rPr>
        <w:t xml:space="preserve"> Information about stations is recorded in the GAW Station Information System (GAWSIS) operated by MeteoSwiss. GAWSIS is to be linked with </w:t>
      </w:r>
      <w:r w:rsidR="00281E57">
        <w:rPr>
          <w:rFonts w:cs="Arial"/>
          <w:szCs w:val="22"/>
        </w:rPr>
        <w:t xml:space="preserve">the </w:t>
      </w:r>
      <w:r>
        <w:rPr>
          <w:rFonts w:cs="Arial"/>
          <w:szCs w:val="22"/>
        </w:rPr>
        <w:t xml:space="preserve">OSCAR database </w:t>
      </w:r>
      <w:r w:rsidR="00281E57">
        <w:rPr>
          <w:rFonts w:cs="Arial"/>
          <w:szCs w:val="22"/>
        </w:rPr>
        <w:t>to provide information related to the GAW</w:t>
      </w:r>
      <w:r w:rsidRPr="008412CC">
        <w:rPr>
          <w:rFonts w:cs="Arial"/>
          <w:szCs w:val="22"/>
        </w:rPr>
        <w:t xml:space="preserve"> observational capacity.</w:t>
      </w:r>
      <w:r w:rsidR="007165AF">
        <w:rPr>
          <w:rFonts w:cs="Arial"/>
          <w:szCs w:val="22"/>
        </w:rPr>
        <w:t xml:space="preserve"> </w:t>
      </w:r>
    </w:p>
    <w:p w:rsidR="00FF63A4" w:rsidRDefault="00FF63A4" w:rsidP="00CE0B6D">
      <w:pPr>
        <w:jc w:val="both"/>
        <w:rPr>
          <w:rFonts w:cs="Arial"/>
          <w:szCs w:val="22"/>
        </w:rPr>
      </w:pPr>
    </w:p>
    <w:p w:rsidR="00FF63A4" w:rsidRDefault="00FF63A4" w:rsidP="00CE0B6D">
      <w:pPr>
        <w:jc w:val="both"/>
        <w:rPr>
          <w:rFonts w:cs="Arial"/>
          <w:szCs w:val="22"/>
        </w:rPr>
      </w:pPr>
      <w:r>
        <w:rPr>
          <w:rFonts w:cs="Arial"/>
          <w:szCs w:val="22"/>
        </w:rPr>
        <w:t xml:space="preserve">5. GAW Global and Regional stations are accepted in the programme after consideration of their application by respective Scientific Advisory Groups or </w:t>
      </w:r>
      <w:r w:rsidR="00281E57">
        <w:rPr>
          <w:rFonts w:cs="Arial"/>
          <w:szCs w:val="22"/>
        </w:rPr>
        <w:t>Environmental Pollution and Atmospheric Chemistry (</w:t>
      </w:r>
      <w:r>
        <w:rPr>
          <w:rFonts w:cs="Arial"/>
          <w:szCs w:val="22"/>
        </w:rPr>
        <w:t>EPAC</w:t>
      </w:r>
      <w:r w:rsidR="00281E57">
        <w:rPr>
          <w:rFonts w:cs="Arial"/>
          <w:szCs w:val="22"/>
        </w:rPr>
        <w:t>)</w:t>
      </w:r>
      <w:r>
        <w:rPr>
          <w:rFonts w:cs="Arial"/>
          <w:szCs w:val="22"/>
        </w:rPr>
        <w:t xml:space="preserve"> Scientific Steering </w:t>
      </w:r>
      <w:r w:rsidR="007165AF">
        <w:rPr>
          <w:rFonts w:cs="Arial"/>
          <w:szCs w:val="22"/>
        </w:rPr>
        <w:t>Committee</w:t>
      </w:r>
      <w:r w:rsidR="00281E57">
        <w:rPr>
          <w:rFonts w:cs="Arial"/>
          <w:szCs w:val="22"/>
        </w:rPr>
        <w:t xml:space="preserve"> of the Commission for Atmospheric Sciences (CAS)</w:t>
      </w:r>
      <w:r>
        <w:rPr>
          <w:rFonts w:cs="Arial"/>
          <w:szCs w:val="22"/>
        </w:rPr>
        <w:t xml:space="preserve">. </w:t>
      </w:r>
      <w:r w:rsidR="00281E57">
        <w:rPr>
          <w:rFonts w:cs="Arial"/>
          <w:szCs w:val="22"/>
        </w:rPr>
        <w:t>The r</w:t>
      </w:r>
      <w:r w:rsidR="007165AF">
        <w:rPr>
          <w:rFonts w:cs="Arial"/>
          <w:szCs w:val="22"/>
        </w:rPr>
        <w:t xml:space="preserve">equirements to GAW Regional and Global stations are given in Annex A. Contributing networks are evaluated </w:t>
      </w:r>
      <w:r w:rsidR="008412CC">
        <w:rPr>
          <w:rFonts w:cs="Arial"/>
          <w:szCs w:val="22"/>
        </w:rPr>
        <w:t xml:space="preserve">by </w:t>
      </w:r>
      <w:r w:rsidR="00281E57">
        <w:rPr>
          <w:rFonts w:cs="Arial"/>
          <w:szCs w:val="22"/>
        </w:rPr>
        <w:t xml:space="preserve">relevant groups </w:t>
      </w:r>
      <w:r w:rsidR="007165AF" w:rsidRPr="008412CC">
        <w:rPr>
          <w:rFonts w:cs="Arial"/>
          <w:szCs w:val="22"/>
        </w:rPr>
        <w:t xml:space="preserve">as </w:t>
      </w:r>
      <w:r w:rsidR="00281E57" w:rsidRPr="008412CC">
        <w:rPr>
          <w:rFonts w:cs="Arial"/>
          <w:szCs w:val="22"/>
        </w:rPr>
        <w:t xml:space="preserve">individual </w:t>
      </w:r>
      <w:r w:rsidR="007165AF" w:rsidRPr="008412CC">
        <w:rPr>
          <w:rFonts w:cs="Arial"/>
          <w:szCs w:val="22"/>
        </w:rPr>
        <w:t xml:space="preserve"> entit</w:t>
      </w:r>
      <w:r w:rsidR="00281E57" w:rsidRPr="008412CC">
        <w:rPr>
          <w:rFonts w:cs="Arial"/>
          <w:szCs w:val="22"/>
        </w:rPr>
        <w:t>ies</w:t>
      </w:r>
      <w:r w:rsidR="007165AF" w:rsidRPr="008412CC">
        <w:rPr>
          <w:rFonts w:cs="Arial"/>
          <w:szCs w:val="22"/>
        </w:rPr>
        <w:t xml:space="preserve"> </w:t>
      </w:r>
      <w:r w:rsidR="007165AF" w:rsidRPr="00281E57">
        <w:rPr>
          <w:rFonts w:cs="Arial"/>
          <w:szCs w:val="22"/>
        </w:rPr>
        <w:t>to</w:t>
      </w:r>
      <w:r w:rsidR="007165AF" w:rsidRPr="008412CC">
        <w:rPr>
          <w:rFonts w:cs="Arial"/>
          <w:szCs w:val="22"/>
        </w:rPr>
        <w:t xml:space="preserve"> GAW</w:t>
      </w:r>
      <w:r w:rsidR="007165AF">
        <w:rPr>
          <w:rFonts w:cs="Arial"/>
          <w:szCs w:val="22"/>
        </w:rPr>
        <w:t xml:space="preserve">. </w:t>
      </w:r>
      <w:r w:rsidR="00281E57">
        <w:rPr>
          <w:rFonts w:cs="Arial"/>
          <w:szCs w:val="22"/>
        </w:rPr>
        <w:t>A</w:t>
      </w:r>
      <w:r w:rsidR="007165AF">
        <w:rPr>
          <w:rFonts w:cs="Arial"/>
          <w:szCs w:val="22"/>
        </w:rPr>
        <w:t xml:space="preserve"> challenge </w:t>
      </w:r>
      <w:r w:rsidR="00281E57">
        <w:rPr>
          <w:rFonts w:cs="Arial"/>
          <w:szCs w:val="22"/>
        </w:rPr>
        <w:t xml:space="preserve">related to </w:t>
      </w:r>
      <w:r w:rsidR="007165AF">
        <w:rPr>
          <w:rFonts w:cs="Arial"/>
          <w:szCs w:val="22"/>
        </w:rPr>
        <w:t xml:space="preserve">contributing networks </w:t>
      </w:r>
      <w:r w:rsidR="00281E57">
        <w:rPr>
          <w:rFonts w:cs="Arial"/>
          <w:szCs w:val="22"/>
        </w:rPr>
        <w:t xml:space="preserve">is that they </w:t>
      </w:r>
      <w:r w:rsidR="007165AF">
        <w:rPr>
          <w:rFonts w:cs="Arial"/>
          <w:szCs w:val="22"/>
        </w:rPr>
        <w:t xml:space="preserve">are designed for specific purposes which are not always </w:t>
      </w:r>
      <w:r w:rsidR="00281E57">
        <w:rPr>
          <w:rFonts w:cs="Arial"/>
          <w:szCs w:val="22"/>
        </w:rPr>
        <w:t>completely aligned to the objectives of</w:t>
      </w:r>
      <w:r w:rsidR="007165AF">
        <w:rPr>
          <w:rFonts w:cs="Arial"/>
          <w:szCs w:val="22"/>
        </w:rPr>
        <w:t xml:space="preserve"> the GAW Programme. The networks are accepted in GAW if they have demonstrated traceability to the WMO/GAW standards, use measurement techniques comparable to the ones recommended by GAW and share their data openly (</w:t>
      </w:r>
      <w:r w:rsidR="00281E57">
        <w:rPr>
          <w:rFonts w:cs="Arial"/>
          <w:szCs w:val="22"/>
        </w:rPr>
        <w:t xml:space="preserve">including </w:t>
      </w:r>
      <w:r w:rsidR="007165AF">
        <w:rPr>
          <w:rFonts w:cs="Arial"/>
          <w:szCs w:val="22"/>
        </w:rPr>
        <w:t xml:space="preserve">through GAW mechanisms). Siting requirements </w:t>
      </w:r>
      <w:r w:rsidR="00281E57">
        <w:rPr>
          <w:rFonts w:cs="Arial"/>
          <w:szCs w:val="22"/>
        </w:rPr>
        <w:t xml:space="preserve">as for GAW also </w:t>
      </w:r>
      <w:r w:rsidR="007165AF">
        <w:rPr>
          <w:rFonts w:cs="Arial"/>
          <w:szCs w:val="22"/>
        </w:rPr>
        <w:t>apply to contributing stations</w:t>
      </w:r>
      <w:r w:rsidR="00281E57">
        <w:rPr>
          <w:rFonts w:cs="Arial"/>
          <w:szCs w:val="22"/>
        </w:rPr>
        <w:t>.</w:t>
      </w:r>
      <w:r w:rsidR="007165AF">
        <w:rPr>
          <w:rFonts w:cs="Arial"/>
          <w:szCs w:val="22"/>
        </w:rPr>
        <w:t xml:space="preserve"> </w:t>
      </w:r>
      <w:r w:rsidR="00281E57">
        <w:rPr>
          <w:rFonts w:cs="Arial"/>
          <w:szCs w:val="22"/>
        </w:rPr>
        <w:t>The i</w:t>
      </w:r>
      <w:r w:rsidR="007165AF">
        <w:rPr>
          <w:rFonts w:cs="Arial"/>
          <w:szCs w:val="22"/>
        </w:rPr>
        <w:t>nclusion of regional networks as contributing networks to GAW may cause spatial biases for some variables</w:t>
      </w:r>
      <w:r w:rsidR="00281E57">
        <w:rPr>
          <w:rFonts w:cs="Arial"/>
          <w:szCs w:val="22"/>
        </w:rPr>
        <w:t xml:space="preserve"> which must be accounted for.</w:t>
      </w:r>
    </w:p>
    <w:p w:rsidR="000C3900" w:rsidRDefault="000C3900" w:rsidP="000C3900">
      <w:pPr>
        <w:jc w:val="both"/>
        <w:rPr>
          <w:rFonts w:cs="Arial"/>
          <w:szCs w:val="22"/>
        </w:rPr>
      </w:pPr>
    </w:p>
    <w:p w:rsidR="000C3900" w:rsidRDefault="000C3900" w:rsidP="000C3900">
      <w:pPr>
        <w:jc w:val="both"/>
        <w:rPr>
          <w:rFonts w:cs="Arial"/>
          <w:szCs w:val="22"/>
        </w:rPr>
      </w:pPr>
      <w:r>
        <w:rPr>
          <w:rFonts w:cs="Arial"/>
          <w:szCs w:val="22"/>
        </w:rPr>
        <w:t xml:space="preserve">6. Through its evolution GAW mostly focused on issues of global scale, rather than on regional priorities. This is reflected in the general requirements to GAW stations formulated in the GAW Strategic Plan for the period 2008-2015 (GAW Report No.172). </w:t>
      </w:r>
      <w:r w:rsidR="00281E57">
        <w:rPr>
          <w:rFonts w:cs="Arial"/>
          <w:szCs w:val="22"/>
        </w:rPr>
        <w:t>A c</w:t>
      </w:r>
      <w:r>
        <w:rPr>
          <w:rFonts w:cs="Arial"/>
          <w:szCs w:val="22"/>
        </w:rPr>
        <w:t xml:space="preserve">hange of focus to better address user needs in specific application is foreseen in the new GAW Implementation Plan </w:t>
      </w:r>
      <w:r w:rsidR="00281E57">
        <w:rPr>
          <w:rFonts w:cs="Arial"/>
          <w:szCs w:val="22"/>
        </w:rPr>
        <w:t xml:space="preserve">which </w:t>
      </w:r>
      <w:r>
        <w:rPr>
          <w:rFonts w:cs="Arial"/>
          <w:szCs w:val="22"/>
        </w:rPr>
        <w:t xml:space="preserve">will require </w:t>
      </w:r>
      <w:r w:rsidR="00281E57">
        <w:rPr>
          <w:rFonts w:cs="Arial"/>
          <w:szCs w:val="22"/>
        </w:rPr>
        <w:t xml:space="preserve">the </w:t>
      </w:r>
      <w:r>
        <w:rPr>
          <w:rFonts w:cs="Arial"/>
          <w:szCs w:val="22"/>
        </w:rPr>
        <w:t xml:space="preserve">extension of the GAW observational network to include more diverse condition. Inclusion of a new category of stations (“local station”) has been discussed at the </w:t>
      </w:r>
      <w:r w:rsidR="00281E57">
        <w:rPr>
          <w:rFonts w:cs="Arial"/>
          <w:szCs w:val="22"/>
        </w:rPr>
        <w:t>16</w:t>
      </w:r>
      <w:r w:rsidR="00281E57" w:rsidRPr="008412CC">
        <w:rPr>
          <w:rFonts w:cs="Arial"/>
          <w:szCs w:val="22"/>
          <w:vertAlign w:val="superscript"/>
        </w:rPr>
        <w:t>th</w:t>
      </w:r>
      <w:r w:rsidR="00281E57">
        <w:rPr>
          <w:rFonts w:cs="Arial"/>
          <w:szCs w:val="22"/>
        </w:rPr>
        <w:t xml:space="preserve"> session of </w:t>
      </w:r>
      <w:r>
        <w:rPr>
          <w:rFonts w:cs="Arial"/>
          <w:szCs w:val="22"/>
        </w:rPr>
        <w:t>CAS in 2013</w:t>
      </w:r>
      <w:r w:rsidR="00281E57">
        <w:rPr>
          <w:rFonts w:cs="Arial"/>
          <w:szCs w:val="22"/>
        </w:rPr>
        <w:t xml:space="preserve"> and the requirements for such stations are currently under development</w:t>
      </w:r>
      <w:r>
        <w:rPr>
          <w:rFonts w:cs="Arial"/>
          <w:szCs w:val="22"/>
        </w:rPr>
        <w:t xml:space="preserve">. </w:t>
      </w:r>
    </w:p>
    <w:p w:rsidR="000C3900" w:rsidRDefault="000C3900" w:rsidP="000C3900">
      <w:pPr>
        <w:jc w:val="both"/>
        <w:rPr>
          <w:rFonts w:cs="Arial"/>
          <w:szCs w:val="22"/>
        </w:rPr>
      </w:pPr>
    </w:p>
    <w:p w:rsidR="00CE0B6D" w:rsidRDefault="000C3900" w:rsidP="00CE0B6D">
      <w:pPr>
        <w:jc w:val="both"/>
        <w:rPr>
          <w:rFonts w:cs="Arial"/>
          <w:szCs w:val="22"/>
        </w:rPr>
      </w:pPr>
      <w:r>
        <w:rPr>
          <w:rFonts w:cs="Arial"/>
          <w:szCs w:val="22"/>
        </w:rPr>
        <w:t>7</w:t>
      </w:r>
      <w:r w:rsidR="007165AF">
        <w:rPr>
          <w:rFonts w:cs="Arial"/>
          <w:szCs w:val="22"/>
        </w:rPr>
        <w:t xml:space="preserve">. </w:t>
      </w:r>
      <w:r w:rsidR="00CE0B6D" w:rsidRPr="00CE0B6D">
        <w:rPr>
          <w:rFonts w:cs="Arial"/>
          <w:szCs w:val="22"/>
        </w:rPr>
        <w:t>GAW strives to implement “integrated” observing system including ground-based observations and satellite remote sensing</w:t>
      </w:r>
      <w:r w:rsidR="00CE0B6D">
        <w:rPr>
          <w:rFonts w:cs="Arial"/>
          <w:szCs w:val="22"/>
        </w:rPr>
        <w:t xml:space="preserve"> though some difficulties related to this platform integration do exist.</w:t>
      </w:r>
      <w:r w:rsidR="00D147E3">
        <w:rPr>
          <w:rFonts w:cs="Arial"/>
          <w:szCs w:val="22"/>
        </w:rPr>
        <w:t xml:space="preserve"> It is difficult to ensure that recommendations on vertical profile measurements using aircraft or other platforms are done with regular spatial resolution as these observations are rather done u</w:t>
      </w:r>
      <w:r w:rsidR="00281E57">
        <w:rPr>
          <w:rFonts w:cs="Arial"/>
          <w:szCs w:val="22"/>
        </w:rPr>
        <w:t>tilizing</w:t>
      </w:r>
      <w:r w:rsidR="00D147E3">
        <w:rPr>
          <w:rFonts w:cs="Arial"/>
          <w:szCs w:val="22"/>
        </w:rPr>
        <w:t xml:space="preserve"> opportunities. GAW works to establish a dialogue with satellite agencies to ensure continuity of that component of</w:t>
      </w:r>
      <w:r w:rsidR="00281E57">
        <w:rPr>
          <w:rFonts w:cs="Arial"/>
          <w:szCs w:val="22"/>
        </w:rPr>
        <w:t xml:space="preserve"> the</w:t>
      </w:r>
      <w:r w:rsidR="00D147E3">
        <w:rPr>
          <w:rFonts w:cs="Arial"/>
          <w:szCs w:val="22"/>
        </w:rPr>
        <w:t xml:space="preserve"> integrated observing system</w:t>
      </w:r>
      <w:r w:rsidR="00281E57">
        <w:rPr>
          <w:rFonts w:cs="Arial"/>
          <w:szCs w:val="22"/>
        </w:rPr>
        <w:t xml:space="preserve"> and a task team has been established between GAW and WIGOS to initiate that discussion in the wider context of the Rolling Review of Requirements process</w:t>
      </w:r>
      <w:r w:rsidR="00D147E3">
        <w:rPr>
          <w:rFonts w:cs="Arial"/>
          <w:szCs w:val="22"/>
        </w:rPr>
        <w:t xml:space="preserve">. </w:t>
      </w:r>
    </w:p>
    <w:p w:rsidR="00035A13" w:rsidRDefault="00035A13" w:rsidP="00035A13">
      <w:pPr>
        <w:jc w:val="both"/>
        <w:rPr>
          <w:rFonts w:cs="Arial"/>
          <w:szCs w:val="22"/>
        </w:rPr>
      </w:pPr>
    </w:p>
    <w:p w:rsidR="00CE0B6D" w:rsidRDefault="000C3900" w:rsidP="00035A13">
      <w:pPr>
        <w:jc w:val="both"/>
        <w:rPr>
          <w:rFonts w:cs="Arial"/>
          <w:szCs w:val="22"/>
        </w:rPr>
      </w:pPr>
      <w:r>
        <w:rPr>
          <w:rFonts w:cs="Arial"/>
          <w:szCs w:val="22"/>
        </w:rPr>
        <w:t>8</w:t>
      </w:r>
      <w:r w:rsidR="00CE0B6D">
        <w:rPr>
          <w:rFonts w:cs="Arial"/>
          <w:szCs w:val="22"/>
        </w:rPr>
        <w:t>. GAW observational network is highly heterogeneous due to a number of factors:</w:t>
      </w:r>
    </w:p>
    <w:p w:rsidR="00CE0B6D" w:rsidRDefault="00CE0B6D" w:rsidP="00035A13">
      <w:pPr>
        <w:jc w:val="both"/>
        <w:rPr>
          <w:rFonts w:cs="Arial"/>
          <w:szCs w:val="22"/>
        </w:rPr>
      </w:pPr>
      <w:r>
        <w:rPr>
          <w:rFonts w:cs="Arial"/>
          <w:szCs w:val="22"/>
        </w:rPr>
        <w:lastRenderedPageBreak/>
        <w:t xml:space="preserve">- different level of understanding of diverse environmental issues (e.g interest </w:t>
      </w:r>
      <w:r w:rsidR="00281E57">
        <w:rPr>
          <w:rFonts w:cs="Arial"/>
          <w:szCs w:val="22"/>
        </w:rPr>
        <w:t>in</w:t>
      </w:r>
      <w:r>
        <w:rPr>
          <w:rFonts w:cs="Arial"/>
          <w:szCs w:val="22"/>
        </w:rPr>
        <w:t xml:space="preserve"> total ozone impact on weather initiated ozone observational network in 50s, acid precipitation and urban air pollution drove development of SO</w:t>
      </w:r>
      <w:r w:rsidRPr="00CE0B6D">
        <w:rPr>
          <w:rFonts w:cs="Arial"/>
          <w:szCs w:val="22"/>
          <w:vertAlign w:val="subscript"/>
        </w:rPr>
        <w:t>2</w:t>
      </w:r>
      <w:r>
        <w:rPr>
          <w:rFonts w:cs="Arial"/>
          <w:szCs w:val="22"/>
        </w:rPr>
        <w:t xml:space="preserve"> and precipitation chemistry observational network</w:t>
      </w:r>
      <w:r w:rsidR="00E4396E">
        <w:rPr>
          <w:rFonts w:cs="Arial"/>
          <w:szCs w:val="22"/>
        </w:rPr>
        <w:t xml:space="preserve"> in 70s</w:t>
      </w:r>
      <w:r>
        <w:rPr>
          <w:rFonts w:cs="Arial"/>
          <w:szCs w:val="22"/>
        </w:rPr>
        <w:t>);</w:t>
      </w:r>
    </w:p>
    <w:p w:rsidR="00CE0B6D" w:rsidRDefault="00CE0B6D" w:rsidP="00035A13">
      <w:pPr>
        <w:jc w:val="both"/>
        <w:rPr>
          <w:rFonts w:cs="Arial"/>
          <w:szCs w:val="22"/>
        </w:rPr>
      </w:pPr>
      <w:r>
        <w:rPr>
          <w:rFonts w:cs="Arial"/>
          <w:szCs w:val="22"/>
        </w:rPr>
        <w:t>- different level of maturity and complexity of measurement techniques for measurements of different parameters;</w:t>
      </w:r>
    </w:p>
    <w:p w:rsidR="00CE0B6D" w:rsidRDefault="00CE0B6D" w:rsidP="00035A13">
      <w:pPr>
        <w:jc w:val="both"/>
        <w:rPr>
          <w:rFonts w:cs="Arial"/>
          <w:szCs w:val="22"/>
        </w:rPr>
      </w:pPr>
      <w:r>
        <w:rPr>
          <w:rFonts w:cs="Arial"/>
          <w:szCs w:val="22"/>
        </w:rPr>
        <w:t xml:space="preserve">- different level of capacity </w:t>
      </w:r>
      <w:r w:rsidR="00D147E3">
        <w:rPr>
          <w:rFonts w:cs="Arial"/>
          <w:szCs w:val="22"/>
        </w:rPr>
        <w:t xml:space="preserve">in Member countries </w:t>
      </w:r>
      <w:r>
        <w:rPr>
          <w:rFonts w:cs="Arial"/>
          <w:szCs w:val="22"/>
        </w:rPr>
        <w:t>to implement atmospheric composition measurements and different national priorities.</w:t>
      </w:r>
    </w:p>
    <w:p w:rsidR="00CE0B6D" w:rsidRDefault="00281E57" w:rsidP="00035A13">
      <w:pPr>
        <w:jc w:val="both"/>
        <w:rPr>
          <w:rFonts w:cs="Arial"/>
          <w:szCs w:val="22"/>
        </w:rPr>
      </w:pPr>
      <w:r>
        <w:rPr>
          <w:rFonts w:cs="Arial"/>
          <w:szCs w:val="22"/>
        </w:rPr>
        <w:t xml:space="preserve">To achieve a more representative observational network, in support of environmental issues, </w:t>
      </w:r>
      <w:r w:rsidRPr="00281E57">
        <w:rPr>
          <w:rFonts w:cs="Arial"/>
          <w:szCs w:val="22"/>
        </w:rPr>
        <w:t>a requirement of regional representativeness of the GAW stations</w:t>
      </w:r>
      <w:r>
        <w:rPr>
          <w:rFonts w:cs="Arial"/>
          <w:szCs w:val="22"/>
        </w:rPr>
        <w:t xml:space="preserve"> is followed</w:t>
      </w:r>
      <w:r w:rsidRPr="00281E57">
        <w:rPr>
          <w:rFonts w:cs="Arial"/>
          <w:szCs w:val="22"/>
        </w:rPr>
        <w:t xml:space="preserve">. </w:t>
      </w:r>
      <w:r w:rsidRPr="008412CC">
        <w:rPr>
          <w:rFonts w:cs="Arial"/>
          <w:szCs w:val="22"/>
        </w:rPr>
        <w:t xml:space="preserve">GAW strives to </w:t>
      </w:r>
      <w:r w:rsidR="00E4396E" w:rsidRPr="008412CC">
        <w:rPr>
          <w:rFonts w:cs="Arial"/>
          <w:szCs w:val="22"/>
        </w:rPr>
        <w:t xml:space="preserve">reach </w:t>
      </w:r>
      <w:r w:rsidRPr="008412CC">
        <w:rPr>
          <w:rFonts w:cs="Arial"/>
          <w:szCs w:val="22"/>
        </w:rPr>
        <w:t>more ideal</w:t>
      </w:r>
      <w:r w:rsidR="00E4396E" w:rsidRPr="008412CC">
        <w:rPr>
          <w:rFonts w:cs="Arial"/>
          <w:szCs w:val="22"/>
        </w:rPr>
        <w:t xml:space="preserve"> spatial h</w:t>
      </w:r>
      <w:r w:rsidRPr="008412CC">
        <w:rPr>
          <w:rFonts w:cs="Arial"/>
          <w:szCs w:val="22"/>
        </w:rPr>
        <w:t>omogeneity</w:t>
      </w:r>
      <w:r>
        <w:rPr>
          <w:rFonts w:cs="Arial"/>
          <w:szCs w:val="22"/>
        </w:rPr>
        <w:t xml:space="preserve"> by continuously promoting this requirement among Members</w:t>
      </w:r>
      <w:r w:rsidR="00E4396E" w:rsidRPr="008412CC">
        <w:rPr>
          <w:rFonts w:cs="Arial"/>
          <w:szCs w:val="22"/>
        </w:rPr>
        <w:t xml:space="preserve">. </w:t>
      </w:r>
    </w:p>
    <w:p w:rsidR="00CE0B6D" w:rsidRDefault="000C3900" w:rsidP="00CE0B6D">
      <w:pPr>
        <w:jc w:val="both"/>
        <w:rPr>
          <w:rFonts w:cs="Arial"/>
          <w:szCs w:val="22"/>
        </w:rPr>
      </w:pPr>
      <w:r>
        <w:rPr>
          <w:rFonts w:cs="Arial"/>
          <w:szCs w:val="22"/>
        </w:rPr>
        <w:t>9</w:t>
      </w:r>
      <w:r w:rsidR="00CE0B6D">
        <w:rPr>
          <w:rFonts w:cs="Arial"/>
          <w:szCs w:val="22"/>
        </w:rPr>
        <w:t>.  GAW does not have in its regulations or publications clearly laid out network design principles. The general considerations formulated in the GAW Strategic plan, Congress and Executive Council documents, regional association and CAS documents and individual Measurement Guidelines related to individual variables state that regions important for particular environmental issues should address the gaps in the observational network. Requirements to horizontal and vertical resolution of the observing network are to be driven by Rolling Review of Requirement</w:t>
      </w:r>
      <w:r w:rsidR="008412CC">
        <w:rPr>
          <w:rFonts w:cs="Arial"/>
          <w:szCs w:val="22"/>
        </w:rPr>
        <w:t>s</w:t>
      </w:r>
      <w:r w:rsidR="00CE0B6D">
        <w:rPr>
          <w:rFonts w:cs="Arial"/>
          <w:szCs w:val="22"/>
        </w:rPr>
        <w:t xml:space="preserve"> process. RRR is currently being established for applications using atmospheric composition measurements.</w:t>
      </w:r>
      <w:r w:rsidR="00CE0B6D" w:rsidRPr="00CE0B6D">
        <w:t xml:space="preserve"> </w:t>
      </w:r>
    </w:p>
    <w:p w:rsidR="00CE0B6D" w:rsidRDefault="00CE0B6D" w:rsidP="00035A13">
      <w:pPr>
        <w:jc w:val="both"/>
        <w:rPr>
          <w:rFonts w:cs="Arial"/>
          <w:szCs w:val="22"/>
        </w:rPr>
      </w:pPr>
    </w:p>
    <w:p w:rsidR="00CE0B6D" w:rsidRDefault="000C3900" w:rsidP="008412CC">
      <w:pPr>
        <w:jc w:val="both"/>
        <w:rPr>
          <w:rFonts w:cs="Arial"/>
          <w:szCs w:val="22"/>
        </w:rPr>
      </w:pPr>
      <w:r>
        <w:rPr>
          <w:rFonts w:cs="Arial"/>
          <w:szCs w:val="22"/>
        </w:rPr>
        <w:t>10</w:t>
      </w:r>
      <w:r w:rsidR="00CE0B6D">
        <w:rPr>
          <w:rFonts w:cs="Arial"/>
          <w:szCs w:val="22"/>
        </w:rPr>
        <w:t xml:space="preserve">. An initial step to identify relevant application areas was done at the </w:t>
      </w:r>
      <w:r w:rsidR="00CE0B6D" w:rsidRPr="00CE0B6D">
        <w:rPr>
          <w:rFonts w:cs="Arial"/>
          <w:szCs w:val="22"/>
        </w:rPr>
        <w:t xml:space="preserve">first meeting of GAW Task Team on Observational Requirements and Satellite Measurements as regards Atmospheric Composition and Related Physical </w:t>
      </w:r>
      <w:r w:rsidR="008412CC" w:rsidRPr="00CE0B6D">
        <w:rPr>
          <w:rFonts w:cs="Arial"/>
          <w:szCs w:val="22"/>
        </w:rPr>
        <w:t>Parameters</w:t>
      </w:r>
      <w:r w:rsidR="008412CC">
        <w:rPr>
          <w:rFonts w:cs="Arial"/>
          <w:szCs w:val="22"/>
        </w:rPr>
        <w:t xml:space="preserve"> that</w:t>
      </w:r>
      <w:r w:rsidR="00CE0B6D" w:rsidRPr="00CE0B6D">
        <w:rPr>
          <w:rFonts w:cs="Arial"/>
          <w:szCs w:val="22"/>
        </w:rPr>
        <w:t xml:space="preserve"> took place in WMO on 10-13 November 2014</w:t>
      </w:r>
      <w:r w:rsidR="00CE0B6D">
        <w:rPr>
          <w:rFonts w:cs="Arial"/>
          <w:szCs w:val="22"/>
        </w:rPr>
        <w:t xml:space="preserve">. </w:t>
      </w:r>
    </w:p>
    <w:p w:rsidR="000C3900" w:rsidRDefault="000C3900" w:rsidP="008412CC">
      <w:pPr>
        <w:jc w:val="both"/>
        <w:rPr>
          <w:rFonts w:cs="Arial"/>
          <w:szCs w:val="22"/>
        </w:rPr>
      </w:pPr>
    </w:p>
    <w:p w:rsidR="000C3900" w:rsidRDefault="000C3900" w:rsidP="008412CC">
      <w:pPr>
        <w:jc w:val="both"/>
        <w:rPr>
          <w:rFonts w:cs="Arial"/>
          <w:szCs w:val="22"/>
        </w:rPr>
      </w:pPr>
      <w:r>
        <w:rPr>
          <w:rFonts w:cs="Arial"/>
          <w:szCs w:val="22"/>
        </w:rPr>
        <w:t xml:space="preserve">11. Network design is also impacted by the GAW Quality Management Framework </w:t>
      </w:r>
      <w:r w:rsidR="008412CC">
        <w:rPr>
          <w:rFonts w:cs="Arial"/>
          <w:szCs w:val="22"/>
        </w:rPr>
        <w:t>(QMF</w:t>
      </w:r>
      <w:r w:rsidR="008412CC" w:rsidRPr="00C73AF2">
        <w:rPr>
          <w:rFonts w:eastAsia="PMingLiU" w:cs="Arial"/>
          <w:szCs w:val="22"/>
          <w:lang w:val="en-US" w:eastAsia="zh-TW"/>
        </w:rPr>
        <w:t>)</w:t>
      </w:r>
      <w:r w:rsidR="008412CC">
        <w:rPr>
          <w:rFonts w:cs="Arial"/>
          <w:szCs w:val="22"/>
        </w:rPr>
        <w:t xml:space="preserve"> </w:t>
      </w:r>
      <w:r>
        <w:rPr>
          <w:rFonts w:cs="Arial"/>
          <w:szCs w:val="22"/>
        </w:rPr>
        <w:t xml:space="preserve">principles (listed in Annex B). </w:t>
      </w:r>
      <w:r w:rsidRPr="00035A13">
        <w:rPr>
          <w:rFonts w:cs="Arial"/>
          <w:szCs w:val="22"/>
        </w:rPr>
        <w:t xml:space="preserve">The primary objectives of the GAW </w:t>
      </w:r>
      <w:r w:rsidR="008412CC">
        <w:rPr>
          <w:rFonts w:cs="Arial"/>
          <w:szCs w:val="22"/>
        </w:rPr>
        <w:t xml:space="preserve">QMF </w:t>
      </w:r>
      <w:r w:rsidRPr="00035A13">
        <w:rPr>
          <w:rFonts w:cs="Arial"/>
          <w:szCs w:val="22"/>
        </w:rPr>
        <w:t xml:space="preserve"> are to ensure that the data in the World Data Centers, which are used in particular in support of decision making, are consistent, of known and adequate quality, supported by comprehensive metadata, and sufficiently complete to describe global atmospheric states with respect to spatial and temporal distribution.</w:t>
      </w:r>
      <w:r>
        <w:rPr>
          <w:rFonts w:cs="Arial"/>
          <w:szCs w:val="22"/>
        </w:rPr>
        <w:t xml:space="preserve"> Requirements to the quality of data are formulated through Data Quality Objectives.</w:t>
      </w:r>
    </w:p>
    <w:p w:rsidR="000C3900" w:rsidRDefault="000C3900" w:rsidP="008412CC">
      <w:pPr>
        <w:jc w:val="both"/>
        <w:rPr>
          <w:rFonts w:cs="Arial"/>
          <w:szCs w:val="22"/>
        </w:rPr>
      </w:pPr>
    </w:p>
    <w:p w:rsidR="000C3900" w:rsidRDefault="000C3900" w:rsidP="008412CC">
      <w:pPr>
        <w:jc w:val="both"/>
        <w:rPr>
          <w:rFonts w:cs="Arial"/>
          <w:szCs w:val="22"/>
        </w:rPr>
      </w:pPr>
      <w:r>
        <w:rPr>
          <w:rFonts w:cs="Arial"/>
          <w:szCs w:val="22"/>
        </w:rPr>
        <w:t xml:space="preserve">12. Annex C </w:t>
      </w:r>
      <w:r w:rsidR="00567039">
        <w:rPr>
          <w:rFonts w:cs="Arial"/>
          <w:szCs w:val="22"/>
        </w:rPr>
        <w:t>summarizes the consistency between OSND principles and GAW network management</w:t>
      </w:r>
      <w:r w:rsidR="008412CC">
        <w:rPr>
          <w:rFonts w:cs="Arial"/>
          <w:szCs w:val="22"/>
        </w:rPr>
        <w:t xml:space="preserve"> practices</w:t>
      </w:r>
      <w:r w:rsidR="00567039">
        <w:rPr>
          <w:rFonts w:cs="Arial"/>
          <w:szCs w:val="22"/>
        </w:rPr>
        <w:t>.</w:t>
      </w:r>
      <w:r>
        <w:rPr>
          <w:rFonts w:cs="Arial"/>
          <w:szCs w:val="22"/>
        </w:rPr>
        <w:t xml:space="preserve"> </w:t>
      </w:r>
    </w:p>
    <w:p w:rsidR="00ED038C" w:rsidRDefault="00ED038C" w:rsidP="008412CC">
      <w:pPr>
        <w:jc w:val="both"/>
        <w:rPr>
          <w:rFonts w:cs="Arial"/>
          <w:szCs w:val="22"/>
        </w:rPr>
      </w:pPr>
    </w:p>
    <w:p w:rsidR="00ED038C" w:rsidRDefault="00ED038C" w:rsidP="008412CC">
      <w:pPr>
        <w:jc w:val="both"/>
        <w:rPr>
          <w:rFonts w:cs="Arial"/>
          <w:szCs w:val="22"/>
        </w:rPr>
      </w:pPr>
    </w:p>
    <w:p w:rsidR="00ED038C" w:rsidRPr="00035A13" w:rsidRDefault="00ED038C" w:rsidP="00ED038C">
      <w:pPr>
        <w:jc w:val="center"/>
        <w:rPr>
          <w:rFonts w:cs="Arial"/>
          <w:szCs w:val="22"/>
        </w:rPr>
      </w:pPr>
      <w:r>
        <w:rPr>
          <w:rFonts w:cs="Arial"/>
          <w:szCs w:val="22"/>
        </w:rPr>
        <w:t>______________</w:t>
      </w:r>
    </w:p>
    <w:p w:rsidR="00567039" w:rsidRDefault="00567039" w:rsidP="000C3900">
      <w:pPr>
        <w:rPr>
          <w:rFonts w:cs="Arial"/>
          <w:szCs w:val="22"/>
        </w:rPr>
      </w:pPr>
      <w:r>
        <w:rPr>
          <w:rFonts w:cs="Arial"/>
          <w:szCs w:val="22"/>
        </w:rPr>
        <w:br w:type="page"/>
      </w:r>
    </w:p>
    <w:p w:rsidR="000C3900" w:rsidRDefault="00567039" w:rsidP="000C3900">
      <w:pPr>
        <w:jc w:val="center"/>
        <w:rPr>
          <w:rFonts w:cs="Arial"/>
          <w:b/>
          <w:szCs w:val="22"/>
        </w:rPr>
      </w:pPr>
      <w:r>
        <w:rPr>
          <w:rFonts w:cs="Arial"/>
          <w:b/>
          <w:szCs w:val="22"/>
        </w:rPr>
        <w:t>ANNEX A</w:t>
      </w:r>
    </w:p>
    <w:p w:rsidR="000C3900" w:rsidRDefault="000C3900" w:rsidP="000C3900">
      <w:pPr>
        <w:jc w:val="center"/>
        <w:rPr>
          <w:rFonts w:cs="Arial"/>
          <w:b/>
          <w:szCs w:val="22"/>
        </w:rPr>
      </w:pPr>
    </w:p>
    <w:p w:rsidR="00567039" w:rsidRPr="00035A13" w:rsidRDefault="00567039" w:rsidP="00ED038C">
      <w:pPr>
        <w:jc w:val="center"/>
        <w:rPr>
          <w:rFonts w:cs="Arial"/>
          <w:b/>
          <w:szCs w:val="22"/>
        </w:rPr>
      </w:pPr>
      <w:r>
        <w:rPr>
          <w:rFonts w:cs="Arial"/>
          <w:b/>
          <w:szCs w:val="22"/>
        </w:rPr>
        <w:t>Requirements to the GAW Regional stations</w:t>
      </w:r>
    </w:p>
    <w:p w:rsidR="00567039" w:rsidRDefault="00567039" w:rsidP="00567039">
      <w:pPr>
        <w:jc w:val="both"/>
        <w:rPr>
          <w:rFonts w:cs="Arial"/>
          <w:szCs w:val="22"/>
        </w:rPr>
      </w:pPr>
    </w:p>
    <w:p w:rsidR="00567039" w:rsidRPr="00035A13" w:rsidRDefault="00567039" w:rsidP="00ED038C">
      <w:pPr>
        <w:jc w:val="both"/>
        <w:rPr>
          <w:rFonts w:cs="Arial"/>
          <w:szCs w:val="22"/>
        </w:rPr>
      </w:pPr>
      <w:r w:rsidRPr="00035A13">
        <w:rPr>
          <w:rFonts w:cs="Arial"/>
          <w:szCs w:val="22"/>
        </w:rPr>
        <w:t>1. The station location is chosen such that, for the variables measured, it is regionally representative and is normally free of the influence of significant local pollution sources.</w:t>
      </w:r>
    </w:p>
    <w:p w:rsidR="00567039" w:rsidRPr="00035A13" w:rsidRDefault="00567039" w:rsidP="00ED038C">
      <w:pPr>
        <w:jc w:val="both"/>
        <w:rPr>
          <w:rFonts w:cs="Arial"/>
          <w:szCs w:val="22"/>
        </w:rPr>
      </w:pPr>
      <w:r w:rsidRPr="00035A13">
        <w:rPr>
          <w:rFonts w:cs="Arial"/>
          <w:szCs w:val="22"/>
        </w:rPr>
        <w:t>2. There are adequate power, air conditioning, communication and building facilities to sustain long term observations with greater than 90% data capture (i.e. &lt;10% missing data).</w:t>
      </w:r>
    </w:p>
    <w:p w:rsidR="00567039" w:rsidRPr="00035A13" w:rsidRDefault="00567039" w:rsidP="00ED038C">
      <w:pPr>
        <w:jc w:val="both"/>
        <w:rPr>
          <w:rFonts w:cs="Arial"/>
          <w:szCs w:val="22"/>
        </w:rPr>
      </w:pPr>
      <w:r w:rsidRPr="00035A13">
        <w:rPr>
          <w:rFonts w:cs="Arial"/>
          <w:szCs w:val="22"/>
        </w:rPr>
        <w:t>3. The technical support provided is trained in the operation of the equipment.</w:t>
      </w:r>
    </w:p>
    <w:p w:rsidR="00567039" w:rsidRPr="00035A13" w:rsidRDefault="00567039" w:rsidP="00ED038C">
      <w:pPr>
        <w:jc w:val="both"/>
        <w:rPr>
          <w:rFonts w:cs="Arial"/>
          <w:szCs w:val="22"/>
        </w:rPr>
      </w:pPr>
      <w:r w:rsidRPr="00035A13">
        <w:rPr>
          <w:rFonts w:cs="Arial"/>
          <w:szCs w:val="22"/>
        </w:rPr>
        <w:t>4. There is a commitment by the responsible agency to long term observations of at least one of the GAW variables in the GAW focal areas (ozone, aerosols, greenhouse gases, reactive gases, UV radiation, precipitation chemistry).</w:t>
      </w:r>
    </w:p>
    <w:p w:rsidR="00567039" w:rsidRPr="00035A13" w:rsidRDefault="00567039" w:rsidP="00ED038C">
      <w:pPr>
        <w:jc w:val="both"/>
        <w:rPr>
          <w:rFonts w:cs="Arial"/>
          <w:szCs w:val="22"/>
        </w:rPr>
      </w:pPr>
      <w:r w:rsidRPr="00035A13">
        <w:rPr>
          <w:rFonts w:cs="Arial"/>
          <w:szCs w:val="22"/>
        </w:rPr>
        <w:t>5. The GAW observation made is of known quality and linked to the GAW Primary Standard.</w:t>
      </w:r>
    </w:p>
    <w:p w:rsidR="00567039" w:rsidRPr="00035A13" w:rsidRDefault="00567039" w:rsidP="00ED038C">
      <w:pPr>
        <w:jc w:val="both"/>
        <w:rPr>
          <w:rFonts w:cs="Arial"/>
          <w:szCs w:val="22"/>
        </w:rPr>
      </w:pPr>
      <w:r w:rsidRPr="00035A13">
        <w:rPr>
          <w:rFonts w:cs="Arial"/>
          <w:szCs w:val="22"/>
        </w:rPr>
        <w:t>6. The data and associated metadata are submitted to one of the GAW World Data Centres no later than one year after the observation is made. Changes of metadata including instrumentation, traceability, observation procedures, are reported to the responsible WDC in a timely manner.</w:t>
      </w:r>
    </w:p>
    <w:p w:rsidR="00567039" w:rsidRPr="00035A13" w:rsidRDefault="00567039" w:rsidP="00ED038C">
      <w:pPr>
        <w:jc w:val="both"/>
        <w:rPr>
          <w:rFonts w:cs="Arial"/>
          <w:szCs w:val="22"/>
        </w:rPr>
      </w:pPr>
      <w:r w:rsidRPr="00035A13">
        <w:rPr>
          <w:rFonts w:cs="Arial"/>
          <w:szCs w:val="22"/>
        </w:rPr>
        <w:t>7. If required, data are submitted to a designated data distribution system in near-real-time.</w:t>
      </w:r>
    </w:p>
    <w:p w:rsidR="00567039" w:rsidRPr="00035A13" w:rsidRDefault="00567039" w:rsidP="00ED038C">
      <w:pPr>
        <w:jc w:val="both"/>
        <w:rPr>
          <w:rFonts w:cs="Arial"/>
          <w:szCs w:val="22"/>
        </w:rPr>
      </w:pPr>
      <w:r w:rsidRPr="00035A13">
        <w:rPr>
          <w:rFonts w:cs="Arial"/>
          <w:szCs w:val="22"/>
        </w:rPr>
        <w:t>8. Standard meteorological in situ observations, necessary for the accurate determination and interpretation of the GAW variables, are made with known accuracy and precision.</w:t>
      </w:r>
    </w:p>
    <w:p w:rsidR="00567039" w:rsidRPr="00035A13" w:rsidRDefault="00567039" w:rsidP="00ED038C">
      <w:pPr>
        <w:jc w:val="both"/>
        <w:rPr>
          <w:rFonts w:cs="Arial"/>
          <w:szCs w:val="22"/>
        </w:rPr>
      </w:pPr>
      <w:r w:rsidRPr="00035A13">
        <w:rPr>
          <w:rFonts w:cs="Arial"/>
          <w:szCs w:val="22"/>
        </w:rPr>
        <w:t>9. The station characteristics and observational programme are updated in the GAW Station Information System (GAWSIS) on a regular basis.</w:t>
      </w:r>
    </w:p>
    <w:p w:rsidR="00567039" w:rsidRPr="00035A13" w:rsidRDefault="00567039" w:rsidP="00ED038C">
      <w:pPr>
        <w:jc w:val="both"/>
        <w:rPr>
          <w:rFonts w:cs="Arial"/>
          <w:szCs w:val="22"/>
        </w:rPr>
      </w:pPr>
      <w:r w:rsidRPr="00035A13">
        <w:rPr>
          <w:rFonts w:cs="Arial"/>
          <w:szCs w:val="22"/>
        </w:rPr>
        <w:t>10. A station logbook (i.e. record of observations made and activities that may affect observations) is maintained and is used in the data validation process.</w:t>
      </w:r>
    </w:p>
    <w:p w:rsidR="00567039" w:rsidRDefault="00567039" w:rsidP="00ED038C">
      <w:pPr>
        <w:jc w:val="both"/>
        <w:rPr>
          <w:rFonts w:cs="Arial"/>
          <w:b/>
          <w:szCs w:val="22"/>
        </w:rPr>
      </w:pPr>
    </w:p>
    <w:p w:rsidR="00567039" w:rsidRPr="00035A13" w:rsidRDefault="00567039" w:rsidP="00ED038C">
      <w:pPr>
        <w:jc w:val="both"/>
        <w:rPr>
          <w:rFonts w:cs="Arial"/>
          <w:szCs w:val="22"/>
        </w:rPr>
      </w:pPr>
      <w:r w:rsidRPr="00035A13">
        <w:rPr>
          <w:rFonts w:cs="Arial"/>
          <w:szCs w:val="22"/>
        </w:rPr>
        <w:t xml:space="preserve">In addition to the characteristics of Regional </w:t>
      </w:r>
      <w:r>
        <w:rPr>
          <w:rFonts w:cs="Arial"/>
          <w:szCs w:val="22"/>
        </w:rPr>
        <w:t>s</w:t>
      </w:r>
      <w:r w:rsidRPr="00035A13">
        <w:rPr>
          <w:rFonts w:cs="Arial"/>
          <w:szCs w:val="22"/>
        </w:rPr>
        <w:t>tations, a GAW Global station should fulfil the following additional requirements, namely</w:t>
      </w:r>
    </w:p>
    <w:p w:rsidR="00567039" w:rsidRPr="00035A13" w:rsidRDefault="00567039" w:rsidP="00ED038C">
      <w:pPr>
        <w:jc w:val="both"/>
        <w:rPr>
          <w:rFonts w:cs="Arial"/>
          <w:szCs w:val="22"/>
        </w:rPr>
      </w:pPr>
    </w:p>
    <w:p w:rsidR="00567039" w:rsidRPr="00035A13" w:rsidRDefault="00567039" w:rsidP="00ED038C">
      <w:pPr>
        <w:jc w:val="both"/>
        <w:rPr>
          <w:rFonts w:cs="Arial"/>
          <w:szCs w:val="22"/>
        </w:rPr>
      </w:pPr>
      <w:r w:rsidRPr="00035A13">
        <w:rPr>
          <w:rFonts w:cs="Arial"/>
          <w:szCs w:val="22"/>
        </w:rPr>
        <w:t>11. Measure variables in at least three of the six GAW focal areas.</w:t>
      </w:r>
    </w:p>
    <w:p w:rsidR="00567039" w:rsidRPr="00035A13" w:rsidRDefault="00567039" w:rsidP="00ED038C">
      <w:pPr>
        <w:jc w:val="both"/>
        <w:rPr>
          <w:rFonts w:cs="Arial"/>
          <w:szCs w:val="22"/>
        </w:rPr>
      </w:pPr>
      <w:r w:rsidRPr="00035A13">
        <w:rPr>
          <w:rFonts w:cs="Arial"/>
          <w:szCs w:val="22"/>
        </w:rPr>
        <w:t>12. Have a strong scientific supporting programme with appropriate data analysis and interpretation within the country and, if possible, the support of more than one agency.</w:t>
      </w:r>
    </w:p>
    <w:p w:rsidR="00567039" w:rsidRPr="00035A13" w:rsidRDefault="00567039" w:rsidP="00ED038C">
      <w:pPr>
        <w:jc w:val="both"/>
        <w:rPr>
          <w:rFonts w:cs="Arial"/>
          <w:szCs w:val="22"/>
        </w:rPr>
      </w:pPr>
      <w:r w:rsidRPr="00035A13">
        <w:rPr>
          <w:rFonts w:cs="Arial"/>
          <w:szCs w:val="22"/>
        </w:rPr>
        <w:t>13. Make measurements of other atmospheric variables important to weather and climate including upper air radio sondes at the site or in the region.</w:t>
      </w:r>
    </w:p>
    <w:p w:rsidR="00567039" w:rsidRPr="00035A13" w:rsidRDefault="00567039" w:rsidP="00ED038C">
      <w:pPr>
        <w:jc w:val="both"/>
        <w:rPr>
          <w:rFonts w:cs="Arial"/>
          <w:szCs w:val="22"/>
        </w:rPr>
      </w:pPr>
      <w:r w:rsidRPr="00035A13">
        <w:rPr>
          <w:rFonts w:cs="Arial"/>
          <w:szCs w:val="22"/>
        </w:rPr>
        <w:t>14. Provide a facility at which intensive campaign research can augment the long term routine GAW observations and where testing and development of new GAW methods can be undertaken.</w:t>
      </w:r>
    </w:p>
    <w:p w:rsidR="00567039" w:rsidRDefault="00567039" w:rsidP="00567039">
      <w:pPr>
        <w:rPr>
          <w:rFonts w:cs="Arial"/>
          <w:szCs w:val="22"/>
        </w:rPr>
      </w:pPr>
    </w:p>
    <w:p w:rsidR="00ED038C" w:rsidRPr="00035A13" w:rsidRDefault="00ED038C" w:rsidP="00567039">
      <w:pPr>
        <w:rPr>
          <w:rFonts w:cs="Arial"/>
          <w:szCs w:val="22"/>
        </w:rPr>
      </w:pPr>
    </w:p>
    <w:p w:rsidR="00567039" w:rsidRPr="00ED038C" w:rsidRDefault="00ED038C" w:rsidP="000C3900">
      <w:pPr>
        <w:jc w:val="center"/>
        <w:rPr>
          <w:rFonts w:cs="Arial"/>
          <w:szCs w:val="22"/>
        </w:rPr>
      </w:pPr>
      <w:r w:rsidRPr="00ED038C">
        <w:rPr>
          <w:rFonts w:cs="Arial"/>
          <w:szCs w:val="22"/>
        </w:rPr>
        <w:t>_________________</w:t>
      </w:r>
    </w:p>
    <w:p w:rsidR="00567039" w:rsidRDefault="00567039" w:rsidP="000C3900">
      <w:pPr>
        <w:jc w:val="center"/>
        <w:rPr>
          <w:rFonts w:cs="Arial"/>
          <w:b/>
          <w:szCs w:val="22"/>
        </w:rPr>
      </w:pPr>
      <w:r>
        <w:rPr>
          <w:rFonts w:cs="Arial"/>
          <w:b/>
          <w:szCs w:val="22"/>
        </w:rPr>
        <w:br w:type="page"/>
      </w:r>
    </w:p>
    <w:p w:rsidR="000C3900" w:rsidRDefault="00567039" w:rsidP="000C3900">
      <w:pPr>
        <w:jc w:val="center"/>
        <w:rPr>
          <w:rFonts w:cs="Arial"/>
          <w:b/>
          <w:szCs w:val="22"/>
        </w:rPr>
      </w:pPr>
      <w:r>
        <w:rPr>
          <w:rFonts w:cs="Arial"/>
          <w:b/>
          <w:szCs w:val="22"/>
        </w:rPr>
        <w:t>ANNEX B</w:t>
      </w:r>
    </w:p>
    <w:p w:rsidR="000C3900" w:rsidRDefault="000C3900" w:rsidP="000C3900">
      <w:pPr>
        <w:jc w:val="center"/>
        <w:rPr>
          <w:rFonts w:cs="Arial"/>
          <w:b/>
          <w:szCs w:val="22"/>
        </w:rPr>
      </w:pPr>
    </w:p>
    <w:p w:rsidR="00567039" w:rsidRDefault="00567039" w:rsidP="000C3900">
      <w:pPr>
        <w:jc w:val="center"/>
        <w:rPr>
          <w:rFonts w:cs="Arial"/>
          <w:b/>
          <w:szCs w:val="22"/>
        </w:rPr>
      </w:pPr>
      <w:r>
        <w:rPr>
          <w:rFonts w:cs="Arial"/>
          <w:b/>
          <w:szCs w:val="22"/>
        </w:rPr>
        <w:t>Main principles of the GAW Quality Management Framework</w:t>
      </w:r>
    </w:p>
    <w:p w:rsidR="00567039" w:rsidRDefault="00567039" w:rsidP="000C3900">
      <w:pPr>
        <w:jc w:val="center"/>
        <w:rPr>
          <w:rFonts w:cs="Arial"/>
          <w:b/>
          <w:szCs w:val="22"/>
        </w:rPr>
      </w:pPr>
    </w:p>
    <w:p w:rsidR="000C3900" w:rsidRPr="00035A13" w:rsidRDefault="000C3900" w:rsidP="00567039">
      <w:pPr>
        <w:numPr>
          <w:ilvl w:val="0"/>
          <w:numId w:val="24"/>
        </w:numPr>
        <w:rPr>
          <w:rFonts w:cs="Arial"/>
          <w:szCs w:val="22"/>
        </w:rPr>
      </w:pPr>
      <w:r w:rsidRPr="00035A13">
        <w:rPr>
          <w:rFonts w:cs="Arial"/>
          <w:szCs w:val="22"/>
        </w:rPr>
        <w:t>Full support of the GCOS Climate Monitoring Principles</w:t>
      </w:r>
    </w:p>
    <w:p w:rsidR="000C3900" w:rsidRPr="00035A13" w:rsidRDefault="000C3900" w:rsidP="00567039">
      <w:pPr>
        <w:numPr>
          <w:ilvl w:val="0"/>
          <w:numId w:val="24"/>
        </w:numPr>
        <w:rPr>
          <w:rFonts w:cs="Arial"/>
          <w:szCs w:val="22"/>
        </w:rPr>
      </w:pPr>
      <w:r w:rsidRPr="00035A13">
        <w:rPr>
          <w:rFonts w:cs="Arial"/>
          <w:szCs w:val="22"/>
        </w:rPr>
        <w:t xml:space="preserve">Network-wide use of only one reference standard or scale (primary standard). In consequence, there is only one institution that is responsible for this standard. </w:t>
      </w:r>
    </w:p>
    <w:p w:rsidR="000C3900" w:rsidRPr="00035A13" w:rsidRDefault="000C3900" w:rsidP="00567039">
      <w:pPr>
        <w:numPr>
          <w:ilvl w:val="0"/>
          <w:numId w:val="24"/>
        </w:numPr>
        <w:rPr>
          <w:rFonts w:cs="Arial"/>
          <w:szCs w:val="22"/>
        </w:rPr>
      </w:pPr>
      <w:r w:rsidRPr="00035A13">
        <w:rPr>
          <w:rFonts w:cs="Arial"/>
          <w:szCs w:val="22"/>
        </w:rPr>
        <w:t>Full traceability to the primary standard of all measurements made by Global, Regional and Contributing GAW stations.</w:t>
      </w:r>
    </w:p>
    <w:p w:rsidR="000C3900" w:rsidRPr="00035A13" w:rsidRDefault="000C3900" w:rsidP="00567039">
      <w:pPr>
        <w:numPr>
          <w:ilvl w:val="0"/>
          <w:numId w:val="24"/>
        </w:numPr>
        <w:rPr>
          <w:rFonts w:cs="Arial"/>
          <w:szCs w:val="22"/>
        </w:rPr>
      </w:pPr>
      <w:r w:rsidRPr="00035A13">
        <w:rPr>
          <w:rFonts w:cs="Arial"/>
          <w:szCs w:val="22"/>
        </w:rPr>
        <w:t>The definition of data quality objectives (DQOs).</w:t>
      </w:r>
    </w:p>
    <w:p w:rsidR="000C3900" w:rsidRPr="00035A13" w:rsidRDefault="000C3900" w:rsidP="00567039">
      <w:pPr>
        <w:numPr>
          <w:ilvl w:val="0"/>
          <w:numId w:val="24"/>
        </w:numPr>
        <w:rPr>
          <w:rFonts w:cs="Arial"/>
          <w:szCs w:val="22"/>
        </w:rPr>
      </w:pPr>
      <w:r w:rsidRPr="00035A13">
        <w:rPr>
          <w:rFonts w:cs="Arial"/>
          <w:szCs w:val="22"/>
        </w:rPr>
        <w:t>Establishment of guidelines on how to meet these quality targets, i.e., harmonized measurement techniques based on Measurement Guidelines (MGs) and Standard Operating Procedures (SOPs).</w:t>
      </w:r>
    </w:p>
    <w:p w:rsidR="000C3900" w:rsidRPr="00035A13" w:rsidRDefault="000C3900" w:rsidP="00567039">
      <w:pPr>
        <w:numPr>
          <w:ilvl w:val="0"/>
          <w:numId w:val="24"/>
        </w:numPr>
        <w:rPr>
          <w:rFonts w:cs="Arial"/>
          <w:szCs w:val="22"/>
        </w:rPr>
      </w:pPr>
      <w:r w:rsidRPr="00035A13">
        <w:rPr>
          <w:rFonts w:cs="Arial"/>
          <w:szCs w:val="22"/>
        </w:rPr>
        <w:t>Establishment of MGs or SOPs for these measurements.</w:t>
      </w:r>
    </w:p>
    <w:p w:rsidR="000C3900" w:rsidRPr="00035A13" w:rsidRDefault="000C3900" w:rsidP="00567039">
      <w:pPr>
        <w:numPr>
          <w:ilvl w:val="0"/>
          <w:numId w:val="24"/>
        </w:numPr>
        <w:rPr>
          <w:rFonts w:cs="Arial"/>
          <w:szCs w:val="22"/>
        </w:rPr>
      </w:pPr>
      <w:r w:rsidRPr="00035A13">
        <w:rPr>
          <w:rFonts w:cs="Arial"/>
          <w:szCs w:val="22"/>
        </w:rPr>
        <w:t>Use of detailed log books for each parameter containing comprehensive meta information related to the measurements, maintenance, and 'internal' calibrations.</w:t>
      </w:r>
    </w:p>
    <w:p w:rsidR="000C3900" w:rsidRPr="00035A13" w:rsidRDefault="000C3900" w:rsidP="00567039">
      <w:pPr>
        <w:numPr>
          <w:ilvl w:val="0"/>
          <w:numId w:val="24"/>
        </w:numPr>
        <w:rPr>
          <w:rFonts w:cs="Arial"/>
          <w:szCs w:val="22"/>
        </w:rPr>
      </w:pPr>
      <w:r w:rsidRPr="00035A13">
        <w:rPr>
          <w:rFonts w:cs="Arial"/>
          <w:szCs w:val="22"/>
        </w:rPr>
        <w:t>Regular independent assessments (system and performance audits).</w:t>
      </w:r>
    </w:p>
    <w:p w:rsidR="000C3900" w:rsidRPr="00035A13" w:rsidRDefault="000C3900" w:rsidP="00567039">
      <w:pPr>
        <w:numPr>
          <w:ilvl w:val="0"/>
          <w:numId w:val="24"/>
        </w:numPr>
        <w:rPr>
          <w:rFonts w:cs="Arial"/>
          <w:szCs w:val="22"/>
        </w:rPr>
      </w:pPr>
      <w:r w:rsidRPr="00035A13">
        <w:rPr>
          <w:rFonts w:cs="Arial"/>
          <w:szCs w:val="22"/>
        </w:rPr>
        <w:t>Timely submission of data and associated metadata to the responsible World Data Centre as a means of permitting independent review of data by a wider community.</w:t>
      </w:r>
    </w:p>
    <w:p w:rsidR="000C3900" w:rsidRDefault="000C3900" w:rsidP="00035A13">
      <w:pPr>
        <w:jc w:val="both"/>
        <w:rPr>
          <w:rFonts w:cs="Arial"/>
          <w:szCs w:val="22"/>
        </w:rPr>
      </w:pPr>
    </w:p>
    <w:p w:rsidR="00ED038C" w:rsidRDefault="00ED038C" w:rsidP="00035A13">
      <w:pPr>
        <w:jc w:val="both"/>
        <w:rPr>
          <w:rFonts w:cs="Arial"/>
          <w:szCs w:val="22"/>
        </w:rPr>
      </w:pPr>
    </w:p>
    <w:p w:rsidR="00ED038C" w:rsidRDefault="00ED038C" w:rsidP="00035A13">
      <w:pPr>
        <w:jc w:val="both"/>
        <w:rPr>
          <w:rFonts w:cs="Arial"/>
          <w:szCs w:val="22"/>
        </w:rPr>
      </w:pPr>
    </w:p>
    <w:p w:rsidR="00ED038C" w:rsidRDefault="00ED038C" w:rsidP="00ED038C">
      <w:pPr>
        <w:jc w:val="center"/>
        <w:rPr>
          <w:rFonts w:cs="Arial"/>
          <w:szCs w:val="22"/>
        </w:rPr>
      </w:pPr>
      <w:r w:rsidRPr="00ED038C">
        <w:rPr>
          <w:rFonts w:cs="Arial"/>
          <w:szCs w:val="22"/>
        </w:rPr>
        <w:t>_________________</w:t>
      </w:r>
    </w:p>
    <w:p w:rsidR="007714AE" w:rsidRPr="003065B3" w:rsidRDefault="00567039" w:rsidP="007714AE">
      <w:pPr>
        <w:jc w:val="center"/>
        <w:rPr>
          <w:b/>
          <w:caps/>
        </w:rPr>
      </w:pPr>
      <w:r>
        <w:rPr>
          <w:rFonts w:cs="Arial"/>
          <w:b/>
          <w:szCs w:val="22"/>
        </w:rPr>
        <w:br w:type="page"/>
      </w:r>
      <w:r w:rsidR="007714AE" w:rsidRPr="003065B3">
        <w:rPr>
          <w:b/>
          <w:caps/>
        </w:rPr>
        <w:lastRenderedPageBreak/>
        <w:t>Appendix</w:t>
      </w:r>
      <w:r w:rsidR="007714AE">
        <w:rPr>
          <w:b/>
          <w:caps/>
        </w:rPr>
        <w:t xml:space="preserve"> C</w:t>
      </w:r>
    </w:p>
    <w:p w:rsidR="007714AE" w:rsidRDefault="007714AE" w:rsidP="007714AE"/>
    <w:p w:rsidR="007714AE" w:rsidRDefault="007714AE" w:rsidP="007714AE">
      <w:pPr>
        <w:jc w:val="center"/>
        <w:rPr>
          <w:b/>
          <w:caps/>
        </w:rPr>
      </w:pPr>
    </w:p>
    <w:p w:rsidR="007714AE" w:rsidRDefault="007714AE" w:rsidP="007714AE">
      <w:pPr>
        <w:jc w:val="center"/>
        <w:rPr>
          <w:b/>
        </w:rPr>
      </w:pPr>
      <w:r>
        <w:rPr>
          <w:b/>
        </w:rPr>
        <w:t>Observing System Network Design (OSND) Principles as applied in the Global Atmosphere Watch Programme</w:t>
      </w:r>
    </w:p>
    <w:p w:rsidR="007714AE" w:rsidRDefault="007714AE" w:rsidP="007714AE"/>
    <w:p w:rsidR="007714AE" w:rsidRDefault="007714AE" w:rsidP="007714AE">
      <w:pPr>
        <w:jc w:val="both"/>
      </w:pPr>
      <w:r>
        <w:t xml:space="preserve">1.  </w:t>
      </w:r>
      <w:r>
        <w:tab/>
        <w:t>SERVING MANY APPLICATION AREAS</w:t>
      </w:r>
    </w:p>
    <w:p w:rsidR="00BD6A74" w:rsidRDefault="00BD6A74" w:rsidP="007714AE">
      <w:pPr>
        <w:jc w:val="both"/>
      </w:pPr>
    </w:p>
    <w:p w:rsidR="007714AE" w:rsidRDefault="00BD6A74" w:rsidP="007714AE">
      <w:pPr>
        <w:jc w:val="both"/>
      </w:pPr>
      <w:r>
        <w:t>GAW observation</w:t>
      </w:r>
      <w:r w:rsidR="00281E57">
        <w:t>s</w:t>
      </w:r>
      <w:r>
        <w:t xml:space="preserve"> are aimed at serving many applications. Stations are recommended to perform observations of as many parameters as possible at each individual station. </w:t>
      </w:r>
    </w:p>
    <w:p w:rsidR="007714AE" w:rsidRPr="00E93E7F" w:rsidRDefault="007714AE" w:rsidP="007714AE">
      <w:pPr>
        <w:jc w:val="both"/>
      </w:pPr>
    </w:p>
    <w:p w:rsidR="007714AE" w:rsidRDefault="007714AE" w:rsidP="007714AE">
      <w:pPr>
        <w:jc w:val="both"/>
      </w:pPr>
      <w:r>
        <w:t xml:space="preserve">2.  </w:t>
      </w:r>
      <w:r>
        <w:tab/>
        <w:t>MEETING USER REQUIREMENTS</w:t>
      </w:r>
    </w:p>
    <w:p w:rsidR="00BD6A74" w:rsidRDefault="00BD6A74" w:rsidP="007714AE">
      <w:pPr>
        <w:jc w:val="both"/>
      </w:pPr>
    </w:p>
    <w:p w:rsidR="007714AE" w:rsidRDefault="00BD6A74" w:rsidP="007714AE">
      <w:pPr>
        <w:jc w:val="both"/>
      </w:pPr>
      <w:r>
        <w:t>Currently user community is being consulted and requirements to be reflected in requirements database.</w:t>
      </w:r>
    </w:p>
    <w:p w:rsidR="007714AE" w:rsidRDefault="007714AE" w:rsidP="007714AE">
      <w:pPr>
        <w:jc w:val="both"/>
      </w:pPr>
    </w:p>
    <w:p w:rsidR="007714AE" w:rsidRDefault="007714AE" w:rsidP="007714AE">
      <w:pPr>
        <w:jc w:val="both"/>
      </w:pPr>
      <w:r>
        <w:t xml:space="preserve">3.  </w:t>
      </w:r>
      <w:r>
        <w:tab/>
        <w:t>MEETING NATIONAL, REGIONAL AND GLOBAL REQUIREMENTS</w:t>
      </w:r>
    </w:p>
    <w:p w:rsidR="00BD6A74" w:rsidRDefault="00BD6A74" w:rsidP="007714AE">
      <w:pPr>
        <w:jc w:val="both"/>
      </w:pPr>
    </w:p>
    <w:p w:rsidR="007714AE" w:rsidRDefault="00BD6A74" w:rsidP="007714AE">
      <w:pPr>
        <w:jc w:val="both"/>
      </w:pPr>
      <w:r>
        <w:t xml:space="preserve">GAW was created to address rather global and regional issue than national. For a number of parameters design of the network to address national requirements (e.g. in the case of the short lived gases or aerosols) would require different network design. </w:t>
      </w:r>
    </w:p>
    <w:p w:rsidR="007714AE" w:rsidRDefault="007714AE" w:rsidP="007714AE">
      <w:pPr>
        <w:jc w:val="both"/>
      </w:pPr>
    </w:p>
    <w:p w:rsidR="007714AE" w:rsidRDefault="007714AE" w:rsidP="007714AE">
      <w:pPr>
        <w:jc w:val="both"/>
      </w:pPr>
      <w:r>
        <w:t xml:space="preserve">4.  </w:t>
      </w:r>
      <w:r>
        <w:tab/>
        <w:t>DESIGNING APPROPRIATELY SPACED NETWORKS</w:t>
      </w:r>
    </w:p>
    <w:p w:rsidR="00BD6A74" w:rsidRDefault="00BD6A74" w:rsidP="007714AE">
      <w:pPr>
        <w:jc w:val="both"/>
      </w:pPr>
    </w:p>
    <w:p w:rsidR="007714AE" w:rsidRDefault="00BD6A74" w:rsidP="007714AE">
      <w:pPr>
        <w:jc w:val="both"/>
      </w:pPr>
      <w:r>
        <w:t xml:space="preserve">GAW indicates spatial gaps in the network in the Congress, EC and Regional Association documents and encourages the Members to address these gaps. </w:t>
      </w:r>
    </w:p>
    <w:p w:rsidR="007714AE" w:rsidRDefault="007714AE" w:rsidP="007714AE">
      <w:pPr>
        <w:jc w:val="both"/>
      </w:pPr>
    </w:p>
    <w:p w:rsidR="007714AE" w:rsidRDefault="007714AE" w:rsidP="007714AE">
      <w:pPr>
        <w:jc w:val="both"/>
      </w:pPr>
      <w:r>
        <w:t xml:space="preserve">5.  </w:t>
      </w:r>
      <w:r>
        <w:tab/>
        <w:t>DESIGNING COST-EFFECTIVE NETWORKS</w:t>
      </w:r>
    </w:p>
    <w:p w:rsidR="007714AE" w:rsidRDefault="00BD6A74" w:rsidP="007714AE">
      <w:pPr>
        <w:jc w:val="both"/>
      </w:pPr>
      <w:r>
        <w:t>This is not implemented in GAW as we rely on the capacity of Members. Though GAW uses opportunities provided by contributing networks and encourages regional and national networks to join GAW if they are compatible with GAW protocols.</w:t>
      </w:r>
    </w:p>
    <w:p w:rsidR="007714AE" w:rsidRDefault="007714AE" w:rsidP="007714AE">
      <w:pPr>
        <w:jc w:val="both"/>
      </w:pPr>
    </w:p>
    <w:p w:rsidR="007714AE" w:rsidRDefault="007714AE" w:rsidP="007714AE">
      <w:pPr>
        <w:jc w:val="both"/>
      </w:pPr>
      <w:r>
        <w:t xml:space="preserve">6. </w:t>
      </w:r>
      <w:r>
        <w:tab/>
        <w:t>ACHIEVING HOMOGENEITY IN OBSERVATIONAL DATA</w:t>
      </w:r>
    </w:p>
    <w:p w:rsidR="007714AE" w:rsidRDefault="00BD6A74" w:rsidP="007714AE">
      <w:pPr>
        <w:jc w:val="both"/>
      </w:pPr>
      <w:r>
        <w:t xml:space="preserve">GAW implements Quality Management System with harmonized measurement techniques, regular comparison </w:t>
      </w:r>
      <w:r w:rsidR="00DD22F7">
        <w:t>campaigns</w:t>
      </w:r>
      <w:r>
        <w:t xml:space="preserve"> and checks in the Data Centres to </w:t>
      </w:r>
      <w:r w:rsidR="00DD22F7">
        <w:t>achieve</w:t>
      </w:r>
      <w:r>
        <w:t xml:space="preserve"> homogeneity of observational data. </w:t>
      </w:r>
    </w:p>
    <w:p w:rsidR="007714AE" w:rsidRDefault="007714AE" w:rsidP="007714AE">
      <w:pPr>
        <w:jc w:val="both"/>
      </w:pPr>
    </w:p>
    <w:p w:rsidR="007714AE" w:rsidRDefault="007714AE" w:rsidP="007714AE">
      <w:pPr>
        <w:jc w:val="both"/>
      </w:pPr>
      <w:r>
        <w:t xml:space="preserve">7.  </w:t>
      </w:r>
      <w:r>
        <w:tab/>
        <w:t>DESIGNING THROUGH A TIERED APPROACH</w:t>
      </w:r>
    </w:p>
    <w:p w:rsidR="007714AE" w:rsidRDefault="00DD22F7" w:rsidP="007714AE">
      <w:pPr>
        <w:jc w:val="both"/>
      </w:pPr>
      <w:r>
        <w:t xml:space="preserve">This principle is embedded in the GAW Quality Assurance System. </w:t>
      </w:r>
    </w:p>
    <w:p w:rsidR="00DD22F7" w:rsidRDefault="00DD22F7" w:rsidP="007714AE">
      <w:pPr>
        <w:jc w:val="both"/>
      </w:pPr>
    </w:p>
    <w:p w:rsidR="007714AE" w:rsidRDefault="007714AE" w:rsidP="007714AE">
      <w:pPr>
        <w:jc w:val="both"/>
      </w:pPr>
      <w:r>
        <w:t xml:space="preserve">8.  </w:t>
      </w:r>
      <w:r>
        <w:tab/>
        <w:t>DESIGNING RELIABLE AND STABLE NETWORKS</w:t>
      </w:r>
    </w:p>
    <w:p w:rsidR="007714AE" w:rsidRDefault="00DD22F7" w:rsidP="007714AE">
      <w:pPr>
        <w:jc w:val="both"/>
      </w:pPr>
      <w:r>
        <w:t xml:space="preserve">GAW station requirement include the request for continues long-term uninterrupted operation of stations. </w:t>
      </w:r>
    </w:p>
    <w:p w:rsidR="00DD22F7" w:rsidRDefault="00DD22F7" w:rsidP="007714AE">
      <w:pPr>
        <w:jc w:val="both"/>
      </w:pPr>
    </w:p>
    <w:p w:rsidR="007714AE" w:rsidRDefault="007714AE" w:rsidP="007714AE">
      <w:pPr>
        <w:jc w:val="both"/>
      </w:pPr>
      <w:r>
        <w:t xml:space="preserve">9.  </w:t>
      </w:r>
      <w:r>
        <w:tab/>
        <w:t>MAKING OBSERVATIONAL DATA AVAILABLE</w:t>
      </w:r>
    </w:p>
    <w:p w:rsidR="007714AE" w:rsidRDefault="00DD22F7" w:rsidP="007714AE">
      <w:pPr>
        <w:jc w:val="both"/>
      </w:pPr>
      <w:r>
        <w:t xml:space="preserve">GAW practises open data policy. Observational data are submitted by Members to the dedicated data centres and are made </w:t>
      </w:r>
      <w:r w:rsidR="00281E57">
        <w:t xml:space="preserve">freely </w:t>
      </w:r>
      <w:r>
        <w:t xml:space="preserve">available. </w:t>
      </w:r>
    </w:p>
    <w:p w:rsidR="007714AE" w:rsidRDefault="007714AE" w:rsidP="007714AE">
      <w:pPr>
        <w:jc w:val="both"/>
      </w:pPr>
    </w:p>
    <w:p w:rsidR="007714AE" w:rsidRDefault="007714AE" w:rsidP="007714AE">
      <w:pPr>
        <w:jc w:val="both"/>
      </w:pPr>
      <w:r>
        <w:t xml:space="preserve">10.  </w:t>
      </w:r>
      <w:r>
        <w:tab/>
        <w:t>PROVIDING INFORMATION SO THAT THE OBSERVATIONS CAN BE INTERPRETED</w:t>
      </w:r>
    </w:p>
    <w:p w:rsidR="007714AE" w:rsidRDefault="00DD22F7" w:rsidP="007714AE">
      <w:pPr>
        <w:jc w:val="both"/>
      </w:pPr>
      <w:r>
        <w:t>Observational data submitted to the data centres require accompanying met</w:t>
      </w:r>
      <w:r w:rsidR="00281E57">
        <w:t>a</w:t>
      </w:r>
      <w:r>
        <w:t xml:space="preserve">data and flagging that can be used to interpreted observational data. Stations are required to have detailed log book to support their observations. The synchronization of the flagging between different data centres is on-going work. </w:t>
      </w:r>
    </w:p>
    <w:p w:rsidR="007714AE" w:rsidRDefault="007714AE" w:rsidP="007714AE">
      <w:pPr>
        <w:jc w:val="both"/>
      </w:pPr>
    </w:p>
    <w:p w:rsidR="007714AE" w:rsidRDefault="007714AE" w:rsidP="007714AE">
      <w:pPr>
        <w:jc w:val="both"/>
      </w:pPr>
      <w:r>
        <w:t xml:space="preserve">11. </w:t>
      </w:r>
      <w:r>
        <w:tab/>
        <w:t>ACHIEVING SUSTAINABLE NETWORKS</w:t>
      </w:r>
    </w:p>
    <w:p w:rsidR="007714AE" w:rsidRDefault="00DD22F7" w:rsidP="007714AE">
      <w:pPr>
        <w:jc w:val="both"/>
      </w:pPr>
      <w:r>
        <w:t xml:space="preserve">GAW is a research programme. Unfortunately recent attempts to move atmospheric composition measurements to operational mode led to loss of quality of observations and data gaps are due to </w:t>
      </w:r>
      <w:r>
        <w:lastRenderedPageBreak/>
        <w:t xml:space="preserve">limited capacity and experience within </w:t>
      </w:r>
      <w:r w:rsidR="00281E57">
        <w:t xml:space="preserve">the </w:t>
      </w:r>
      <w:r>
        <w:t xml:space="preserve">operational community. Research support is still needed to support atmospheric composition observations at the required quality level. </w:t>
      </w:r>
    </w:p>
    <w:p w:rsidR="007714AE" w:rsidRDefault="007714AE" w:rsidP="007714AE">
      <w:pPr>
        <w:jc w:val="both"/>
      </w:pPr>
    </w:p>
    <w:p w:rsidR="007714AE" w:rsidRDefault="007714AE" w:rsidP="007714AE">
      <w:pPr>
        <w:jc w:val="both"/>
      </w:pPr>
      <w:r>
        <w:t xml:space="preserve">12. </w:t>
      </w:r>
      <w:r>
        <w:tab/>
        <w:t>MANAGING CHANGE</w:t>
      </w:r>
    </w:p>
    <w:p w:rsidR="007714AE" w:rsidRDefault="00DD22F7" w:rsidP="007714AE">
      <w:pPr>
        <w:jc w:val="both"/>
      </w:pPr>
      <w:r>
        <w:t>Individual measurement guidelines and standard operating procedures contain information on required overlap period between different systems to ensure consistency of the data sets from the same station.</w:t>
      </w:r>
    </w:p>
    <w:p w:rsidR="000C3900" w:rsidRPr="00ED038C" w:rsidRDefault="000C3900" w:rsidP="00035A13">
      <w:pPr>
        <w:jc w:val="both"/>
        <w:rPr>
          <w:rFonts w:cs="Arial"/>
          <w:szCs w:val="22"/>
        </w:rPr>
      </w:pPr>
    </w:p>
    <w:p w:rsidR="00ED038C" w:rsidRPr="00ED038C" w:rsidRDefault="00ED038C" w:rsidP="00ED038C">
      <w:pPr>
        <w:jc w:val="center"/>
        <w:rPr>
          <w:rFonts w:cs="Arial"/>
          <w:szCs w:val="22"/>
        </w:rPr>
      </w:pPr>
      <w:r w:rsidRPr="00ED038C">
        <w:rPr>
          <w:rFonts w:cs="Arial"/>
          <w:szCs w:val="22"/>
        </w:rPr>
        <w:t>_________________</w:t>
      </w:r>
    </w:p>
    <w:sectPr w:rsidR="00ED038C" w:rsidRPr="00ED038C" w:rsidSect="0056703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0A" w:rsidRDefault="009A710A">
      <w:r>
        <w:separator/>
      </w:r>
    </w:p>
  </w:endnote>
  <w:endnote w:type="continuationSeparator" w:id="0">
    <w:p w:rsidR="009A710A" w:rsidRDefault="009A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0A" w:rsidRDefault="009A710A">
      <w:r>
        <w:separator/>
      </w:r>
    </w:p>
  </w:footnote>
  <w:footnote w:type="continuationSeparator" w:id="0">
    <w:p w:rsidR="009A710A" w:rsidRDefault="009A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A0" w:rsidRPr="00A828ED" w:rsidRDefault="00FD3EA0" w:rsidP="008C58EA">
    <w:pPr>
      <w:pStyle w:val="Header"/>
      <w:jc w:val="center"/>
      <w:rPr>
        <w:sz w:val="20"/>
        <w:szCs w:val="20"/>
        <w:lang w:val="en-GB"/>
      </w:rPr>
    </w:pPr>
    <w:r>
      <w:rPr>
        <w:sz w:val="20"/>
        <w:szCs w:val="20"/>
        <w:lang w:val="fr-FR"/>
      </w:rPr>
      <w:fldChar w:fldCharType="begin"/>
    </w:r>
    <w:r w:rsidRPr="00A828ED">
      <w:rPr>
        <w:sz w:val="20"/>
        <w:szCs w:val="20"/>
        <w:lang w:val="en-GB"/>
      </w:rPr>
      <w:instrText xml:space="preserve"> REF Meeting_Code \h </w:instrText>
    </w:r>
    <w:r w:rsidRPr="00537AB6">
      <w:rPr>
        <w:sz w:val="20"/>
        <w:szCs w:val="20"/>
        <w:lang w:val="fr-FR"/>
      </w:rPr>
    </w:r>
    <w:r>
      <w:rPr>
        <w:sz w:val="20"/>
        <w:szCs w:val="20"/>
        <w:lang w:val="fr-FR"/>
      </w:rPr>
      <w:fldChar w:fldCharType="separate"/>
    </w:r>
    <w:r w:rsidR="003A1B03">
      <w:rPr>
        <w:rFonts w:cs="Arial"/>
        <w:noProof/>
        <w:sz w:val="20"/>
        <w:szCs w:val="20"/>
      </w:rPr>
      <w:t>CBS/OPAG-IOS/OSDW2</w:t>
    </w:r>
    <w:r>
      <w:rPr>
        <w:sz w:val="20"/>
        <w:szCs w:val="20"/>
        <w:lang w:val="fr-FR"/>
      </w:rPr>
      <w:fldChar w:fldCharType="end"/>
    </w:r>
    <w:r w:rsidRPr="00A828ED">
      <w:rPr>
        <w:sz w:val="20"/>
        <w:szCs w:val="20"/>
        <w:lang w:val="en-GB"/>
      </w:rPr>
      <w:t xml:space="preserve"> / </w:t>
    </w:r>
    <w:r>
      <w:rPr>
        <w:sz w:val="20"/>
        <w:szCs w:val="20"/>
        <w:lang w:val="fr-FR"/>
      </w:rPr>
      <w:fldChar w:fldCharType="begin"/>
    </w:r>
    <w:r w:rsidRPr="00A828ED">
      <w:rPr>
        <w:sz w:val="20"/>
        <w:szCs w:val="20"/>
        <w:lang w:val="en-GB"/>
      </w:rPr>
      <w:instrText xml:space="preserve"> REF DOC_NO \h </w:instrText>
    </w:r>
    <w:r w:rsidRPr="00537AB6">
      <w:rPr>
        <w:sz w:val="20"/>
        <w:szCs w:val="20"/>
        <w:lang w:val="fr-FR"/>
      </w:rPr>
    </w:r>
    <w:r>
      <w:rPr>
        <w:sz w:val="20"/>
        <w:szCs w:val="20"/>
        <w:lang w:val="fr-FR"/>
      </w:rPr>
      <w:fldChar w:fldCharType="separate"/>
    </w:r>
    <w:r w:rsidR="003A1B03">
      <w:rPr>
        <w:rFonts w:cs="Arial"/>
        <w:noProof/>
        <w:sz w:val="20"/>
        <w:szCs w:val="20"/>
      </w:rPr>
      <w:t>INF. 1</w:t>
    </w:r>
    <w:r>
      <w:rPr>
        <w:sz w:val="20"/>
        <w:szCs w:val="20"/>
        <w:lang w:val="fr-FR"/>
      </w:rPr>
      <w:fldChar w:fldCharType="end"/>
    </w:r>
    <w:r w:rsidRPr="00A828ED">
      <w:rPr>
        <w:sz w:val="20"/>
        <w:szCs w:val="20"/>
        <w:lang w:val="en-GB"/>
      </w:rPr>
      <w:t>, APPENDIX</w:t>
    </w:r>
  </w:p>
  <w:p w:rsidR="00FD3EA0" w:rsidRPr="00A828ED" w:rsidRDefault="00FD3EA0" w:rsidP="008C58EA">
    <w:pPr>
      <w:pStyle w:val="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A0" w:rsidRDefault="00FD3EA0" w:rsidP="00E57046">
    <w:pPr>
      <w:pStyle w:val="Header"/>
      <w:jc w:val="center"/>
      <w:rPr>
        <w:rStyle w:val="PageNumber"/>
        <w:sz w:val="20"/>
        <w:szCs w:val="20"/>
      </w:rPr>
    </w:pPr>
    <w:r>
      <w:rPr>
        <w:sz w:val="20"/>
        <w:szCs w:val="20"/>
        <w:lang w:val="fr-FR"/>
      </w:rPr>
      <w:fldChar w:fldCharType="begin"/>
    </w:r>
    <w:r w:rsidRPr="002B7645">
      <w:rPr>
        <w:sz w:val="20"/>
        <w:szCs w:val="20"/>
        <w:lang w:val="pt-BR"/>
      </w:rPr>
      <w:instrText xml:space="preserve"> REF Meeting_Code </w:instrText>
    </w:r>
    <w:r>
      <w:rPr>
        <w:sz w:val="20"/>
        <w:szCs w:val="20"/>
        <w:lang w:val="fr-FR"/>
      </w:rPr>
      <w:fldChar w:fldCharType="separate"/>
    </w:r>
    <w:r w:rsidR="003A1B03">
      <w:rPr>
        <w:rFonts w:cs="Arial"/>
        <w:noProof/>
        <w:sz w:val="20"/>
        <w:szCs w:val="20"/>
      </w:rPr>
      <w:t>CBS/OPAG-IOS/OSDW2</w:t>
    </w:r>
    <w:r>
      <w:rPr>
        <w:sz w:val="20"/>
        <w:szCs w:val="20"/>
        <w:lang w:val="fr-FR"/>
      </w:rPr>
      <w:fldChar w:fldCharType="end"/>
    </w:r>
    <w:r w:rsidRPr="002B7645">
      <w:rPr>
        <w:sz w:val="20"/>
        <w:szCs w:val="20"/>
        <w:lang w:val="pt-BR"/>
      </w:rPr>
      <w:t xml:space="preserve"> / </w:t>
    </w:r>
    <w:r w:rsidR="00CA7F5D" w:rsidRPr="00CA7F5D">
      <w:rPr>
        <w:sz w:val="20"/>
        <w:szCs w:val="20"/>
        <w:lang w:val="fr-FR"/>
      </w:rPr>
      <w:t>DOC. 6(4)</w:t>
    </w:r>
    <w:r w:rsidRPr="002B7645">
      <w:rPr>
        <w:sz w:val="20"/>
        <w:szCs w:val="20"/>
        <w:lang w:val="pt-BR"/>
      </w:rPr>
      <w:t xml:space="preserve">, p. </w:t>
    </w:r>
    <w:r>
      <w:rPr>
        <w:rStyle w:val="PageNumber"/>
        <w:sz w:val="20"/>
        <w:szCs w:val="20"/>
      </w:rPr>
      <w:fldChar w:fldCharType="begin"/>
    </w:r>
    <w:r w:rsidRPr="002B7645">
      <w:rPr>
        <w:rStyle w:val="PageNumber"/>
        <w:sz w:val="20"/>
        <w:szCs w:val="20"/>
        <w:lang w:val="pt-BR"/>
      </w:rPr>
      <w:instrText xml:space="preserve"> PAGE </w:instrText>
    </w:r>
    <w:r>
      <w:rPr>
        <w:rStyle w:val="PageNumber"/>
        <w:sz w:val="20"/>
        <w:szCs w:val="20"/>
      </w:rPr>
      <w:fldChar w:fldCharType="separate"/>
    </w:r>
    <w:r w:rsidR="00134164">
      <w:rPr>
        <w:rStyle w:val="PageNumber"/>
        <w:noProof/>
        <w:sz w:val="20"/>
        <w:szCs w:val="20"/>
        <w:lang w:val="pt-BR"/>
      </w:rPr>
      <w:t>7</w:t>
    </w:r>
    <w:r>
      <w:rPr>
        <w:rStyle w:val="PageNumber"/>
        <w:sz w:val="20"/>
        <w:szCs w:val="20"/>
      </w:rPr>
      <w:fldChar w:fldCharType="end"/>
    </w:r>
  </w:p>
  <w:p w:rsidR="00FD3EA0" w:rsidRPr="001F5998" w:rsidRDefault="00FD3EA0">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348D1"/>
    <w:multiLevelType w:val="hybridMultilevel"/>
    <w:tmpl w:val="A040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2DA71D17"/>
    <w:multiLevelType w:val="multilevel"/>
    <w:tmpl w:val="4322E4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75276A0"/>
    <w:multiLevelType w:val="hybridMultilevel"/>
    <w:tmpl w:val="6CE27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C9D0EA9"/>
    <w:multiLevelType w:val="hybridMultilevel"/>
    <w:tmpl w:val="955C9870"/>
    <w:lvl w:ilvl="0" w:tplc="AE1CE2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E2D70"/>
    <w:multiLevelType w:val="singleLevel"/>
    <w:tmpl w:val="D4541942"/>
    <w:lvl w:ilvl="0">
      <w:start w:val="1"/>
      <w:numFmt w:val="decimal"/>
      <w:lvlText w:val="%1."/>
      <w:lvlJc w:val="left"/>
      <w:pPr>
        <w:tabs>
          <w:tab w:val="num" w:pos="360"/>
        </w:tabs>
        <w:ind w:left="0" w:firstLine="0"/>
      </w:pPr>
    </w:lvl>
  </w:abstractNum>
  <w:abstractNum w:abstractNumId="23">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2"/>
  </w:num>
  <w:num w:numId="3">
    <w:abstractNumId w:val="12"/>
  </w:num>
  <w:num w:numId="4">
    <w:abstractNumId w:val="8"/>
  </w:num>
  <w:num w:numId="5">
    <w:abstractNumId w:val="7"/>
  </w:num>
  <w:num w:numId="6">
    <w:abstractNumId w:val="17"/>
  </w:num>
  <w:num w:numId="7">
    <w:abstractNumId w:val="13"/>
  </w:num>
  <w:num w:numId="8">
    <w:abstractNumId w:val="16"/>
  </w:num>
  <w:num w:numId="9">
    <w:abstractNumId w:val="23"/>
  </w:num>
  <w:num w:numId="10">
    <w:abstractNumId w:val="4"/>
  </w:num>
  <w:num w:numId="11">
    <w:abstractNumId w:val="15"/>
  </w:num>
  <w:num w:numId="12">
    <w:abstractNumId w:val="20"/>
  </w:num>
  <w:num w:numId="13">
    <w:abstractNumId w:val="2"/>
  </w:num>
  <w:num w:numId="14">
    <w:abstractNumId w:val="3"/>
  </w:num>
  <w:num w:numId="15">
    <w:abstractNumId w:val="11"/>
  </w:num>
  <w:num w:numId="16">
    <w:abstractNumId w:val="10"/>
  </w:num>
  <w:num w:numId="17">
    <w:abstractNumId w:val="14"/>
  </w:num>
  <w:num w:numId="18">
    <w:abstractNumId w:val="21"/>
  </w:num>
  <w:num w:numId="19">
    <w:abstractNumId w:val="5"/>
  </w:num>
  <w:num w:numId="20">
    <w:abstractNumId w:val="9"/>
  </w:num>
  <w:num w:numId="21">
    <w:abstractNumId w:val="1"/>
  </w:num>
  <w:num w:numId="22">
    <w:abstractNumId w:val="1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97"/>
    <w:rsid w:val="000054B8"/>
    <w:rsid w:val="00011B66"/>
    <w:rsid w:val="00035A13"/>
    <w:rsid w:val="000360EE"/>
    <w:rsid w:val="0005071C"/>
    <w:rsid w:val="000C3900"/>
    <w:rsid w:val="000C567B"/>
    <w:rsid w:val="001157D7"/>
    <w:rsid w:val="001264D1"/>
    <w:rsid w:val="00134164"/>
    <w:rsid w:val="00134AC5"/>
    <w:rsid w:val="00144CAC"/>
    <w:rsid w:val="00155D7B"/>
    <w:rsid w:val="00170632"/>
    <w:rsid w:val="00174745"/>
    <w:rsid w:val="001828FD"/>
    <w:rsid w:val="001970F6"/>
    <w:rsid w:val="001A0EB5"/>
    <w:rsid w:val="001B4B16"/>
    <w:rsid w:val="001E2993"/>
    <w:rsid w:val="00200C57"/>
    <w:rsid w:val="002014BB"/>
    <w:rsid w:val="002072BA"/>
    <w:rsid w:val="0020733F"/>
    <w:rsid w:val="0021568D"/>
    <w:rsid w:val="002330BA"/>
    <w:rsid w:val="00234405"/>
    <w:rsid w:val="00272029"/>
    <w:rsid w:val="00272592"/>
    <w:rsid w:val="00281E57"/>
    <w:rsid w:val="002964F4"/>
    <w:rsid w:val="002B7645"/>
    <w:rsid w:val="002D39CA"/>
    <w:rsid w:val="002F142B"/>
    <w:rsid w:val="00301DCD"/>
    <w:rsid w:val="00302BA0"/>
    <w:rsid w:val="00303685"/>
    <w:rsid w:val="0030467C"/>
    <w:rsid w:val="0031135E"/>
    <w:rsid w:val="00335FFB"/>
    <w:rsid w:val="00336632"/>
    <w:rsid w:val="003376F8"/>
    <w:rsid w:val="0034758D"/>
    <w:rsid w:val="00360AC8"/>
    <w:rsid w:val="003657D1"/>
    <w:rsid w:val="00373A7B"/>
    <w:rsid w:val="003A0360"/>
    <w:rsid w:val="003A0E01"/>
    <w:rsid w:val="003A1B03"/>
    <w:rsid w:val="003A1B44"/>
    <w:rsid w:val="003A2C44"/>
    <w:rsid w:val="003A6C4E"/>
    <w:rsid w:val="003F296A"/>
    <w:rsid w:val="004120ED"/>
    <w:rsid w:val="00423F9F"/>
    <w:rsid w:val="00427B36"/>
    <w:rsid w:val="004303C3"/>
    <w:rsid w:val="00445E9A"/>
    <w:rsid w:val="00460533"/>
    <w:rsid w:val="00481DD9"/>
    <w:rsid w:val="004970AA"/>
    <w:rsid w:val="004E0CDF"/>
    <w:rsid w:val="0050389B"/>
    <w:rsid w:val="00517469"/>
    <w:rsid w:val="00523204"/>
    <w:rsid w:val="00536F2B"/>
    <w:rsid w:val="0053715C"/>
    <w:rsid w:val="00537AB6"/>
    <w:rsid w:val="00562B6F"/>
    <w:rsid w:val="00567039"/>
    <w:rsid w:val="00586DA4"/>
    <w:rsid w:val="005B0343"/>
    <w:rsid w:val="005B3F6A"/>
    <w:rsid w:val="005B4C3E"/>
    <w:rsid w:val="005C3061"/>
    <w:rsid w:val="005C3F53"/>
    <w:rsid w:val="005D30C7"/>
    <w:rsid w:val="005E14D9"/>
    <w:rsid w:val="005F3269"/>
    <w:rsid w:val="00614F75"/>
    <w:rsid w:val="006167F0"/>
    <w:rsid w:val="00641764"/>
    <w:rsid w:val="00656237"/>
    <w:rsid w:val="00674D18"/>
    <w:rsid w:val="006A0AFA"/>
    <w:rsid w:val="006C5C1C"/>
    <w:rsid w:val="006C6C67"/>
    <w:rsid w:val="006D68E9"/>
    <w:rsid w:val="006E25CF"/>
    <w:rsid w:val="006E481F"/>
    <w:rsid w:val="006F1E80"/>
    <w:rsid w:val="006F32AA"/>
    <w:rsid w:val="00701B1B"/>
    <w:rsid w:val="00704901"/>
    <w:rsid w:val="007165AF"/>
    <w:rsid w:val="00723E4F"/>
    <w:rsid w:val="007315A0"/>
    <w:rsid w:val="00732333"/>
    <w:rsid w:val="00740A2A"/>
    <w:rsid w:val="00740FFA"/>
    <w:rsid w:val="0074657E"/>
    <w:rsid w:val="00756B4F"/>
    <w:rsid w:val="00757C3D"/>
    <w:rsid w:val="007714AE"/>
    <w:rsid w:val="007875FC"/>
    <w:rsid w:val="007A3EA0"/>
    <w:rsid w:val="007B13D5"/>
    <w:rsid w:val="007C72FA"/>
    <w:rsid w:val="00826CDD"/>
    <w:rsid w:val="00834E5F"/>
    <w:rsid w:val="00837EF6"/>
    <w:rsid w:val="008406A3"/>
    <w:rsid w:val="008412CC"/>
    <w:rsid w:val="008767A0"/>
    <w:rsid w:val="0088061D"/>
    <w:rsid w:val="00883789"/>
    <w:rsid w:val="008A0229"/>
    <w:rsid w:val="008A303A"/>
    <w:rsid w:val="008A534E"/>
    <w:rsid w:val="008B07EA"/>
    <w:rsid w:val="008C16DF"/>
    <w:rsid w:val="008C2A6E"/>
    <w:rsid w:val="008C58EA"/>
    <w:rsid w:val="008D563E"/>
    <w:rsid w:val="008E4782"/>
    <w:rsid w:val="00926415"/>
    <w:rsid w:val="009360E6"/>
    <w:rsid w:val="00937655"/>
    <w:rsid w:val="009473FB"/>
    <w:rsid w:val="009723DF"/>
    <w:rsid w:val="009817D8"/>
    <w:rsid w:val="009A710A"/>
    <w:rsid w:val="009B4E72"/>
    <w:rsid w:val="009B7D4C"/>
    <w:rsid w:val="009C3BA7"/>
    <w:rsid w:val="009D3BFB"/>
    <w:rsid w:val="009D6EDF"/>
    <w:rsid w:val="00A10E65"/>
    <w:rsid w:val="00A24CAB"/>
    <w:rsid w:val="00A41D77"/>
    <w:rsid w:val="00A47F2D"/>
    <w:rsid w:val="00A50518"/>
    <w:rsid w:val="00A53AFA"/>
    <w:rsid w:val="00A54D75"/>
    <w:rsid w:val="00A57F3F"/>
    <w:rsid w:val="00A675AA"/>
    <w:rsid w:val="00A828ED"/>
    <w:rsid w:val="00AA05BA"/>
    <w:rsid w:val="00AB3696"/>
    <w:rsid w:val="00AB4BB3"/>
    <w:rsid w:val="00AB6301"/>
    <w:rsid w:val="00AD08D5"/>
    <w:rsid w:val="00AE18C7"/>
    <w:rsid w:val="00AF56A1"/>
    <w:rsid w:val="00B3692F"/>
    <w:rsid w:val="00B401B0"/>
    <w:rsid w:val="00B50EC0"/>
    <w:rsid w:val="00B62F97"/>
    <w:rsid w:val="00B71A50"/>
    <w:rsid w:val="00B85012"/>
    <w:rsid w:val="00B90D2B"/>
    <w:rsid w:val="00BA4E18"/>
    <w:rsid w:val="00BA6334"/>
    <w:rsid w:val="00BD1A3F"/>
    <w:rsid w:val="00BD6A74"/>
    <w:rsid w:val="00BE59C3"/>
    <w:rsid w:val="00C0356A"/>
    <w:rsid w:val="00C73AF2"/>
    <w:rsid w:val="00C74514"/>
    <w:rsid w:val="00C7587A"/>
    <w:rsid w:val="00C87D44"/>
    <w:rsid w:val="00CA3E82"/>
    <w:rsid w:val="00CA789A"/>
    <w:rsid w:val="00CA7F5D"/>
    <w:rsid w:val="00CB7F3C"/>
    <w:rsid w:val="00CC013B"/>
    <w:rsid w:val="00CC636A"/>
    <w:rsid w:val="00CE04CA"/>
    <w:rsid w:val="00CE0B6D"/>
    <w:rsid w:val="00CE2917"/>
    <w:rsid w:val="00D02C1D"/>
    <w:rsid w:val="00D147E3"/>
    <w:rsid w:val="00D2372E"/>
    <w:rsid w:val="00D31BFB"/>
    <w:rsid w:val="00D3299F"/>
    <w:rsid w:val="00D43320"/>
    <w:rsid w:val="00D515C5"/>
    <w:rsid w:val="00D5649F"/>
    <w:rsid w:val="00D576F0"/>
    <w:rsid w:val="00D61852"/>
    <w:rsid w:val="00D86621"/>
    <w:rsid w:val="00D90999"/>
    <w:rsid w:val="00D93B70"/>
    <w:rsid w:val="00D97603"/>
    <w:rsid w:val="00DA3450"/>
    <w:rsid w:val="00DB24E1"/>
    <w:rsid w:val="00DD1522"/>
    <w:rsid w:val="00DD22F7"/>
    <w:rsid w:val="00DD3F1A"/>
    <w:rsid w:val="00DD48F5"/>
    <w:rsid w:val="00DE238A"/>
    <w:rsid w:val="00DE4938"/>
    <w:rsid w:val="00DF059A"/>
    <w:rsid w:val="00E01E47"/>
    <w:rsid w:val="00E36039"/>
    <w:rsid w:val="00E422DF"/>
    <w:rsid w:val="00E4396E"/>
    <w:rsid w:val="00E530BD"/>
    <w:rsid w:val="00E57046"/>
    <w:rsid w:val="00E655C9"/>
    <w:rsid w:val="00EA7BEF"/>
    <w:rsid w:val="00EB3A20"/>
    <w:rsid w:val="00ED00CF"/>
    <w:rsid w:val="00ED038C"/>
    <w:rsid w:val="00ED1EC6"/>
    <w:rsid w:val="00EE2DA5"/>
    <w:rsid w:val="00EF215B"/>
    <w:rsid w:val="00F01676"/>
    <w:rsid w:val="00F16028"/>
    <w:rsid w:val="00F429AD"/>
    <w:rsid w:val="00F44B47"/>
    <w:rsid w:val="00F516EF"/>
    <w:rsid w:val="00F629AF"/>
    <w:rsid w:val="00F6393B"/>
    <w:rsid w:val="00F71B45"/>
    <w:rsid w:val="00F73098"/>
    <w:rsid w:val="00F737DC"/>
    <w:rsid w:val="00F82494"/>
    <w:rsid w:val="00FA2E9C"/>
    <w:rsid w:val="00FB5BF3"/>
    <w:rsid w:val="00FD3EA0"/>
    <w:rsid w:val="00FF63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link w:val="Char1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link w:val="DefaultParagraphFont"/>
    <w:rsid w:val="00C0356A"/>
    <w:rPr>
      <w:rFonts w:ascii="Times New Roman" w:eastAsia="Times New Roman" w:hAnsi="Times New Roman"/>
      <w:sz w:val="24"/>
      <w:lang w:val="pl-PL" w:eastAsia="pl-PL"/>
    </w:rPr>
  </w:style>
  <w:style w:type="paragraph" w:customStyle="1" w:styleId="CharCharChar">
    <w:name w:val=" Char Char Char"/>
    <w:basedOn w:val="Normal"/>
    <w:rsid w:val="00E57046"/>
    <w:rPr>
      <w:rFonts w:ascii="Times New Roman" w:eastAsia="Times New Roman" w:hAnsi="Times New Roman"/>
      <w:sz w:val="24"/>
      <w:lang w:val="pl-PL" w:eastAsia="pl-PL"/>
    </w:rPr>
  </w:style>
  <w:style w:type="paragraph" w:styleId="BalloonText">
    <w:name w:val="Balloon Text"/>
    <w:basedOn w:val="Normal"/>
    <w:semiHidden/>
    <w:rsid w:val="00DD48F5"/>
    <w:rPr>
      <w:rFonts w:ascii="Tahoma" w:hAnsi="Tahoma" w:cs="Tahoma"/>
      <w:sz w:val="16"/>
      <w:szCs w:val="16"/>
    </w:rPr>
  </w:style>
  <w:style w:type="character" w:styleId="CommentReference">
    <w:name w:val="annotation reference"/>
    <w:semiHidden/>
    <w:rsid w:val="003A0E01"/>
    <w:rPr>
      <w:sz w:val="16"/>
      <w:szCs w:val="16"/>
    </w:rPr>
  </w:style>
  <w:style w:type="paragraph" w:styleId="CommentText">
    <w:name w:val="annotation text"/>
    <w:basedOn w:val="Normal"/>
    <w:semiHidden/>
    <w:rsid w:val="003A0E01"/>
    <w:rPr>
      <w:sz w:val="20"/>
      <w:szCs w:val="20"/>
    </w:rPr>
  </w:style>
  <w:style w:type="paragraph" w:styleId="CommentSubject">
    <w:name w:val="annotation subject"/>
    <w:basedOn w:val="CommentText"/>
    <w:next w:val="CommentText"/>
    <w:semiHidden/>
    <w:rsid w:val="003A0E01"/>
    <w:rPr>
      <w:b/>
      <w:bCs/>
    </w:rPr>
  </w:style>
  <w:style w:type="character" w:customStyle="1" w:styleId="apple-converted-space">
    <w:name w:val="apple-converted-space"/>
    <w:basedOn w:val="DefaultParagraphFont"/>
    <w:rsid w:val="003A0E01"/>
  </w:style>
  <w:style w:type="table" w:styleId="TableGrid">
    <w:name w:val="Table Grid"/>
    <w:basedOn w:val="TableNormal"/>
    <w:rsid w:val="00537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37AB6"/>
    <w:rPr>
      <w:sz w:val="20"/>
      <w:szCs w:val="20"/>
    </w:rPr>
  </w:style>
  <w:style w:type="character" w:styleId="FootnoteReference">
    <w:name w:val="footnote reference"/>
    <w:semiHidden/>
    <w:rsid w:val="00537A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link w:val="Char1CharChar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link w:val="DefaultParagraphFont"/>
    <w:rsid w:val="00C0356A"/>
    <w:rPr>
      <w:rFonts w:ascii="Times New Roman" w:eastAsia="Times New Roman" w:hAnsi="Times New Roman"/>
      <w:sz w:val="24"/>
      <w:lang w:val="pl-PL" w:eastAsia="pl-PL"/>
    </w:rPr>
  </w:style>
  <w:style w:type="paragraph" w:customStyle="1" w:styleId="CharCharChar">
    <w:name w:val=" Char Char Char"/>
    <w:basedOn w:val="Normal"/>
    <w:rsid w:val="00E57046"/>
    <w:rPr>
      <w:rFonts w:ascii="Times New Roman" w:eastAsia="Times New Roman" w:hAnsi="Times New Roman"/>
      <w:sz w:val="24"/>
      <w:lang w:val="pl-PL" w:eastAsia="pl-PL"/>
    </w:rPr>
  </w:style>
  <w:style w:type="paragraph" w:styleId="BalloonText">
    <w:name w:val="Balloon Text"/>
    <w:basedOn w:val="Normal"/>
    <w:semiHidden/>
    <w:rsid w:val="00DD48F5"/>
    <w:rPr>
      <w:rFonts w:ascii="Tahoma" w:hAnsi="Tahoma" w:cs="Tahoma"/>
      <w:sz w:val="16"/>
      <w:szCs w:val="16"/>
    </w:rPr>
  </w:style>
  <w:style w:type="character" w:styleId="CommentReference">
    <w:name w:val="annotation reference"/>
    <w:semiHidden/>
    <w:rsid w:val="003A0E01"/>
    <w:rPr>
      <w:sz w:val="16"/>
      <w:szCs w:val="16"/>
    </w:rPr>
  </w:style>
  <w:style w:type="paragraph" w:styleId="CommentText">
    <w:name w:val="annotation text"/>
    <w:basedOn w:val="Normal"/>
    <w:semiHidden/>
    <w:rsid w:val="003A0E01"/>
    <w:rPr>
      <w:sz w:val="20"/>
      <w:szCs w:val="20"/>
    </w:rPr>
  </w:style>
  <w:style w:type="paragraph" w:styleId="CommentSubject">
    <w:name w:val="annotation subject"/>
    <w:basedOn w:val="CommentText"/>
    <w:next w:val="CommentText"/>
    <w:semiHidden/>
    <w:rsid w:val="003A0E01"/>
    <w:rPr>
      <w:b/>
      <w:bCs/>
    </w:rPr>
  </w:style>
  <w:style w:type="character" w:customStyle="1" w:styleId="apple-converted-space">
    <w:name w:val="apple-converted-space"/>
    <w:basedOn w:val="DefaultParagraphFont"/>
    <w:rsid w:val="003A0E01"/>
  </w:style>
  <w:style w:type="table" w:styleId="TableGrid">
    <w:name w:val="Table Grid"/>
    <w:basedOn w:val="TableNormal"/>
    <w:rsid w:val="00537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37AB6"/>
    <w:rPr>
      <w:sz w:val="20"/>
      <w:szCs w:val="20"/>
    </w:rPr>
  </w:style>
  <w:style w:type="character" w:styleId="FootnoteReference">
    <w:name w:val="footnote reference"/>
    <w:semiHidden/>
    <w:rsid w:val="0053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JCOMM\Meetings\CBS\EGOS\EGOS-7%20Geneva%20April%202012\docs\EGOS7-Doc-x.y-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EGOS7-Doc-x.y-Title.dot</Template>
  <TotalTime>0</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OSDW2/INF. 3</vt:lpstr>
    </vt:vector>
  </TitlesOfParts>
  <Company>WMO</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OSDW2/INF. 3</dc:title>
  <dc:subject>Documentation Plan</dc:subject>
  <dc:creator>ECharpentier</dc:creator>
  <cp:lastModifiedBy>Etienne Charpentier</cp:lastModifiedBy>
  <cp:revision>2</cp:revision>
  <cp:lastPrinted>2014-12-17T14:09:00Z</cp:lastPrinted>
  <dcterms:created xsi:type="dcterms:W3CDTF">2015-01-27T14:51:00Z</dcterms:created>
  <dcterms:modified xsi:type="dcterms:W3CDTF">2015-01-27T14:51:00Z</dcterms:modified>
</cp:coreProperties>
</file>