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insideH w:val="single" w:sz="4" w:space="0" w:color="auto"/>
        </w:tblBorders>
        <w:tblLook w:val="0000" w:firstRow="0" w:lastRow="0" w:firstColumn="0" w:lastColumn="0" w:noHBand="0" w:noVBand="0"/>
      </w:tblPr>
      <w:tblGrid>
        <w:gridCol w:w="4800"/>
        <w:gridCol w:w="360"/>
        <w:gridCol w:w="4560"/>
      </w:tblGrid>
      <w:tr w:rsidR="00932E1C" w:rsidRPr="007C72FA" w:rsidTr="00932E1C">
        <w:tc>
          <w:tcPr>
            <w:tcW w:w="4800" w:type="dxa"/>
          </w:tcPr>
          <w:p w:rsidR="00932E1C" w:rsidRPr="007C72FA" w:rsidRDefault="00932E1C" w:rsidP="00740DDC">
            <w:pPr>
              <w:pStyle w:val="Heading1"/>
              <w:rPr>
                <w:rFonts w:cs="Arial"/>
                <w:sz w:val="20"/>
                <w:szCs w:val="20"/>
              </w:rPr>
            </w:pPr>
            <w:r w:rsidRPr="007C72FA">
              <w:rPr>
                <w:rFonts w:cs="Arial"/>
                <w:sz w:val="20"/>
                <w:szCs w:val="20"/>
              </w:rPr>
              <w:t>WORLD METEOROLOGICAL ORGANIZATION</w:t>
            </w:r>
          </w:p>
          <w:p w:rsidR="00932E1C" w:rsidRPr="007C72FA" w:rsidRDefault="00932E1C" w:rsidP="00740DDC">
            <w:pPr>
              <w:jc w:val="center"/>
              <w:rPr>
                <w:rFonts w:cs="Arial"/>
                <w:sz w:val="20"/>
                <w:szCs w:val="20"/>
                <w:lang w:val="en-US"/>
              </w:rPr>
            </w:pPr>
            <w:r w:rsidRPr="007C72FA">
              <w:rPr>
                <w:rFonts w:cs="Arial"/>
                <w:sz w:val="20"/>
                <w:szCs w:val="20"/>
                <w:lang w:val="en-US"/>
              </w:rPr>
              <w:t>____________________</w:t>
            </w:r>
          </w:p>
          <w:p w:rsidR="00932E1C" w:rsidRPr="007C72FA" w:rsidRDefault="00932E1C" w:rsidP="00740DDC">
            <w:pPr>
              <w:ind w:hanging="108"/>
              <w:rPr>
                <w:rFonts w:cs="Arial"/>
                <w:sz w:val="20"/>
                <w:szCs w:val="20"/>
                <w:lang w:val="en-US"/>
              </w:rPr>
            </w:pPr>
          </w:p>
          <w:p w:rsidR="00932E1C" w:rsidRPr="007C72FA" w:rsidRDefault="00932E1C" w:rsidP="00740DDC">
            <w:pPr>
              <w:pStyle w:val="Heading3"/>
              <w:rPr>
                <w:rFonts w:cs="Arial"/>
              </w:rPr>
            </w:pPr>
            <w:r w:rsidRPr="007C72FA">
              <w:rPr>
                <w:rFonts w:cs="Arial"/>
              </w:rPr>
              <w:t>COMMISSION FOR BASIC SYSTEMS</w:t>
            </w:r>
          </w:p>
          <w:p w:rsidR="00932E1C" w:rsidRPr="007C72FA" w:rsidRDefault="00932E1C" w:rsidP="00740DDC">
            <w:pPr>
              <w:pStyle w:val="BodyText"/>
              <w:spacing w:after="0"/>
              <w:jc w:val="center"/>
              <w:rPr>
                <w:rFonts w:cs="Arial"/>
                <w:sz w:val="20"/>
                <w:szCs w:val="20"/>
              </w:rPr>
            </w:pPr>
            <w:r w:rsidRPr="007C72FA">
              <w:rPr>
                <w:rFonts w:cs="Arial"/>
                <w:sz w:val="20"/>
                <w:szCs w:val="20"/>
              </w:rPr>
              <w:t>OPEN PROGRAMMME AREA GROUP ON</w:t>
            </w:r>
          </w:p>
          <w:p w:rsidR="00932E1C" w:rsidRPr="007C72FA" w:rsidRDefault="00932E1C" w:rsidP="00740DDC">
            <w:pPr>
              <w:pStyle w:val="BodyText"/>
              <w:spacing w:after="0"/>
              <w:jc w:val="center"/>
              <w:rPr>
                <w:rFonts w:cs="Arial"/>
                <w:sz w:val="20"/>
                <w:szCs w:val="20"/>
              </w:rPr>
            </w:pPr>
            <w:r w:rsidRPr="007C72FA">
              <w:rPr>
                <w:rFonts w:cs="Arial"/>
                <w:sz w:val="20"/>
                <w:szCs w:val="20"/>
              </w:rPr>
              <w:t>INTEGRATED OBSERVING SYSTEMS</w:t>
            </w:r>
          </w:p>
          <w:p w:rsidR="00932E1C" w:rsidRPr="007C72FA" w:rsidRDefault="00932E1C" w:rsidP="00740DDC">
            <w:pPr>
              <w:ind w:hanging="108"/>
              <w:rPr>
                <w:rFonts w:cs="Arial"/>
                <w:sz w:val="20"/>
                <w:szCs w:val="20"/>
                <w:lang w:val="en-US"/>
              </w:rPr>
            </w:pPr>
          </w:p>
          <w:p w:rsidR="00932E1C" w:rsidRPr="00D2372E" w:rsidRDefault="00272A3A" w:rsidP="00740DDC">
            <w:pPr>
              <w:pStyle w:val="BodyText2"/>
              <w:rPr>
                <w:rFonts w:cs="Arial"/>
                <w:caps/>
                <w:sz w:val="20"/>
                <w:szCs w:val="20"/>
              </w:rPr>
            </w:pPr>
            <w:r w:rsidRPr="00272A3A">
              <w:rPr>
                <w:rFonts w:cs="Arial"/>
                <w:caps/>
                <w:sz w:val="20"/>
                <w:szCs w:val="20"/>
              </w:rPr>
              <w:t xml:space="preserve">Second </w:t>
            </w:r>
            <w:r w:rsidR="00932E1C" w:rsidRPr="00D2372E">
              <w:rPr>
                <w:rFonts w:cs="Arial"/>
                <w:i/>
                <w:caps/>
                <w:sz w:val="20"/>
                <w:szCs w:val="20"/>
              </w:rPr>
              <w:t>Ad hoc</w:t>
            </w:r>
            <w:r w:rsidR="00932E1C" w:rsidRPr="00D2372E">
              <w:rPr>
                <w:rFonts w:cs="Arial"/>
                <w:caps/>
                <w:sz w:val="20"/>
                <w:szCs w:val="20"/>
              </w:rPr>
              <w:t xml:space="preserve"> </w:t>
            </w:r>
            <w:r w:rsidR="00932E1C">
              <w:rPr>
                <w:rFonts w:cs="Arial"/>
                <w:caps/>
                <w:sz w:val="20"/>
                <w:szCs w:val="20"/>
              </w:rPr>
              <w:t>IPET-OSDE workshop</w:t>
            </w:r>
            <w:r w:rsidR="00932E1C" w:rsidRPr="00D2372E">
              <w:rPr>
                <w:rFonts w:cs="Arial"/>
                <w:caps/>
                <w:sz w:val="20"/>
                <w:szCs w:val="20"/>
              </w:rPr>
              <w:t xml:space="preserve"> </w:t>
            </w:r>
            <w:r w:rsidR="00932E1C">
              <w:rPr>
                <w:rFonts w:cs="Arial"/>
                <w:caps/>
                <w:sz w:val="20"/>
                <w:szCs w:val="20"/>
              </w:rPr>
              <w:t xml:space="preserve">on Observing System </w:t>
            </w:r>
            <w:r w:rsidR="001F1417">
              <w:rPr>
                <w:rFonts w:cs="Arial"/>
                <w:caps/>
                <w:sz w:val="20"/>
                <w:szCs w:val="20"/>
              </w:rPr>
              <w:t xml:space="preserve">Network </w:t>
            </w:r>
            <w:r w:rsidR="00932E1C">
              <w:rPr>
                <w:rFonts w:cs="Arial"/>
                <w:caps/>
                <w:sz w:val="20"/>
                <w:szCs w:val="20"/>
              </w:rPr>
              <w:t>Design</w:t>
            </w:r>
          </w:p>
          <w:p w:rsidR="00932E1C" w:rsidRPr="007C72FA" w:rsidRDefault="00932E1C" w:rsidP="00740DDC">
            <w:pPr>
              <w:jc w:val="center"/>
              <w:rPr>
                <w:rFonts w:cs="Arial"/>
                <w:sz w:val="20"/>
                <w:szCs w:val="20"/>
                <w:lang w:val="en-US"/>
              </w:rPr>
            </w:pPr>
          </w:p>
          <w:p w:rsidR="00932E1C" w:rsidRPr="00D2372E" w:rsidRDefault="00932E1C" w:rsidP="00740DDC">
            <w:pPr>
              <w:jc w:val="center"/>
              <w:rPr>
                <w:rFonts w:cs="Arial"/>
                <w:caps/>
                <w:sz w:val="20"/>
                <w:szCs w:val="20"/>
                <w:lang w:val="en-US"/>
              </w:rPr>
            </w:pPr>
            <w:r w:rsidRPr="00D2372E">
              <w:rPr>
                <w:rFonts w:cs="Arial"/>
                <w:caps/>
                <w:sz w:val="20"/>
                <w:szCs w:val="20"/>
                <w:lang w:val="en-US"/>
              </w:rPr>
              <w:t>GENEVA, SWITZERLAND, 2</w:t>
            </w:r>
            <w:r>
              <w:rPr>
                <w:rFonts w:cs="Arial"/>
                <w:caps/>
                <w:sz w:val="20"/>
                <w:szCs w:val="20"/>
                <w:lang w:val="en-US"/>
              </w:rPr>
              <w:t>-</w:t>
            </w:r>
            <w:r w:rsidR="00272A3A">
              <w:rPr>
                <w:rFonts w:cs="Arial"/>
                <w:caps/>
                <w:sz w:val="20"/>
                <w:szCs w:val="20"/>
                <w:lang w:val="en-US"/>
              </w:rPr>
              <w:t xml:space="preserve">4 </w:t>
            </w:r>
            <w:r w:rsidR="000F61F4">
              <w:rPr>
                <w:rFonts w:cs="Arial"/>
                <w:caps/>
                <w:sz w:val="20"/>
                <w:szCs w:val="20"/>
                <w:lang w:val="en-US"/>
              </w:rPr>
              <w:t>FebruARY</w:t>
            </w:r>
            <w:r w:rsidR="00272A3A">
              <w:rPr>
                <w:rFonts w:cs="Arial"/>
                <w:caps/>
                <w:sz w:val="20"/>
                <w:szCs w:val="20"/>
                <w:lang w:val="en-US"/>
              </w:rPr>
              <w:t xml:space="preserve"> 2015</w:t>
            </w:r>
          </w:p>
          <w:p w:rsidR="00932E1C" w:rsidRPr="007C72FA" w:rsidRDefault="00932E1C" w:rsidP="00740DDC">
            <w:pPr>
              <w:rPr>
                <w:rFonts w:cs="Arial"/>
                <w:sz w:val="20"/>
                <w:szCs w:val="20"/>
                <w:lang w:val="en-US"/>
              </w:rPr>
            </w:pPr>
          </w:p>
        </w:tc>
        <w:tc>
          <w:tcPr>
            <w:tcW w:w="360" w:type="dxa"/>
          </w:tcPr>
          <w:p w:rsidR="00932E1C" w:rsidRPr="007C72FA" w:rsidRDefault="00932E1C" w:rsidP="00740DDC">
            <w:pPr>
              <w:rPr>
                <w:rFonts w:cs="Arial"/>
                <w:sz w:val="20"/>
                <w:szCs w:val="20"/>
                <w:lang w:val="en-US"/>
              </w:rPr>
            </w:pPr>
          </w:p>
        </w:tc>
        <w:tc>
          <w:tcPr>
            <w:tcW w:w="4560" w:type="dxa"/>
          </w:tcPr>
          <w:p w:rsidR="00932E1C" w:rsidRPr="00932E1C" w:rsidRDefault="00272A3A" w:rsidP="00932E1C">
            <w:pPr>
              <w:jc w:val="center"/>
              <w:rPr>
                <w:rFonts w:cs="Arial"/>
                <w:sz w:val="20"/>
                <w:szCs w:val="20"/>
                <w:lang w:val="en-US"/>
              </w:rPr>
            </w:pPr>
            <w:r>
              <w:rPr>
                <w:rFonts w:cs="Arial"/>
                <w:sz w:val="20"/>
                <w:szCs w:val="20"/>
              </w:rPr>
              <w:fldChar w:fldCharType="begin">
                <w:ffData>
                  <w:name w:val="Meeting_Code"/>
                  <w:enabled/>
                  <w:calcOnExit w:val="0"/>
                  <w:textInput>
                    <w:default w:val="CBS/OPAG-IOS/OSDW2"/>
                  </w:textInput>
                </w:ffData>
              </w:fldChar>
            </w:r>
            <w:bookmarkStart w:id="0" w:name="Meeting_Code"/>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CBS/OPAG-IOS/OSDW2</w:t>
            </w:r>
            <w:r>
              <w:rPr>
                <w:rFonts w:cs="Arial"/>
                <w:sz w:val="20"/>
                <w:szCs w:val="20"/>
              </w:rPr>
              <w:fldChar w:fldCharType="end"/>
            </w:r>
            <w:bookmarkEnd w:id="0"/>
            <w:r w:rsidR="00932E1C" w:rsidRPr="00932E1C">
              <w:rPr>
                <w:rFonts w:cs="Arial"/>
                <w:sz w:val="20"/>
                <w:szCs w:val="20"/>
                <w:lang w:val="en-US"/>
              </w:rPr>
              <w:t xml:space="preserve"> / </w:t>
            </w:r>
            <w:r w:rsidR="0084326F">
              <w:rPr>
                <w:rFonts w:cs="Arial"/>
                <w:sz w:val="20"/>
                <w:szCs w:val="20"/>
              </w:rPr>
              <w:fldChar w:fldCharType="begin">
                <w:ffData>
                  <w:name w:val="DOC_NO"/>
                  <w:enabled/>
                  <w:calcOnExit w:val="0"/>
                  <w:textInput>
                    <w:default w:val="Doc. 4"/>
                  </w:textInput>
                </w:ffData>
              </w:fldChar>
            </w:r>
            <w:bookmarkStart w:id="1" w:name="DOC_NO"/>
            <w:r w:rsidR="0084326F">
              <w:rPr>
                <w:rFonts w:cs="Arial"/>
                <w:sz w:val="20"/>
                <w:szCs w:val="20"/>
              </w:rPr>
              <w:instrText xml:space="preserve"> FORMTEXT </w:instrText>
            </w:r>
            <w:r w:rsidR="0084326F">
              <w:rPr>
                <w:rFonts w:cs="Arial"/>
                <w:sz w:val="20"/>
                <w:szCs w:val="20"/>
              </w:rPr>
            </w:r>
            <w:r w:rsidR="0084326F">
              <w:rPr>
                <w:rFonts w:cs="Arial"/>
                <w:sz w:val="20"/>
                <w:szCs w:val="20"/>
              </w:rPr>
              <w:fldChar w:fldCharType="separate"/>
            </w:r>
            <w:r w:rsidR="0084326F">
              <w:rPr>
                <w:rFonts w:cs="Arial"/>
                <w:noProof/>
                <w:sz w:val="20"/>
                <w:szCs w:val="20"/>
              </w:rPr>
              <w:t>Doc. 4</w:t>
            </w:r>
            <w:r w:rsidR="0084326F">
              <w:rPr>
                <w:rFonts w:cs="Arial"/>
                <w:sz w:val="20"/>
                <w:szCs w:val="20"/>
              </w:rPr>
              <w:fldChar w:fldCharType="end"/>
            </w:r>
            <w:bookmarkEnd w:id="1"/>
          </w:p>
          <w:p w:rsidR="00932E1C" w:rsidRPr="00740A2A" w:rsidRDefault="00932E1C" w:rsidP="00932E1C">
            <w:pPr>
              <w:jc w:val="center"/>
              <w:rPr>
                <w:rFonts w:cs="Arial"/>
                <w:sz w:val="20"/>
                <w:szCs w:val="20"/>
                <w:lang w:val="en-US"/>
              </w:rPr>
            </w:pPr>
            <w:r w:rsidRPr="00740A2A">
              <w:rPr>
                <w:rFonts w:cs="Arial"/>
                <w:sz w:val="20"/>
                <w:szCs w:val="20"/>
                <w:lang w:val="en-US"/>
              </w:rPr>
              <w:t>(</w:t>
            </w:r>
            <w:r w:rsidRPr="007C72FA">
              <w:rPr>
                <w:rFonts w:cs="Arial"/>
                <w:sz w:val="20"/>
                <w:szCs w:val="20"/>
                <w:lang w:val="fr-FR"/>
              </w:rPr>
              <w:fldChar w:fldCharType="begin"/>
            </w:r>
            <w:r w:rsidRPr="007C72FA">
              <w:rPr>
                <w:rFonts w:cs="Arial"/>
                <w:sz w:val="20"/>
                <w:szCs w:val="20"/>
                <w:lang w:val="fr-FR"/>
              </w:rPr>
              <w:instrText xml:space="preserve"> TIME \@ "dd.MM.yyyy" </w:instrText>
            </w:r>
            <w:r w:rsidRPr="007C72FA">
              <w:rPr>
                <w:rFonts w:cs="Arial"/>
                <w:sz w:val="20"/>
                <w:szCs w:val="20"/>
                <w:lang w:val="fr-FR"/>
              </w:rPr>
              <w:fldChar w:fldCharType="separate"/>
            </w:r>
            <w:r w:rsidR="009E3F82">
              <w:rPr>
                <w:rFonts w:cs="Arial"/>
                <w:noProof/>
                <w:sz w:val="20"/>
                <w:szCs w:val="20"/>
                <w:lang w:val="fr-FR"/>
              </w:rPr>
              <w:t>13.01.2015</w:t>
            </w:r>
            <w:r w:rsidRPr="007C72FA">
              <w:rPr>
                <w:rFonts w:cs="Arial"/>
                <w:sz w:val="20"/>
                <w:szCs w:val="20"/>
                <w:lang w:val="fr-FR"/>
              </w:rPr>
              <w:fldChar w:fldCharType="end"/>
            </w:r>
            <w:r w:rsidRPr="00740A2A">
              <w:rPr>
                <w:rFonts w:cs="Arial"/>
                <w:sz w:val="20"/>
                <w:szCs w:val="20"/>
                <w:lang w:val="en-US"/>
              </w:rPr>
              <w:t>)</w:t>
            </w:r>
          </w:p>
          <w:p w:rsidR="00932E1C" w:rsidRPr="007C72FA" w:rsidRDefault="00932E1C" w:rsidP="00932E1C">
            <w:pPr>
              <w:jc w:val="center"/>
              <w:rPr>
                <w:rFonts w:cs="Arial"/>
                <w:sz w:val="20"/>
                <w:szCs w:val="20"/>
                <w:lang w:val="en-US"/>
              </w:rPr>
            </w:pPr>
            <w:r w:rsidRPr="007C72FA">
              <w:rPr>
                <w:rFonts w:cs="Arial"/>
                <w:sz w:val="20"/>
                <w:szCs w:val="20"/>
                <w:lang w:val="en-US"/>
              </w:rPr>
              <w:t>_______</w:t>
            </w:r>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r w:rsidRPr="007C72FA">
              <w:rPr>
                <w:rFonts w:cs="Arial"/>
                <w:sz w:val="20"/>
                <w:szCs w:val="20"/>
                <w:lang w:val="en-US"/>
              </w:rPr>
              <w:t xml:space="preserve">ITEM:  </w:t>
            </w:r>
            <w:r w:rsidR="0084326F">
              <w:rPr>
                <w:rFonts w:cs="Arial"/>
                <w:sz w:val="20"/>
                <w:szCs w:val="20"/>
              </w:rPr>
              <w:fldChar w:fldCharType="begin">
                <w:ffData>
                  <w:name w:val="Agenda_Item"/>
                  <w:enabled/>
                  <w:calcOnExit w:val="0"/>
                  <w:statusText w:type="text" w:val="Enter agends item here"/>
                  <w:textInput>
                    <w:default w:val="4"/>
                  </w:textInput>
                </w:ffData>
              </w:fldChar>
            </w:r>
            <w:bookmarkStart w:id="2" w:name="Agenda_Item"/>
            <w:r w:rsidR="0084326F">
              <w:rPr>
                <w:rFonts w:cs="Arial"/>
                <w:sz w:val="20"/>
                <w:szCs w:val="20"/>
              </w:rPr>
              <w:instrText xml:space="preserve"> FORMTEXT </w:instrText>
            </w:r>
            <w:r w:rsidR="0084326F">
              <w:rPr>
                <w:rFonts w:cs="Arial"/>
                <w:sz w:val="20"/>
                <w:szCs w:val="20"/>
              </w:rPr>
            </w:r>
            <w:r w:rsidR="0084326F">
              <w:rPr>
                <w:rFonts w:cs="Arial"/>
                <w:sz w:val="20"/>
                <w:szCs w:val="20"/>
              </w:rPr>
              <w:fldChar w:fldCharType="separate"/>
            </w:r>
            <w:r w:rsidR="0084326F">
              <w:rPr>
                <w:rFonts w:cs="Arial"/>
                <w:noProof/>
                <w:sz w:val="20"/>
                <w:szCs w:val="20"/>
              </w:rPr>
              <w:t>4</w:t>
            </w:r>
            <w:r w:rsidR="0084326F">
              <w:rPr>
                <w:rFonts w:cs="Arial"/>
                <w:sz w:val="20"/>
                <w:szCs w:val="20"/>
              </w:rPr>
              <w:fldChar w:fldCharType="end"/>
            </w:r>
            <w:bookmarkEnd w:id="2"/>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r w:rsidRPr="007C72FA">
              <w:rPr>
                <w:rFonts w:cs="Arial"/>
                <w:sz w:val="20"/>
                <w:szCs w:val="20"/>
                <w:lang w:val="en-US"/>
              </w:rPr>
              <w:t>Original:  ENGLISH</w:t>
            </w:r>
          </w:p>
          <w:p w:rsidR="00932E1C" w:rsidRPr="007C72FA" w:rsidRDefault="00932E1C" w:rsidP="00932E1C">
            <w:pPr>
              <w:jc w:val="center"/>
              <w:rPr>
                <w:rFonts w:cs="Arial"/>
                <w:sz w:val="20"/>
                <w:szCs w:val="20"/>
                <w:lang w:val="en-US"/>
              </w:rPr>
            </w:pPr>
          </w:p>
        </w:tc>
      </w:tr>
    </w:tbl>
    <w:p w:rsidR="00EB3A20" w:rsidRDefault="00EB3A20">
      <w:pPr>
        <w:jc w:val="both"/>
        <w:rPr>
          <w:lang w:val="en-US"/>
        </w:rPr>
      </w:pPr>
    </w:p>
    <w:p w:rsidR="000E13F0" w:rsidRDefault="000E13F0">
      <w:pPr>
        <w:jc w:val="both"/>
        <w:rPr>
          <w:lang w:val="en-US"/>
        </w:rPr>
      </w:pPr>
    </w:p>
    <w:p w:rsidR="00990FF3" w:rsidRDefault="00990FF3">
      <w:pPr>
        <w:jc w:val="both"/>
        <w:rPr>
          <w:lang w:val="en-US"/>
        </w:rPr>
      </w:pPr>
    </w:p>
    <w:p w:rsidR="00EB3A20" w:rsidRDefault="00EB3A20">
      <w:pPr>
        <w:jc w:val="both"/>
        <w:rPr>
          <w:lang w:val="en-US"/>
        </w:rPr>
      </w:pPr>
    </w:p>
    <w:p w:rsidR="00EB3A20" w:rsidRPr="0050389B" w:rsidRDefault="0084326F" w:rsidP="00990FF3">
      <w:pPr>
        <w:pStyle w:val="BodyText"/>
        <w:spacing w:after="0"/>
        <w:jc w:val="center"/>
        <w:rPr>
          <w:rFonts w:cs="Arial"/>
          <w:b/>
          <w:bCs/>
          <w:caps/>
        </w:rPr>
      </w:pPr>
      <w:r>
        <w:rPr>
          <w:rFonts w:cs="Arial"/>
          <w:b/>
          <w:bCs/>
          <w:caps/>
          <w:szCs w:val="22"/>
        </w:rPr>
        <w:fldChar w:fldCharType="begin">
          <w:ffData>
            <w:name w:val="Doc_Title"/>
            <w:enabled/>
            <w:calcOnExit w:val="0"/>
            <w:textInput>
              <w:default w:val="Review the vision for WIGOS guidance and documentation as a whole"/>
            </w:textInput>
          </w:ffData>
        </w:fldChar>
      </w:r>
      <w:bookmarkStart w:id="3" w:name="Doc_Title"/>
      <w:r>
        <w:rPr>
          <w:rFonts w:cs="Arial"/>
          <w:b/>
          <w:bCs/>
          <w:caps/>
          <w:szCs w:val="22"/>
        </w:rPr>
        <w:instrText xml:space="preserve"> FORMTEXT </w:instrText>
      </w:r>
      <w:r>
        <w:rPr>
          <w:rFonts w:cs="Arial"/>
          <w:b/>
          <w:bCs/>
          <w:caps/>
          <w:szCs w:val="22"/>
        </w:rPr>
      </w:r>
      <w:r>
        <w:rPr>
          <w:rFonts w:cs="Arial"/>
          <w:b/>
          <w:bCs/>
          <w:caps/>
          <w:szCs w:val="22"/>
        </w:rPr>
        <w:fldChar w:fldCharType="separate"/>
      </w:r>
      <w:r>
        <w:rPr>
          <w:rFonts w:cs="Arial"/>
          <w:b/>
          <w:bCs/>
          <w:caps/>
          <w:noProof/>
          <w:szCs w:val="22"/>
        </w:rPr>
        <w:t>Review the vision for WIGOS guidance and documentation as a whole</w:t>
      </w:r>
      <w:r>
        <w:rPr>
          <w:rFonts w:cs="Arial"/>
          <w:b/>
          <w:bCs/>
          <w:caps/>
          <w:szCs w:val="22"/>
        </w:rPr>
        <w:fldChar w:fldCharType="end"/>
      </w:r>
      <w:bookmarkEnd w:id="3"/>
    </w:p>
    <w:p w:rsidR="008A303A" w:rsidRPr="00FB5BF3" w:rsidRDefault="008A303A" w:rsidP="00FB5BF3">
      <w:pPr>
        <w:pStyle w:val="BodyText"/>
        <w:spacing w:after="0"/>
        <w:rPr>
          <w:rFonts w:cs="Arial"/>
          <w:bCs/>
          <w:iCs/>
        </w:rPr>
      </w:pPr>
    </w:p>
    <w:p w:rsidR="00EB3A20" w:rsidRPr="00E57046" w:rsidRDefault="00EB3A20" w:rsidP="00E57046">
      <w:pPr>
        <w:jc w:val="center"/>
        <w:rPr>
          <w:rFonts w:cs="Arial"/>
          <w:i/>
          <w:iCs/>
          <w:szCs w:val="22"/>
        </w:rPr>
      </w:pPr>
      <w:r w:rsidRPr="00E57046">
        <w:rPr>
          <w:rFonts w:cs="Arial"/>
          <w:i/>
          <w:iCs/>
          <w:szCs w:val="22"/>
        </w:rPr>
        <w:t>(Submitted by</w:t>
      </w:r>
      <w:r w:rsidR="00E57046" w:rsidRPr="00E57046">
        <w:rPr>
          <w:rFonts w:cs="Arial"/>
          <w:i/>
          <w:iCs/>
          <w:szCs w:val="22"/>
        </w:rPr>
        <w:t xml:space="preserve"> </w:t>
      </w:r>
      <w:r w:rsidR="0084326F">
        <w:rPr>
          <w:rFonts w:cs="Arial"/>
          <w:i/>
          <w:iCs/>
          <w:szCs w:val="22"/>
        </w:rPr>
        <w:fldChar w:fldCharType="begin">
          <w:ffData>
            <w:name w:val="Submitted_by"/>
            <w:enabled/>
            <w:calcOnExit w:val="0"/>
            <w:textInput>
              <w:default w:val="the Secretariat"/>
            </w:textInput>
          </w:ffData>
        </w:fldChar>
      </w:r>
      <w:bookmarkStart w:id="4" w:name="Submitted_by"/>
      <w:r w:rsidR="0084326F">
        <w:rPr>
          <w:rFonts w:cs="Arial"/>
          <w:i/>
          <w:iCs/>
          <w:szCs w:val="22"/>
        </w:rPr>
        <w:instrText xml:space="preserve"> FORMTEXT </w:instrText>
      </w:r>
      <w:r w:rsidR="0084326F">
        <w:rPr>
          <w:rFonts w:cs="Arial"/>
          <w:i/>
          <w:iCs/>
          <w:szCs w:val="22"/>
        </w:rPr>
      </w:r>
      <w:r w:rsidR="0084326F">
        <w:rPr>
          <w:rFonts w:cs="Arial"/>
          <w:i/>
          <w:iCs/>
          <w:szCs w:val="22"/>
        </w:rPr>
        <w:fldChar w:fldCharType="separate"/>
      </w:r>
      <w:r w:rsidR="0084326F">
        <w:rPr>
          <w:rFonts w:cs="Arial"/>
          <w:i/>
          <w:iCs/>
          <w:noProof/>
          <w:szCs w:val="22"/>
        </w:rPr>
        <w:t>the Secretariat</w:t>
      </w:r>
      <w:r w:rsidR="0084326F">
        <w:rPr>
          <w:rFonts w:cs="Arial"/>
          <w:i/>
          <w:iCs/>
          <w:szCs w:val="22"/>
        </w:rPr>
        <w:fldChar w:fldCharType="end"/>
      </w:r>
      <w:bookmarkEnd w:id="4"/>
      <w:r w:rsidRPr="00E57046">
        <w:rPr>
          <w:rFonts w:cs="Arial"/>
          <w:i/>
          <w:iCs/>
          <w:szCs w:val="22"/>
        </w:rPr>
        <w:t>)</w:t>
      </w:r>
    </w:p>
    <w:p w:rsidR="00EB3A20" w:rsidRDefault="00EB3A20" w:rsidP="008A303A">
      <w:pPr>
        <w:rPr>
          <w:rFonts w:cs="Arial"/>
          <w:szCs w:val="22"/>
        </w:rPr>
      </w:pPr>
    </w:p>
    <w:p w:rsidR="00EB3A20" w:rsidRDefault="00EB3A20" w:rsidP="008A303A">
      <w:pPr>
        <w:rPr>
          <w:rFonts w:cs="Arial"/>
          <w:szCs w:val="22"/>
        </w:rPr>
      </w:pPr>
    </w:p>
    <w:p w:rsidR="00990FF3" w:rsidRDefault="00990FF3" w:rsidP="008A303A">
      <w:pPr>
        <w:rPr>
          <w:rFonts w:cs="Arial"/>
          <w:szCs w:val="22"/>
        </w:rPr>
      </w:pPr>
    </w:p>
    <w:p w:rsidR="00EB3A20" w:rsidRDefault="00EB3A20" w:rsidP="008A303A">
      <w:pPr>
        <w:rPr>
          <w:rFonts w:cs="Arial"/>
          <w:szCs w:val="22"/>
        </w:rPr>
      </w:pPr>
    </w:p>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EB3A20">
        <w:trPr>
          <w:jc w:val="center"/>
        </w:trPr>
        <w:tc>
          <w:tcPr>
            <w:tcW w:w="7947" w:type="dxa"/>
          </w:tcPr>
          <w:p w:rsidR="00EB3A20" w:rsidRDefault="00EB3A20" w:rsidP="008A303A">
            <w:pPr>
              <w:suppressAutoHyphens/>
              <w:jc w:val="both"/>
              <w:rPr>
                <w:rFonts w:cs="Arial"/>
                <w:szCs w:val="22"/>
              </w:rPr>
            </w:pPr>
          </w:p>
          <w:p w:rsidR="00EB3A20" w:rsidRDefault="00EB3A20" w:rsidP="008A303A">
            <w:pPr>
              <w:suppressAutoHyphens/>
              <w:jc w:val="center"/>
              <w:rPr>
                <w:rFonts w:cs="Arial"/>
                <w:b/>
                <w:szCs w:val="22"/>
              </w:rPr>
            </w:pPr>
            <w:r>
              <w:rPr>
                <w:rFonts w:cs="Arial"/>
                <w:b/>
                <w:szCs w:val="22"/>
              </w:rPr>
              <w:t>SUMMARY AND PURPOSE OF DOCUMENT</w:t>
            </w:r>
          </w:p>
          <w:p w:rsidR="00EB3A20" w:rsidRPr="00B90D2B" w:rsidRDefault="00EB3A20" w:rsidP="00B90D2B">
            <w:pPr>
              <w:suppressAutoHyphens/>
              <w:rPr>
                <w:rFonts w:cs="Arial"/>
                <w:szCs w:val="22"/>
              </w:rPr>
            </w:pPr>
          </w:p>
          <w:p w:rsidR="00EB3A20" w:rsidRDefault="0084326F" w:rsidP="0084326F">
            <w:pPr>
              <w:jc w:val="both"/>
              <w:rPr>
                <w:rFonts w:cs="Arial"/>
                <w:spacing w:val="-2"/>
                <w:szCs w:val="22"/>
              </w:rPr>
            </w:pPr>
            <w:r>
              <w:rPr>
                <w:rFonts w:cs="Arial"/>
                <w:szCs w:val="22"/>
                <w:lang w:val="en-US"/>
              </w:rPr>
              <w:t xml:space="preserve">The document provides </w:t>
            </w:r>
            <w:r>
              <w:rPr>
                <w:rFonts w:cs="Arial"/>
                <w:szCs w:val="22"/>
              </w:rPr>
              <w:t xml:space="preserve">information to be taken into account </w:t>
            </w:r>
            <w:r w:rsidR="000E13F0">
              <w:rPr>
                <w:rFonts w:cs="Arial"/>
                <w:szCs w:val="22"/>
              </w:rPr>
              <w:t>for</w:t>
            </w:r>
            <w:r>
              <w:rPr>
                <w:rFonts w:cs="Arial"/>
                <w:szCs w:val="22"/>
              </w:rPr>
              <w:t xml:space="preserve"> </w:t>
            </w:r>
            <w:r w:rsidR="000E13F0">
              <w:rPr>
                <w:rFonts w:cs="Arial"/>
                <w:szCs w:val="22"/>
              </w:rPr>
              <w:t xml:space="preserve">the </w:t>
            </w:r>
            <w:r>
              <w:rPr>
                <w:rFonts w:cs="Arial"/>
                <w:szCs w:val="22"/>
              </w:rPr>
              <w:t>develop</w:t>
            </w:r>
            <w:r w:rsidR="000E13F0">
              <w:rPr>
                <w:rFonts w:cs="Arial"/>
                <w:szCs w:val="22"/>
              </w:rPr>
              <w:t xml:space="preserve">ment of the guidance material on the </w:t>
            </w:r>
            <w:r w:rsidR="000E13F0" w:rsidRPr="000E13F0">
              <w:rPr>
                <w:rFonts w:cs="Arial"/>
                <w:szCs w:val="22"/>
              </w:rPr>
              <w:t>Observing System Network Design (OSND) Principles</w:t>
            </w:r>
            <w:r>
              <w:rPr>
                <w:rFonts w:cs="Arial"/>
                <w:szCs w:val="22"/>
              </w:rPr>
              <w:t>.</w:t>
            </w:r>
          </w:p>
          <w:p w:rsidR="0084326F" w:rsidRDefault="0084326F" w:rsidP="008A303A">
            <w:pPr>
              <w:rPr>
                <w:rFonts w:cs="Arial"/>
                <w:spacing w:val="-2"/>
                <w:szCs w:val="22"/>
              </w:rPr>
            </w:pPr>
          </w:p>
        </w:tc>
      </w:tr>
    </w:tbl>
    <w:p w:rsidR="00EB3A20" w:rsidRDefault="00EB3A20" w:rsidP="00B90D2B">
      <w:pPr>
        <w:suppressAutoHyphens/>
        <w:rPr>
          <w:rFonts w:cs="Arial"/>
          <w:szCs w:val="22"/>
        </w:rPr>
      </w:pPr>
    </w:p>
    <w:p w:rsidR="00EB3A20" w:rsidRDefault="00EB3A20" w:rsidP="00B90D2B">
      <w:pPr>
        <w:rPr>
          <w:rFonts w:cs="Arial"/>
          <w:szCs w:val="22"/>
        </w:rPr>
      </w:pPr>
    </w:p>
    <w:p w:rsidR="00990FF3" w:rsidRDefault="00990FF3" w:rsidP="00B90D2B">
      <w:pPr>
        <w:rPr>
          <w:rFonts w:cs="Arial"/>
          <w:szCs w:val="22"/>
        </w:rPr>
      </w:pPr>
    </w:p>
    <w:p w:rsidR="00EB3A20" w:rsidRDefault="00EB3A20" w:rsidP="00B90D2B">
      <w:pPr>
        <w:rPr>
          <w:rFonts w:cs="Arial"/>
          <w:szCs w:val="22"/>
        </w:rPr>
      </w:pPr>
    </w:p>
    <w:p w:rsidR="000E13F0" w:rsidRDefault="00EB3A20" w:rsidP="000E13F0">
      <w:pPr>
        <w:jc w:val="center"/>
        <w:rPr>
          <w:rFonts w:cs="Arial"/>
          <w:b/>
          <w:bCs/>
          <w:szCs w:val="22"/>
        </w:rPr>
      </w:pPr>
      <w:r>
        <w:rPr>
          <w:rFonts w:cs="Arial"/>
          <w:b/>
          <w:bCs/>
          <w:szCs w:val="22"/>
        </w:rPr>
        <w:t>ACTION PROPOSED</w:t>
      </w:r>
    </w:p>
    <w:p w:rsidR="000E13F0" w:rsidRDefault="000E13F0" w:rsidP="000E13F0">
      <w:pPr>
        <w:jc w:val="center"/>
        <w:rPr>
          <w:rFonts w:cs="Arial"/>
          <w:b/>
          <w:bCs/>
          <w:szCs w:val="22"/>
        </w:rPr>
      </w:pPr>
    </w:p>
    <w:p w:rsidR="00EB3A20" w:rsidRDefault="00EB3A20" w:rsidP="000E13F0">
      <w:pPr>
        <w:ind w:left="709"/>
      </w:pPr>
      <w:r>
        <w:tab/>
        <w:t xml:space="preserve">The </w:t>
      </w:r>
      <w:r w:rsidR="000E13F0">
        <w:t>m</w:t>
      </w:r>
      <w:r>
        <w:t>eeting is invited to note the information contained in this document when considering its recommendations.</w:t>
      </w:r>
    </w:p>
    <w:p w:rsidR="00EB3A20" w:rsidRDefault="00EB3A20" w:rsidP="00B90D2B">
      <w:pPr>
        <w:pStyle w:val="BlockText"/>
        <w:ind w:left="0"/>
        <w:jc w:val="left"/>
      </w:pPr>
    </w:p>
    <w:p w:rsidR="00990FF3" w:rsidRDefault="00990FF3" w:rsidP="00990FF3">
      <w:pPr>
        <w:pStyle w:val="BlockText"/>
        <w:ind w:left="0" w:right="0"/>
        <w:jc w:val="center"/>
      </w:pPr>
      <w:r>
        <w:t>_____________</w:t>
      </w:r>
    </w:p>
    <w:p w:rsidR="00EB3A20" w:rsidRDefault="00EB3A20" w:rsidP="00B90D2B">
      <w:pPr>
        <w:pStyle w:val="BlockText"/>
        <w:ind w:left="0"/>
        <w:jc w:val="left"/>
      </w:pPr>
    </w:p>
    <w:p w:rsidR="000E13F0" w:rsidRDefault="00373A7B" w:rsidP="00E57046">
      <w:pPr>
        <w:tabs>
          <w:tab w:val="left" w:pos="1440"/>
          <w:tab w:val="left" w:pos="1680"/>
        </w:tabs>
        <w:suppressAutoHyphens/>
        <w:ind w:left="1680" w:right="-454" w:hanging="1680"/>
        <w:jc w:val="both"/>
        <w:rPr>
          <w:lang w:val="en-US"/>
        </w:rPr>
      </w:pPr>
      <w:r w:rsidRPr="001B4B16">
        <w:rPr>
          <w:b/>
          <w:lang w:val="en-US"/>
        </w:rPr>
        <w:t>A</w:t>
      </w:r>
      <w:r w:rsidR="003A1B44" w:rsidRPr="001B4B16">
        <w:rPr>
          <w:b/>
          <w:lang w:val="en-US"/>
        </w:rPr>
        <w:t>ppendi</w:t>
      </w:r>
      <w:r w:rsidR="000E13F0">
        <w:rPr>
          <w:b/>
          <w:lang w:val="en-US"/>
        </w:rPr>
        <w:t>ces</w:t>
      </w:r>
      <w:r w:rsidRPr="001B4B16">
        <w:rPr>
          <w:b/>
          <w:lang w:val="en-US"/>
        </w:rPr>
        <w:t>:</w:t>
      </w:r>
      <w:r w:rsidR="003A1B44">
        <w:rPr>
          <w:lang w:val="en-US"/>
        </w:rPr>
        <w:t xml:space="preserve"> </w:t>
      </w:r>
      <w:r w:rsidR="001B4B16">
        <w:rPr>
          <w:lang w:val="en-US"/>
        </w:rPr>
        <w:tab/>
      </w:r>
    </w:p>
    <w:p w:rsidR="00990FF3" w:rsidRDefault="00990FF3" w:rsidP="00E57046">
      <w:pPr>
        <w:tabs>
          <w:tab w:val="left" w:pos="1440"/>
          <w:tab w:val="left" w:pos="1680"/>
        </w:tabs>
        <w:suppressAutoHyphens/>
        <w:ind w:left="1680" w:right="-454" w:hanging="1680"/>
        <w:jc w:val="both"/>
        <w:rPr>
          <w:lang w:val="en-US"/>
        </w:rPr>
      </w:pPr>
    </w:p>
    <w:p w:rsidR="00E57046" w:rsidRDefault="00E57046" w:rsidP="000E13F0">
      <w:pPr>
        <w:tabs>
          <w:tab w:val="left" w:pos="426"/>
          <w:tab w:val="left" w:pos="1680"/>
        </w:tabs>
        <w:suppressAutoHyphens/>
        <w:ind w:left="1680" w:right="-454" w:hanging="1680"/>
        <w:jc w:val="both"/>
        <w:rPr>
          <w:lang w:val="en-US"/>
        </w:rPr>
      </w:pPr>
      <w:r>
        <w:rPr>
          <w:lang w:val="en-US"/>
        </w:rPr>
        <w:t>A</w:t>
      </w:r>
      <w:r w:rsidR="000E13F0">
        <w:rPr>
          <w:lang w:val="en-US"/>
        </w:rPr>
        <w:tab/>
      </w:r>
      <w:r w:rsidR="006B0BEB" w:rsidRPr="006B0BEB">
        <w:rPr>
          <w:lang w:val="en-US"/>
        </w:rPr>
        <w:t>Purpose and Scope of WIGOS Regulatory Material</w:t>
      </w:r>
    </w:p>
    <w:p w:rsidR="000E13F0" w:rsidRDefault="000E13F0" w:rsidP="000E13F0">
      <w:pPr>
        <w:tabs>
          <w:tab w:val="left" w:pos="426"/>
          <w:tab w:val="left" w:pos="1680"/>
        </w:tabs>
        <w:suppressAutoHyphens/>
        <w:ind w:left="1680" w:right="-454" w:hanging="1680"/>
        <w:jc w:val="both"/>
        <w:rPr>
          <w:lang w:val="en-US"/>
        </w:rPr>
      </w:pPr>
    </w:p>
    <w:p w:rsidR="000E13F0" w:rsidRDefault="000E13F0" w:rsidP="000E13F0">
      <w:pPr>
        <w:tabs>
          <w:tab w:val="left" w:pos="426"/>
        </w:tabs>
        <w:suppressAutoHyphens/>
        <w:ind w:left="426" w:right="-454" w:hanging="426"/>
        <w:jc w:val="both"/>
        <w:rPr>
          <w:lang w:val="en-US"/>
        </w:rPr>
      </w:pPr>
      <w:r>
        <w:rPr>
          <w:lang w:val="en-US"/>
        </w:rPr>
        <w:t>B</w:t>
      </w:r>
      <w:r>
        <w:rPr>
          <w:lang w:val="en-US"/>
        </w:rPr>
        <w:tab/>
      </w:r>
      <w:r w:rsidRPr="000E13F0">
        <w:rPr>
          <w:lang w:val="en-US"/>
        </w:rPr>
        <w:t>D</w:t>
      </w:r>
      <w:r w:rsidR="006B0BEB">
        <w:rPr>
          <w:lang w:val="en-US"/>
        </w:rPr>
        <w:t xml:space="preserve">raft </w:t>
      </w:r>
      <w:r w:rsidRPr="000E13F0">
        <w:rPr>
          <w:lang w:val="en-US"/>
        </w:rPr>
        <w:t>M</w:t>
      </w:r>
      <w:r w:rsidR="006B0BEB">
        <w:rPr>
          <w:lang w:val="en-US"/>
        </w:rPr>
        <w:t>anual on</w:t>
      </w:r>
      <w:r w:rsidRPr="000E13F0">
        <w:rPr>
          <w:lang w:val="en-US"/>
        </w:rPr>
        <w:t xml:space="preserve"> WIGOS, S</w:t>
      </w:r>
      <w:r w:rsidR="006B0BEB">
        <w:rPr>
          <w:lang w:val="en-US"/>
        </w:rPr>
        <w:t>ection</w:t>
      </w:r>
      <w:r w:rsidRPr="000E13F0">
        <w:rPr>
          <w:lang w:val="en-US"/>
        </w:rPr>
        <w:t xml:space="preserve"> 2</w:t>
      </w:r>
      <w:r>
        <w:rPr>
          <w:lang w:val="en-US"/>
        </w:rPr>
        <w:t xml:space="preserve"> </w:t>
      </w:r>
    </w:p>
    <w:p w:rsidR="000E13F0" w:rsidRDefault="000E13F0" w:rsidP="000E13F0">
      <w:pPr>
        <w:tabs>
          <w:tab w:val="left" w:pos="426"/>
        </w:tabs>
        <w:suppressAutoHyphens/>
        <w:ind w:left="426" w:right="-454" w:hanging="426"/>
        <w:jc w:val="both"/>
        <w:rPr>
          <w:lang w:val="en-US"/>
        </w:rPr>
      </w:pPr>
      <w:r>
        <w:rPr>
          <w:lang w:val="en-US"/>
        </w:rPr>
        <w:tab/>
        <w:t>Subsection 2.2.2.1</w:t>
      </w:r>
      <w:r w:rsidR="009E3F82">
        <w:rPr>
          <w:lang w:val="en-US"/>
        </w:rPr>
        <w:t xml:space="preserve"> </w:t>
      </w:r>
      <w:r w:rsidR="009E3F82">
        <w:rPr>
          <w:rFonts w:eastAsia="MS Minngs"/>
          <w:szCs w:val="22"/>
          <w:lang w:eastAsia="ja-JP"/>
        </w:rPr>
        <w:t>–</w:t>
      </w:r>
      <w:r w:rsidR="009E3F82">
        <w:rPr>
          <w:rFonts w:eastAsia="MS Minngs"/>
          <w:szCs w:val="22"/>
          <w:lang w:eastAsia="ja-JP"/>
        </w:rPr>
        <w:t xml:space="preserve"> </w:t>
      </w:r>
      <w:r w:rsidRPr="000E13F0">
        <w:rPr>
          <w:lang w:val="en-US"/>
        </w:rPr>
        <w:t>Observing System Network Design Principles</w:t>
      </w:r>
    </w:p>
    <w:p w:rsidR="000E13F0" w:rsidRDefault="000E13F0" w:rsidP="000E13F0">
      <w:pPr>
        <w:tabs>
          <w:tab w:val="left" w:pos="426"/>
        </w:tabs>
        <w:suppressAutoHyphens/>
        <w:ind w:left="426" w:right="-454" w:hanging="426"/>
        <w:jc w:val="both"/>
        <w:rPr>
          <w:lang w:val="en-US"/>
        </w:rPr>
      </w:pPr>
    </w:p>
    <w:p w:rsidR="006B0BEB" w:rsidRDefault="000E13F0" w:rsidP="006B0BEB">
      <w:pPr>
        <w:tabs>
          <w:tab w:val="left" w:pos="426"/>
        </w:tabs>
        <w:suppressAutoHyphens/>
        <w:ind w:left="426" w:right="-454" w:hanging="426"/>
        <w:jc w:val="both"/>
        <w:rPr>
          <w:lang w:val="en-US"/>
        </w:rPr>
      </w:pPr>
      <w:r>
        <w:rPr>
          <w:lang w:val="en-US"/>
        </w:rPr>
        <w:t xml:space="preserve">C </w:t>
      </w:r>
      <w:r>
        <w:rPr>
          <w:lang w:val="en-US"/>
        </w:rPr>
        <w:tab/>
      </w:r>
      <w:r w:rsidR="006B0BEB" w:rsidRPr="000E13F0">
        <w:rPr>
          <w:lang w:val="en-US"/>
        </w:rPr>
        <w:t>D</w:t>
      </w:r>
      <w:r w:rsidR="006B0BEB">
        <w:rPr>
          <w:lang w:val="en-US"/>
        </w:rPr>
        <w:t xml:space="preserve">raft </w:t>
      </w:r>
      <w:r w:rsidR="006B0BEB" w:rsidRPr="000E13F0">
        <w:rPr>
          <w:lang w:val="en-US"/>
        </w:rPr>
        <w:t>M</w:t>
      </w:r>
      <w:r w:rsidR="006B0BEB">
        <w:rPr>
          <w:lang w:val="en-US"/>
        </w:rPr>
        <w:t>anual on</w:t>
      </w:r>
      <w:r w:rsidR="006B0BEB" w:rsidRPr="000E13F0">
        <w:rPr>
          <w:lang w:val="en-US"/>
        </w:rPr>
        <w:t xml:space="preserve"> WIGOS, S</w:t>
      </w:r>
      <w:r w:rsidR="006B0BEB">
        <w:rPr>
          <w:lang w:val="en-US"/>
        </w:rPr>
        <w:t>ection</w:t>
      </w:r>
      <w:r w:rsidR="006B0BEB" w:rsidRPr="000E13F0">
        <w:rPr>
          <w:lang w:val="en-US"/>
        </w:rPr>
        <w:t xml:space="preserve"> 2</w:t>
      </w:r>
      <w:r w:rsidR="006B0BEB">
        <w:rPr>
          <w:lang w:val="en-US"/>
        </w:rPr>
        <w:t xml:space="preserve"> </w:t>
      </w:r>
    </w:p>
    <w:p w:rsidR="009E3F82" w:rsidRDefault="000E13F0" w:rsidP="009E3F82">
      <w:pPr>
        <w:tabs>
          <w:tab w:val="left" w:pos="426"/>
        </w:tabs>
        <w:ind w:left="426" w:hanging="426"/>
      </w:pPr>
      <w:r>
        <w:rPr>
          <w:lang w:val="en-US"/>
        </w:rPr>
        <w:tab/>
      </w:r>
      <w:r w:rsidR="009E3F82">
        <w:rPr>
          <w:lang w:val="en-US"/>
        </w:rPr>
        <w:t xml:space="preserve">Appendix </w:t>
      </w:r>
      <w:r w:rsidRPr="000E13F0">
        <w:rPr>
          <w:rFonts w:eastAsia="MS Minngs"/>
          <w:szCs w:val="22"/>
          <w:lang w:eastAsia="ja-JP"/>
        </w:rPr>
        <w:t xml:space="preserve">2.1 </w:t>
      </w:r>
      <w:r w:rsidR="009E3F82">
        <w:rPr>
          <w:rFonts w:eastAsia="MS Minngs"/>
          <w:szCs w:val="22"/>
          <w:lang w:eastAsia="ja-JP"/>
        </w:rPr>
        <w:t xml:space="preserve">– </w:t>
      </w:r>
      <w:r w:rsidRPr="000E13F0">
        <w:t>Observing System Network Design (OSND) Principles</w:t>
      </w:r>
    </w:p>
    <w:p w:rsidR="009E3F82" w:rsidRDefault="009E3F82" w:rsidP="009E3F82">
      <w:pPr>
        <w:tabs>
          <w:tab w:val="left" w:pos="426"/>
        </w:tabs>
        <w:ind w:left="426" w:hanging="426"/>
        <w:rPr>
          <w:rFonts w:cs="Arial"/>
          <w:szCs w:val="22"/>
        </w:rPr>
      </w:pPr>
    </w:p>
    <w:p w:rsidR="009E3F82" w:rsidRDefault="009E3F82" w:rsidP="009E3F82">
      <w:pPr>
        <w:tabs>
          <w:tab w:val="left" w:pos="426"/>
        </w:tabs>
        <w:ind w:left="426" w:hanging="426"/>
        <w:rPr>
          <w:rFonts w:cs="Arial"/>
          <w:szCs w:val="22"/>
        </w:rPr>
      </w:pPr>
      <w:r>
        <w:rPr>
          <w:rFonts w:cs="Arial"/>
          <w:szCs w:val="22"/>
        </w:rPr>
        <w:t>D</w:t>
      </w:r>
      <w:r>
        <w:rPr>
          <w:rFonts w:cs="Arial"/>
          <w:szCs w:val="22"/>
        </w:rPr>
        <w:tab/>
        <w:t>Draft Manual on WIGOS, Section 6</w:t>
      </w:r>
    </w:p>
    <w:p w:rsidR="009E3F82" w:rsidRDefault="009E3F82" w:rsidP="009E3F82">
      <w:pPr>
        <w:tabs>
          <w:tab w:val="left" w:pos="426"/>
        </w:tabs>
        <w:ind w:left="426" w:hanging="426"/>
        <w:rPr>
          <w:rFonts w:cs="Arial"/>
          <w:szCs w:val="22"/>
        </w:rPr>
      </w:pPr>
      <w:r>
        <w:rPr>
          <w:rFonts w:cs="Arial"/>
          <w:szCs w:val="22"/>
        </w:rPr>
        <w:tab/>
        <w:t xml:space="preserve">Subsection 6 </w:t>
      </w:r>
      <w:r>
        <w:rPr>
          <w:rFonts w:eastAsia="MS Minngs"/>
          <w:szCs w:val="22"/>
          <w:lang w:eastAsia="ja-JP"/>
        </w:rPr>
        <w:t>–</w:t>
      </w:r>
      <w:r>
        <w:rPr>
          <w:rFonts w:eastAsia="MS Minngs"/>
          <w:szCs w:val="22"/>
          <w:lang w:eastAsia="ja-JP"/>
        </w:rPr>
        <w:t xml:space="preserve"> </w:t>
      </w:r>
      <w:r w:rsidRPr="009E3F82">
        <w:rPr>
          <w:rFonts w:cs="Arial"/>
          <w:szCs w:val="22"/>
        </w:rPr>
        <w:t>Observing Component of the Global Cryosphere Watch</w:t>
      </w:r>
    </w:p>
    <w:p w:rsidR="009E3F82" w:rsidRDefault="009E3F82" w:rsidP="009E3F82">
      <w:pPr>
        <w:tabs>
          <w:tab w:val="left" w:pos="426"/>
        </w:tabs>
        <w:ind w:left="426" w:hanging="426"/>
        <w:rPr>
          <w:rFonts w:cs="Arial"/>
          <w:szCs w:val="22"/>
        </w:rPr>
      </w:pPr>
    </w:p>
    <w:p w:rsidR="009E3F82" w:rsidRDefault="009E3F82" w:rsidP="009E3F82">
      <w:pPr>
        <w:tabs>
          <w:tab w:val="left" w:pos="426"/>
        </w:tabs>
        <w:ind w:left="426" w:hanging="426"/>
        <w:rPr>
          <w:rFonts w:cs="Arial"/>
          <w:szCs w:val="22"/>
        </w:rPr>
      </w:pPr>
      <w:r>
        <w:rPr>
          <w:rFonts w:cs="Arial"/>
          <w:szCs w:val="22"/>
        </w:rPr>
        <w:t>E</w:t>
      </w:r>
      <w:r>
        <w:rPr>
          <w:rFonts w:cs="Arial"/>
          <w:szCs w:val="22"/>
        </w:rPr>
        <w:tab/>
      </w:r>
      <w:r>
        <w:rPr>
          <w:rFonts w:cs="Arial"/>
          <w:szCs w:val="22"/>
        </w:rPr>
        <w:t xml:space="preserve">Draft Manual on WIGOS, Section </w:t>
      </w:r>
      <w:r>
        <w:rPr>
          <w:rFonts w:cs="Arial"/>
          <w:szCs w:val="22"/>
        </w:rPr>
        <w:t>6</w:t>
      </w:r>
    </w:p>
    <w:p w:rsidR="009E3F82" w:rsidRDefault="009E3F82" w:rsidP="009E3F82">
      <w:pPr>
        <w:tabs>
          <w:tab w:val="left" w:pos="426"/>
        </w:tabs>
        <w:ind w:left="426" w:hanging="426"/>
        <w:rPr>
          <w:rFonts w:cs="Arial"/>
          <w:szCs w:val="22"/>
        </w:rPr>
      </w:pPr>
      <w:r>
        <w:rPr>
          <w:rFonts w:cs="Arial"/>
          <w:szCs w:val="22"/>
        </w:rPr>
        <w:tab/>
        <w:t xml:space="preserve">Appendix 6.1 </w:t>
      </w:r>
      <w:r>
        <w:rPr>
          <w:rFonts w:eastAsia="MS Minngs"/>
          <w:szCs w:val="22"/>
          <w:lang w:eastAsia="ja-JP"/>
        </w:rPr>
        <w:t>–</w:t>
      </w:r>
      <w:r>
        <w:rPr>
          <w:rFonts w:cs="Arial"/>
          <w:szCs w:val="22"/>
        </w:rPr>
        <w:t xml:space="preserve"> </w:t>
      </w:r>
      <w:r w:rsidRPr="009E3F82">
        <w:rPr>
          <w:rFonts w:cs="Arial"/>
          <w:szCs w:val="22"/>
        </w:rPr>
        <w:t>The minimum requirements for inclusion of a GCW surface measurement site or station in CryoNet</w:t>
      </w:r>
    </w:p>
    <w:p w:rsidR="000E13F0" w:rsidRPr="000E13F0" w:rsidRDefault="000E13F0" w:rsidP="000E13F0">
      <w:pPr>
        <w:rPr>
          <w:rFonts w:cs="Arial"/>
          <w:szCs w:val="22"/>
        </w:rPr>
        <w:sectPr w:rsidR="000E13F0" w:rsidRPr="000E13F0" w:rsidSect="00F73098">
          <w:headerReference w:type="first" r:id="rId8"/>
          <w:pgSz w:w="11906" w:h="16838" w:code="9"/>
          <w:pgMar w:top="1134" w:right="1134" w:bottom="1134" w:left="1134" w:header="709" w:footer="709" w:gutter="0"/>
          <w:cols w:space="708"/>
          <w:docGrid w:linePitch="360"/>
        </w:sectPr>
      </w:pPr>
    </w:p>
    <w:p w:rsidR="00EB3A20" w:rsidRDefault="0050389B">
      <w:pPr>
        <w:jc w:val="center"/>
        <w:rPr>
          <w:rFonts w:cs="Arial"/>
          <w:b/>
          <w:szCs w:val="22"/>
        </w:rPr>
      </w:pPr>
      <w:r>
        <w:rPr>
          <w:rFonts w:cs="Arial"/>
          <w:b/>
          <w:szCs w:val="22"/>
        </w:rPr>
        <w:lastRenderedPageBreak/>
        <w:t>DISCUSSION</w:t>
      </w:r>
    </w:p>
    <w:p w:rsidR="000E13F0" w:rsidRDefault="000E13F0" w:rsidP="00E952A1">
      <w:pPr>
        <w:ind w:left="70" w:right="39"/>
        <w:jc w:val="both"/>
      </w:pPr>
    </w:p>
    <w:p w:rsidR="000E13F0" w:rsidRDefault="000E13F0" w:rsidP="00E952A1">
      <w:pPr>
        <w:pStyle w:val="ListParagraph"/>
        <w:numPr>
          <w:ilvl w:val="0"/>
          <w:numId w:val="23"/>
        </w:numPr>
        <w:ind w:left="0" w:firstLine="0"/>
        <w:jc w:val="both"/>
      </w:pPr>
      <w:r w:rsidRPr="00396306">
        <w:t xml:space="preserve">Following the decision of the Sixteenth World Meteorological Congress to proceed with the implementation of the WMO Integrated Global Observing System (WIGOS), the drafts of the WMO Technical Regulations (WMO-No. 49), Volume I, Part I - WIGOS, and the Manual on WIGOS (a future Annex to the Volume I) were developed by the </w:t>
      </w:r>
      <w:r w:rsidR="00407EAE">
        <w:t xml:space="preserve">TT on WIGOS Regulatory Material (TT-WRM) of the </w:t>
      </w:r>
      <w:r w:rsidRPr="00396306">
        <w:t xml:space="preserve">Inter-Commission Coordination Group on WIGOS (ICG-WIGOS). This marks a very important milestone on </w:t>
      </w:r>
      <w:r w:rsidR="00407EAE">
        <w:t>the</w:t>
      </w:r>
      <w:r w:rsidRPr="00396306">
        <w:t xml:space="preserve"> way toward establishing the WIGOS Framework.</w:t>
      </w:r>
      <w:r>
        <w:t xml:space="preserve"> </w:t>
      </w:r>
      <w:hyperlink w:anchor="App_A" w:history="1">
        <w:r w:rsidR="00407EAE" w:rsidRPr="00407EAE">
          <w:rPr>
            <w:rStyle w:val="Hyperlink"/>
          </w:rPr>
          <w:t>Appendix A</w:t>
        </w:r>
      </w:hyperlink>
      <w:r w:rsidR="00407EAE">
        <w:t xml:space="preserve"> describes the purpose and scope of the WIGOS regulatory material together with brief information about the types of WMO regulations.</w:t>
      </w:r>
    </w:p>
    <w:p w:rsidR="000E13F0" w:rsidRDefault="000E13F0" w:rsidP="00E952A1">
      <w:pPr>
        <w:pStyle w:val="ListParagraph"/>
        <w:ind w:left="0"/>
        <w:jc w:val="both"/>
      </w:pPr>
    </w:p>
    <w:p w:rsidR="000E13F0" w:rsidRDefault="000E13F0" w:rsidP="00E952A1">
      <w:pPr>
        <w:pStyle w:val="ListParagraph"/>
        <w:numPr>
          <w:ilvl w:val="0"/>
          <w:numId w:val="23"/>
        </w:numPr>
        <w:ind w:left="0" w:firstLine="0"/>
        <w:jc w:val="both"/>
      </w:pPr>
      <w:r>
        <w:t>T</w:t>
      </w:r>
      <w:r w:rsidRPr="00396306">
        <w:t xml:space="preserve">he Commission for Basic Systems at its Extraordinary Session </w:t>
      </w:r>
      <w:r>
        <w:t>(</w:t>
      </w:r>
      <w:r w:rsidRPr="000E13F0">
        <w:t xml:space="preserve">Paraguay, September 2014) recommended </w:t>
      </w:r>
      <w:r>
        <w:t xml:space="preserve"> through its </w:t>
      </w:r>
      <w:r w:rsidRPr="000E13F0">
        <w:t>Recommendation 3.1(1)/1 (CBS-Ext.(2014)) that the Volume I, PART I – WIGOS and Manual on WIGOS as given in the Annex 1 and Annex 2, respectively to this recommendation, be adopted by the Cg-17 with effect from 1 January 2016.</w:t>
      </w:r>
    </w:p>
    <w:p w:rsidR="000E13F0" w:rsidRDefault="000E13F0" w:rsidP="00E952A1">
      <w:pPr>
        <w:pStyle w:val="ListParagraph"/>
        <w:ind w:left="0"/>
        <w:jc w:val="both"/>
      </w:pPr>
    </w:p>
    <w:p w:rsidR="000E13F0" w:rsidRDefault="000E13F0" w:rsidP="00E952A1">
      <w:pPr>
        <w:pStyle w:val="ListParagraph"/>
        <w:numPr>
          <w:ilvl w:val="0"/>
          <w:numId w:val="23"/>
        </w:numPr>
        <w:ind w:left="0" w:firstLine="0"/>
        <w:jc w:val="both"/>
      </w:pPr>
      <w:r>
        <w:t>The both drafts</w:t>
      </w:r>
      <w:r w:rsidRPr="00396306">
        <w:t xml:space="preserve"> </w:t>
      </w:r>
      <w:r w:rsidR="00407EAE">
        <w:t>were</w:t>
      </w:r>
      <w:r w:rsidRPr="00396306">
        <w:t xml:space="preserve"> available for </w:t>
      </w:r>
      <w:r>
        <w:t xml:space="preserve">the </w:t>
      </w:r>
      <w:r w:rsidRPr="00396306">
        <w:t>review</w:t>
      </w:r>
      <w:r>
        <w:t xml:space="preserve"> </w:t>
      </w:r>
      <w:r w:rsidR="00407EAE">
        <w:t xml:space="preserve">(from 1 October till 31 December 2014) </w:t>
      </w:r>
      <w:r>
        <w:t xml:space="preserve">by WMO Members at the WMO web page: </w:t>
      </w:r>
      <w:hyperlink r:id="rId9" w:history="1">
        <w:r>
          <w:rPr>
            <w:rStyle w:val="Hyperlink"/>
          </w:rPr>
          <w:t>http://www.wmo.int/pages/prog/www/wigos/WRM.html</w:t>
        </w:r>
      </w:hyperlink>
      <w:r>
        <w:t xml:space="preserve">. The review process </w:t>
      </w:r>
      <w:r w:rsidR="00407EAE">
        <w:t>was</w:t>
      </w:r>
      <w:r>
        <w:t xml:space="preserve"> in accordance with the General Provisions of the WMO Technical Regulations (WMO-No. 49), Volume I, that any amendments to the Technical Regulations submitted by Members or by constituent bodies should be communicated to all Members at least three months before they are submitted to Congress. </w:t>
      </w:r>
    </w:p>
    <w:p w:rsidR="000E13F0" w:rsidRDefault="000E13F0" w:rsidP="00E952A1">
      <w:pPr>
        <w:pStyle w:val="ListParagraph"/>
        <w:ind w:left="0"/>
        <w:jc w:val="both"/>
      </w:pPr>
    </w:p>
    <w:p w:rsidR="00990FF3" w:rsidRPr="00990FF3" w:rsidRDefault="00990FF3" w:rsidP="00E952A1">
      <w:pPr>
        <w:pStyle w:val="ListParagraph"/>
        <w:numPr>
          <w:ilvl w:val="0"/>
          <w:numId w:val="23"/>
        </w:numPr>
        <w:ind w:left="0" w:firstLine="0"/>
        <w:jc w:val="both"/>
      </w:pPr>
      <w:r>
        <w:t xml:space="preserve">Further information </w:t>
      </w:r>
      <w:r w:rsidR="000E13F0">
        <w:t xml:space="preserve">on WMO regulatory and non-regulatory material can be found at: </w:t>
      </w:r>
      <w:hyperlink r:id="rId10" w:history="1">
        <w:r w:rsidR="000E13F0" w:rsidRPr="000E13F0">
          <w:rPr>
            <w:rStyle w:val="Hyperlink"/>
            <w:rFonts w:cs="Arial"/>
            <w:szCs w:val="22"/>
          </w:rPr>
          <w:t>http://www.wmo.int/pages/prog/www/wigos/TT-WRM.html</w:t>
        </w:r>
      </w:hyperlink>
      <w:r w:rsidR="00407EAE">
        <w:rPr>
          <w:rFonts w:cs="Arial"/>
          <w:szCs w:val="22"/>
        </w:rPr>
        <w:t>; it is</w:t>
      </w:r>
      <w:r>
        <w:rPr>
          <w:rFonts w:cs="Arial"/>
          <w:szCs w:val="22"/>
        </w:rPr>
        <w:t xml:space="preserve"> mainly </w:t>
      </w:r>
    </w:p>
    <w:p w:rsidR="00407EAE" w:rsidRDefault="005E28A4" w:rsidP="00E952A1">
      <w:pPr>
        <w:pStyle w:val="ListParagraph"/>
        <w:numPr>
          <w:ilvl w:val="0"/>
          <w:numId w:val="30"/>
        </w:numPr>
        <w:spacing w:before="120"/>
        <w:ind w:left="567" w:hanging="425"/>
        <w:jc w:val="both"/>
      </w:pPr>
      <w:hyperlink r:id="rId11" w:history="1">
        <w:r w:rsidR="00990FF3" w:rsidRPr="00407EAE">
          <w:rPr>
            <w:rStyle w:val="Hyperlink"/>
            <w:i/>
          </w:rPr>
          <w:t xml:space="preserve">Technical Regulations, Basic Documents No. 2 </w:t>
        </w:r>
        <w:r w:rsidR="00990FF3" w:rsidRPr="00990FF3">
          <w:rPr>
            <w:rStyle w:val="Hyperlink"/>
          </w:rPr>
          <w:t>(WMO-No. 49), Volume I – General Meteorological Standards and Recommended Practices,  2011 edition, updated in 2012</w:t>
        </w:r>
      </w:hyperlink>
      <w:r w:rsidR="00990FF3">
        <w:t xml:space="preserve"> and</w:t>
      </w:r>
    </w:p>
    <w:p w:rsidR="00990FF3" w:rsidRDefault="005E28A4" w:rsidP="00E952A1">
      <w:pPr>
        <w:pStyle w:val="ListParagraph"/>
        <w:numPr>
          <w:ilvl w:val="0"/>
          <w:numId w:val="30"/>
        </w:numPr>
        <w:spacing w:before="120"/>
        <w:ind w:left="567" w:hanging="425"/>
        <w:jc w:val="both"/>
      </w:pPr>
      <w:hyperlink r:id="rId12" w:history="1">
        <w:r w:rsidR="00990FF3" w:rsidRPr="000E13F0">
          <w:rPr>
            <w:rStyle w:val="Hyperlink"/>
          </w:rPr>
          <w:t>Guidelines on the Preparation and Promulgation of WMO Technical Regulations</w:t>
        </w:r>
      </w:hyperlink>
    </w:p>
    <w:p w:rsidR="00990FF3" w:rsidRPr="00990FF3" w:rsidRDefault="00990FF3" w:rsidP="00E952A1">
      <w:pPr>
        <w:jc w:val="both"/>
      </w:pPr>
      <w:proofErr w:type="gramStart"/>
      <w:r>
        <w:t>that</w:t>
      </w:r>
      <w:proofErr w:type="gramEnd"/>
      <w:r>
        <w:t xml:space="preserve"> were taken into account for the development of the WIGOS regulatory material</w:t>
      </w:r>
      <w:r w:rsidR="000E13F0" w:rsidRPr="00990FF3">
        <w:rPr>
          <w:rFonts w:cs="Arial"/>
          <w:szCs w:val="22"/>
        </w:rPr>
        <w:t>.</w:t>
      </w:r>
    </w:p>
    <w:p w:rsidR="00990FF3" w:rsidRDefault="00990FF3" w:rsidP="00E952A1">
      <w:pPr>
        <w:pStyle w:val="ListParagraph"/>
        <w:jc w:val="both"/>
      </w:pPr>
    </w:p>
    <w:p w:rsidR="00990FF3" w:rsidRDefault="00990FF3" w:rsidP="00E952A1">
      <w:pPr>
        <w:pStyle w:val="ListParagraph"/>
        <w:numPr>
          <w:ilvl w:val="0"/>
          <w:numId w:val="23"/>
        </w:numPr>
        <w:ind w:left="0" w:firstLine="0"/>
        <w:jc w:val="both"/>
      </w:pPr>
      <w:r>
        <w:t xml:space="preserve">In accordance with the </w:t>
      </w:r>
      <w:r w:rsidRPr="00990FF3">
        <w:rPr>
          <w:i/>
        </w:rPr>
        <w:t>Basic Documents No. 1</w:t>
      </w:r>
      <w:r>
        <w:t xml:space="preserve"> (WMO-No. 15), 2012 edition, decisions concerning changes in the Technical Regulations, together with relevant documents, shall be sent to Members in sufficient time to allow a period of </w:t>
      </w:r>
      <w:r w:rsidRPr="00990FF3">
        <w:rPr>
          <w:b/>
        </w:rPr>
        <w:t>at least nine months</w:t>
      </w:r>
      <w:r>
        <w:t xml:space="preserve"> between the receipt of these documents and the date of implementation. In no case shall this period be less than two months (Regulation 127).</w:t>
      </w:r>
    </w:p>
    <w:p w:rsidR="00990FF3" w:rsidRDefault="00990FF3" w:rsidP="00E952A1">
      <w:pPr>
        <w:pStyle w:val="ListParagraph"/>
        <w:ind w:left="0"/>
        <w:jc w:val="both"/>
      </w:pPr>
    </w:p>
    <w:p w:rsidR="00662D87" w:rsidRDefault="00990FF3" w:rsidP="00E952A1">
      <w:pPr>
        <w:pStyle w:val="ListParagraph"/>
        <w:numPr>
          <w:ilvl w:val="0"/>
          <w:numId w:val="23"/>
        </w:numPr>
        <w:ind w:left="0" w:firstLine="0"/>
        <w:jc w:val="both"/>
      </w:pPr>
      <w:r>
        <w:t xml:space="preserve">In addition to the Technical Regulations, appropriate guides are published by the Organization. The guides describe practices, procedures and specifications which Members are </w:t>
      </w:r>
      <w:r w:rsidRPr="00990FF3">
        <w:rPr>
          <w:b/>
          <w:i/>
        </w:rPr>
        <w:t>invited</w:t>
      </w:r>
      <w:r>
        <w:t xml:space="preserve"> to follow or implement. The WMO technical commissions are responsible for the selection of material to be included in the guides. Recommendations for amendments made by an appropriate technical commission are subject to the approval of the Executive Council.</w:t>
      </w:r>
    </w:p>
    <w:p w:rsidR="00662D87" w:rsidRDefault="00662D87" w:rsidP="00E952A1">
      <w:pPr>
        <w:pStyle w:val="ListParagraph"/>
        <w:jc w:val="both"/>
      </w:pPr>
    </w:p>
    <w:p w:rsidR="00D02C1D" w:rsidRDefault="006B0BEB" w:rsidP="00E952A1">
      <w:pPr>
        <w:pStyle w:val="ListParagraph"/>
        <w:numPr>
          <w:ilvl w:val="0"/>
          <w:numId w:val="23"/>
        </w:numPr>
        <w:ind w:left="0" w:firstLine="0"/>
        <w:jc w:val="both"/>
      </w:pPr>
      <w:r w:rsidRPr="00591A09">
        <w:t>ICG-WIGOS</w:t>
      </w:r>
      <w:r w:rsidR="00662D87">
        <w:t>-3</w:t>
      </w:r>
      <w:r>
        <w:t xml:space="preserve"> </w:t>
      </w:r>
      <w:r w:rsidRPr="00662D87">
        <w:rPr>
          <w:rFonts w:cs="Arial"/>
        </w:rPr>
        <w:t>recommended that the Observing System Network Design (OSND) Principles should be incorporated in due course into the Manual on WIGOS (</w:t>
      </w:r>
      <w:r w:rsidR="00662D87">
        <w:rPr>
          <w:rFonts w:cs="Arial"/>
        </w:rPr>
        <w:t xml:space="preserve">action </w:t>
      </w:r>
      <w:r w:rsidRPr="00662D87">
        <w:rPr>
          <w:rFonts w:cs="Arial"/>
        </w:rPr>
        <w:t>completed</w:t>
      </w:r>
      <w:r w:rsidR="00407EAE">
        <w:rPr>
          <w:rFonts w:cs="Arial"/>
        </w:rPr>
        <w:t xml:space="preserve">; see </w:t>
      </w:r>
      <w:hyperlink w:anchor="App_B" w:history="1">
        <w:r w:rsidR="00407EAE" w:rsidRPr="00407EAE">
          <w:rPr>
            <w:rStyle w:val="Hyperlink"/>
            <w:rFonts w:cs="Arial"/>
          </w:rPr>
          <w:t>Appendix B</w:t>
        </w:r>
      </w:hyperlink>
      <w:r w:rsidRPr="00662D87">
        <w:rPr>
          <w:rFonts w:cs="Arial"/>
        </w:rPr>
        <w:t xml:space="preserve">). Now, the </w:t>
      </w:r>
      <w:r w:rsidR="00407EAE">
        <w:rPr>
          <w:rFonts w:cs="Arial"/>
        </w:rPr>
        <w:t xml:space="preserve">implementation guidance on the </w:t>
      </w:r>
      <w:r w:rsidRPr="00662D87">
        <w:rPr>
          <w:rFonts w:cs="Arial"/>
        </w:rPr>
        <w:t xml:space="preserve">OSND </w:t>
      </w:r>
      <w:r w:rsidR="00407EAE">
        <w:rPr>
          <w:rFonts w:cs="Arial"/>
        </w:rPr>
        <w:t>Principles</w:t>
      </w:r>
      <w:r w:rsidRPr="00662D87">
        <w:rPr>
          <w:rFonts w:cs="Arial"/>
        </w:rPr>
        <w:t xml:space="preserve"> </w:t>
      </w:r>
      <w:r w:rsidR="00407EAE">
        <w:rPr>
          <w:rFonts w:cs="Arial"/>
        </w:rPr>
        <w:t xml:space="preserve">must </w:t>
      </w:r>
      <w:r w:rsidRPr="00662D87">
        <w:rPr>
          <w:rFonts w:cs="Arial"/>
        </w:rPr>
        <w:t>be developed</w:t>
      </w:r>
      <w:r w:rsidR="00407EAE">
        <w:rPr>
          <w:rFonts w:cs="Arial"/>
        </w:rPr>
        <w:t xml:space="preserve">, incorporated </w:t>
      </w:r>
      <w:r w:rsidR="00662D87">
        <w:rPr>
          <w:rFonts w:cs="Arial"/>
        </w:rPr>
        <w:t>into the Draft Guide to WIGOS</w:t>
      </w:r>
      <w:r w:rsidR="00662D87" w:rsidRPr="00662D87">
        <w:rPr>
          <w:rFonts w:cs="Arial"/>
        </w:rPr>
        <w:t>,</w:t>
      </w:r>
      <w:r w:rsidRPr="00662D87">
        <w:rPr>
          <w:rFonts w:cs="Arial"/>
        </w:rPr>
        <w:t xml:space="preserve"> </w:t>
      </w:r>
      <w:r w:rsidR="00407EAE">
        <w:rPr>
          <w:rFonts w:cs="Arial"/>
        </w:rPr>
        <w:t xml:space="preserve">and submitted to ICG-WIGOS-5 </w:t>
      </w:r>
      <w:r w:rsidR="00547F11">
        <w:rPr>
          <w:rFonts w:cs="Arial"/>
        </w:rPr>
        <w:t>(4</w:t>
      </w:r>
      <w:r w:rsidR="00547F11" w:rsidRPr="00547F11">
        <w:rPr>
          <w:rFonts w:cs="Arial"/>
          <w:vertAlign w:val="superscript"/>
        </w:rPr>
        <w:t>th</w:t>
      </w:r>
      <w:r w:rsidR="00547F11">
        <w:rPr>
          <w:rFonts w:cs="Arial"/>
        </w:rPr>
        <w:t xml:space="preserve"> Quarter of 2015 or 1</w:t>
      </w:r>
      <w:r w:rsidR="00547F11" w:rsidRPr="00547F11">
        <w:rPr>
          <w:rFonts w:cs="Arial"/>
          <w:vertAlign w:val="superscript"/>
        </w:rPr>
        <w:t>st</w:t>
      </w:r>
      <w:r w:rsidR="00547F11">
        <w:rPr>
          <w:rFonts w:cs="Arial"/>
        </w:rPr>
        <w:t xml:space="preserve"> Quarter of 2016) </w:t>
      </w:r>
      <w:r w:rsidR="00407EAE">
        <w:rPr>
          <w:rFonts w:cs="Arial"/>
        </w:rPr>
        <w:t xml:space="preserve">for the </w:t>
      </w:r>
      <w:r>
        <w:t>review</w:t>
      </w:r>
      <w:r w:rsidR="00662D87">
        <w:t xml:space="preserve"> and </w:t>
      </w:r>
      <w:r w:rsidR="00407EAE">
        <w:t>to EC-68 (2016) for approval.</w:t>
      </w:r>
    </w:p>
    <w:p w:rsidR="00407EAE" w:rsidRDefault="00407EAE" w:rsidP="00E952A1">
      <w:pPr>
        <w:pStyle w:val="ListParagraph"/>
        <w:jc w:val="both"/>
      </w:pPr>
    </w:p>
    <w:p w:rsidR="00407EAE" w:rsidRPr="00662D87" w:rsidRDefault="00407EAE" w:rsidP="00E952A1">
      <w:pPr>
        <w:pStyle w:val="ListParagraph"/>
        <w:numPr>
          <w:ilvl w:val="0"/>
          <w:numId w:val="23"/>
        </w:numPr>
        <w:ind w:left="0" w:firstLine="0"/>
        <w:jc w:val="both"/>
      </w:pPr>
      <w:r>
        <w:t>High-level guidance on OSND Principles was already presented at IPET-OSDE1 (</w:t>
      </w:r>
      <w:hyperlink r:id="rId13" w:history="1">
        <w:r w:rsidRPr="00407EAE">
          <w:rPr>
            <w:rStyle w:val="Hyperlink"/>
          </w:rPr>
          <w:t>Doc.10.1</w:t>
        </w:r>
      </w:hyperlink>
      <w:r>
        <w:t>).  This non-regulatory material should be further developed to provide more detailed guidance (best practices, gui</w:t>
      </w:r>
      <w:bookmarkStart w:id="5" w:name="_GoBack"/>
      <w:bookmarkEnd w:id="5"/>
      <w:r>
        <w:t>deline) on how the OSND Principles (i.e. provisions 2.2.2.1 and 2.2.2.2) should be implemented = applied by NMHS managers responsible for planning, implementation and evolution of national observing systems and networks.</w:t>
      </w:r>
    </w:p>
    <w:p w:rsidR="00D02C1D" w:rsidRDefault="00D02C1D" w:rsidP="00E952A1">
      <w:pPr>
        <w:tabs>
          <w:tab w:val="left" w:pos="840"/>
        </w:tabs>
        <w:jc w:val="both"/>
        <w:rPr>
          <w:rFonts w:cs="Arial"/>
          <w:szCs w:val="22"/>
        </w:rPr>
      </w:pPr>
    </w:p>
    <w:p w:rsidR="00517469" w:rsidRDefault="00D02C1D" w:rsidP="00D02C1D">
      <w:pPr>
        <w:tabs>
          <w:tab w:val="left" w:pos="840"/>
        </w:tabs>
        <w:jc w:val="center"/>
        <w:rPr>
          <w:rFonts w:cs="Arial"/>
          <w:szCs w:val="22"/>
        </w:rPr>
      </w:pPr>
      <w:r>
        <w:rPr>
          <w:rFonts w:cs="Arial"/>
          <w:szCs w:val="22"/>
        </w:rPr>
        <w:t>__________</w:t>
      </w:r>
    </w:p>
    <w:p w:rsidR="00C0356A" w:rsidRDefault="00C0356A" w:rsidP="00B85012">
      <w:pPr>
        <w:tabs>
          <w:tab w:val="left" w:pos="840"/>
        </w:tabs>
        <w:jc w:val="both"/>
        <w:rPr>
          <w:rFonts w:cs="Arial"/>
          <w:szCs w:val="22"/>
        </w:rPr>
        <w:sectPr w:rsidR="00C0356A" w:rsidSect="00F73098">
          <w:headerReference w:type="default" r:id="rId14"/>
          <w:pgSz w:w="11906" w:h="16838" w:code="9"/>
          <w:pgMar w:top="1134" w:right="1134" w:bottom="1134" w:left="1134" w:header="709" w:footer="709" w:gutter="0"/>
          <w:pgNumType w:start="2"/>
          <w:cols w:space="708"/>
          <w:docGrid w:linePitch="360"/>
        </w:sectPr>
      </w:pPr>
    </w:p>
    <w:p w:rsidR="000E13F0" w:rsidRDefault="000E13F0" w:rsidP="000E13F0">
      <w:pPr>
        <w:jc w:val="center"/>
        <w:rPr>
          <w:rFonts w:eastAsia="MS Minngs" w:cs="Arial"/>
          <w:b/>
          <w:szCs w:val="22"/>
          <w:lang w:eastAsia="ja-JP"/>
        </w:rPr>
      </w:pPr>
      <w:r>
        <w:rPr>
          <w:rFonts w:cs="Arial"/>
          <w:b/>
          <w:bCs/>
          <w:caps/>
          <w:szCs w:val="22"/>
        </w:rPr>
        <w:lastRenderedPageBreak/>
        <w:t>Appendix A</w:t>
      </w:r>
    </w:p>
    <w:p w:rsidR="000E13F0" w:rsidRDefault="000E13F0" w:rsidP="000E13F0">
      <w:pPr>
        <w:jc w:val="center"/>
        <w:rPr>
          <w:rFonts w:eastAsia="MS Minngs" w:cs="Arial"/>
          <w:b/>
          <w:szCs w:val="22"/>
          <w:lang w:eastAsia="ja-JP"/>
        </w:rPr>
      </w:pPr>
    </w:p>
    <w:p w:rsidR="000E13F0" w:rsidRPr="004A2943" w:rsidRDefault="000E13F0" w:rsidP="000E13F0">
      <w:pPr>
        <w:rPr>
          <w:rFonts w:eastAsia="MS Minngs" w:cs="Arial"/>
          <w:b/>
          <w:szCs w:val="22"/>
          <w:lang w:eastAsia="ja-JP"/>
        </w:rPr>
      </w:pPr>
      <w:bookmarkStart w:id="6" w:name="App_A"/>
      <w:bookmarkEnd w:id="6"/>
      <w:r w:rsidRPr="004A2943">
        <w:rPr>
          <w:rFonts w:eastAsia="MS Minngs" w:cs="Arial"/>
          <w:b/>
          <w:szCs w:val="22"/>
          <w:lang w:eastAsia="ja-JP"/>
        </w:rPr>
        <w:t>Purpose and Scope of WIGOS Regulatory Material</w:t>
      </w:r>
      <w:r>
        <w:rPr>
          <w:rFonts w:eastAsia="MS Minngs" w:cs="Arial"/>
          <w:b/>
          <w:szCs w:val="22"/>
          <w:lang w:eastAsia="ja-JP"/>
        </w:rPr>
        <w:t xml:space="preserve"> </w:t>
      </w:r>
      <w:r w:rsidR="006B0BEB">
        <w:rPr>
          <w:rStyle w:val="FootnoteReference"/>
          <w:rFonts w:eastAsia="MS Minngs" w:cs="Arial"/>
          <w:b/>
          <w:szCs w:val="22"/>
          <w:lang w:eastAsia="ja-JP"/>
        </w:rPr>
        <w:footnoteReference w:id="1"/>
      </w:r>
    </w:p>
    <w:p w:rsidR="000E13F0" w:rsidRDefault="000E13F0" w:rsidP="000E13F0">
      <w:pPr>
        <w:tabs>
          <w:tab w:val="left" w:pos="1080"/>
        </w:tabs>
        <w:contextualSpacing/>
        <w:rPr>
          <w:rFonts w:eastAsia="MS Minngs" w:cs="Arial"/>
          <w:szCs w:val="22"/>
          <w:lang w:eastAsia="ja-JP"/>
        </w:rPr>
      </w:pPr>
    </w:p>
    <w:p w:rsidR="000E13F0" w:rsidRPr="00DE2747" w:rsidRDefault="000E13F0" w:rsidP="000E13F0">
      <w:pPr>
        <w:numPr>
          <w:ilvl w:val="0"/>
          <w:numId w:val="28"/>
        </w:numPr>
        <w:tabs>
          <w:tab w:val="left" w:pos="0"/>
        </w:tabs>
        <w:ind w:left="0" w:firstLine="0"/>
        <w:contextualSpacing/>
        <w:jc w:val="both"/>
        <w:rPr>
          <w:rFonts w:eastAsia="MS Minngs" w:cs="Arial"/>
          <w:szCs w:val="22"/>
          <w:lang w:eastAsia="ja-JP"/>
        </w:rPr>
      </w:pPr>
      <w:r w:rsidRPr="004A2943">
        <w:rPr>
          <w:rFonts w:eastAsia="MS Minngs" w:cs="Arial"/>
          <w:szCs w:val="22"/>
          <w:lang w:eastAsia="ja-JP"/>
        </w:rPr>
        <w:t xml:space="preserve">The first edition of the WMO Technical Regulations (WMO-No. 49), Volume I, Part I </w:t>
      </w:r>
      <w:r>
        <w:rPr>
          <w:rFonts w:eastAsia="MS Minngs" w:cs="Arial"/>
          <w:szCs w:val="22"/>
          <w:lang w:eastAsia="ja-JP"/>
        </w:rPr>
        <w:t xml:space="preserve">- </w:t>
      </w:r>
      <w:r w:rsidRPr="004A2943">
        <w:rPr>
          <w:rFonts w:eastAsia="MS Minngs" w:cs="Arial"/>
          <w:szCs w:val="22"/>
          <w:lang w:eastAsia="ja-JP"/>
        </w:rPr>
        <w:t>WMO Integrated Global Observing System</w:t>
      </w:r>
      <w:r>
        <w:rPr>
          <w:rFonts w:eastAsia="MS Minngs" w:cs="Arial"/>
          <w:szCs w:val="22"/>
          <w:lang w:eastAsia="ja-JP"/>
        </w:rPr>
        <w:t xml:space="preserve"> (WIGOS)</w:t>
      </w:r>
      <w:r w:rsidRPr="004A2943">
        <w:rPr>
          <w:rFonts w:eastAsia="MS Minngs" w:cs="Arial"/>
          <w:szCs w:val="22"/>
          <w:lang w:eastAsia="ja-JP"/>
        </w:rPr>
        <w:t xml:space="preserve"> </w:t>
      </w:r>
      <w:r w:rsidRPr="004A2943">
        <w:rPr>
          <w:rFonts w:cs="Arial"/>
          <w:szCs w:val="22"/>
        </w:rPr>
        <w:t xml:space="preserve">was developed </w:t>
      </w:r>
      <w:r>
        <w:rPr>
          <w:rFonts w:cs="Arial"/>
          <w:szCs w:val="22"/>
        </w:rPr>
        <w:t>in accordance with</w:t>
      </w:r>
      <w:r w:rsidRPr="004A2943">
        <w:rPr>
          <w:rFonts w:cs="Arial"/>
          <w:szCs w:val="22"/>
        </w:rPr>
        <w:t xml:space="preserve"> the decision of </w:t>
      </w:r>
      <w:r>
        <w:rPr>
          <w:rFonts w:cs="Arial"/>
          <w:szCs w:val="22"/>
        </w:rPr>
        <w:t xml:space="preserve">the </w:t>
      </w:r>
      <w:r w:rsidRPr="004A2943">
        <w:rPr>
          <w:rFonts w:cs="Arial"/>
          <w:szCs w:val="22"/>
        </w:rPr>
        <w:t xml:space="preserve">Sixteenth </w:t>
      </w:r>
      <w:r>
        <w:rPr>
          <w:rFonts w:cs="Arial"/>
          <w:szCs w:val="22"/>
        </w:rPr>
        <w:t xml:space="preserve">World Meteorological </w:t>
      </w:r>
      <w:r w:rsidRPr="004A2943">
        <w:rPr>
          <w:rFonts w:cs="Arial"/>
          <w:szCs w:val="22"/>
        </w:rPr>
        <w:t xml:space="preserve">Congress </w:t>
      </w:r>
      <w:r>
        <w:rPr>
          <w:rFonts w:cs="Arial"/>
          <w:szCs w:val="22"/>
        </w:rPr>
        <w:t xml:space="preserve">(2011) </w:t>
      </w:r>
      <w:r w:rsidRPr="004A2943">
        <w:rPr>
          <w:rFonts w:cs="Arial"/>
          <w:szCs w:val="22"/>
        </w:rPr>
        <w:t xml:space="preserve">to proceed with the implementation of WIGOS, </w:t>
      </w:r>
      <w:r>
        <w:rPr>
          <w:rFonts w:cs="Arial"/>
          <w:szCs w:val="22"/>
        </w:rPr>
        <w:t xml:space="preserve">and when </w:t>
      </w:r>
      <w:r w:rsidRPr="004A2943">
        <w:rPr>
          <w:rFonts w:cs="Arial"/>
          <w:szCs w:val="22"/>
        </w:rPr>
        <w:t xml:space="preserve">approved by </w:t>
      </w:r>
      <w:r>
        <w:rPr>
          <w:rFonts w:cs="Arial"/>
          <w:szCs w:val="22"/>
        </w:rPr>
        <w:t xml:space="preserve">the </w:t>
      </w:r>
      <w:r w:rsidRPr="004A2943">
        <w:rPr>
          <w:rFonts w:cs="Arial"/>
          <w:szCs w:val="22"/>
        </w:rPr>
        <w:t xml:space="preserve">Seventeenth Congress </w:t>
      </w:r>
      <w:r>
        <w:rPr>
          <w:rFonts w:cs="Arial"/>
          <w:szCs w:val="22"/>
        </w:rPr>
        <w:t>it</w:t>
      </w:r>
      <w:r w:rsidRPr="004A2943">
        <w:rPr>
          <w:rFonts w:cs="Arial"/>
          <w:szCs w:val="22"/>
        </w:rPr>
        <w:t xml:space="preserve"> will be issued as the 2015 edition.</w:t>
      </w:r>
      <w:r>
        <w:rPr>
          <w:rFonts w:cs="Arial"/>
          <w:szCs w:val="22"/>
        </w:rPr>
        <w:t xml:space="preserve"> </w:t>
      </w:r>
    </w:p>
    <w:p w:rsidR="000E13F0" w:rsidRPr="00DE2747" w:rsidRDefault="000E13F0" w:rsidP="000E13F0">
      <w:pPr>
        <w:tabs>
          <w:tab w:val="left" w:pos="0"/>
        </w:tabs>
        <w:contextualSpacing/>
        <w:jc w:val="both"/>
        <w:rPr>
          <w:rFonts w:eastAsia="MS Minngs" w:cs="Arial"/>
          <w:szCs w:val="22"/>
          <w:lang w:eastAsia="ja-JP"/>
        </w:rPr>
      </w:pPr>
    </w:p>
    <w:p w:rsidR="000E13F0" w:rsidRPr="004A2943" w:rsidRDefault="000E13F0" w:rsidP="000E13F0">
      <w:pPr>
        <w:numPr>
          <w:ilvl w:val="0"/>
          <w:numId w:val="28"/>
        </w:numPr>
        <w:tabs>
          <w:tab w:val="left" w:pos="0"/>
        </w:tabs>
        <w:ind w:left="0" w:firstLine="0"/>
        <w:contextualSpacing/>
        <w:jc w:val="both"/>
        <w:rPr>
          <w:rFonts w:eastAsia="MS Minngs" w:cs="Arial"/>
          <w:szCs w:val="22"/>
          <w:lang w:eastAsia="ja-JP"/>
        </w:rPr>
      </w:pPr>
      <w:r>
        <w:rPr>
          <w:rFonts w:cs="Arial"/>
          <w:szCs w:val="22"/>
        </w:rPr>
        <w:t xml:space="preserve">It </w:t>
      </w:r>
      <w:r w:rsidRPr="004A2943">
        <w:rPr>
          <w:rFonts w:eastAsia="MS Minngs" w:cs="Arial"/>
          <w:szCs w:val="22"/>
          <w:lang w:eastAsia="ja-JP"/>
        </w:rPr>
        <w:t>is designed to:</w:t>
      </w:r>
    </w:p>
    <w:p w:rsidR="000E13F0" w:rsidRPr="004A2943" w:rsidRDefault="000E13F0" w:rsidP="000E13F0">
      <w:pPr>
        <w:tabs>
          <w:tab w:val="left" w:pos="720"/>
          <w:tab w:val="left" w:pos="1080"/>
        </w:tabs>
        <w:contextualSpacing/>
        <w:jc w:val="both"/>
        <w:rPr>
          <w:rFonts w:eastAsia="MS Minngs" w:cs="Arial"/>
          <w:szCs w:val="22"/>
          <w:lang w:eastAsia="ja-JP"/>
        </w:rPr>
      </w:pPr>
    </w:p>
    <w:p w:rsidR="000E13F0" w:rsidRDefault="000E13F0" w:rsidP="000E13F0">
      <w:pPr>
        <w:numPr>
          <w:ilvl w:val="0"/>
          <w:numId w:val="26"/>
        </w:numPr>
        <w:tabs>
          <w:tab w:val="clear" w:pos="360"/>
          <w:tab w:val="num" w:pos="720"/>
        </w:tabs>
        <w:ind w:left="720" w:hanging="720"/>
        <w:contextualSpacing/>
        <w:jc w:val="both"/>
        <w:rPr>
          <w:rFonts w:cs="Arial"/>
          <w:szCs w:val="22"/>
          <w:lang w:eastAsia="ja-JP"/>
        </w:rPr>
      </w:pPr>
      <w:r w:rsidRPr="004A2943">
        <w:rPr>
          <w:rFonts w:cs="Arial"/>
          <w:szCs w:val="22"/>
          <w:lang w:eastAsia="ja-JP"/>
        </w:rPr>
        <w:t>Specify obligations of Member</w:t>
      </w:r>
      <w:r>
        <w:rPr>
          <w:rFonts w:cs="Arial"/>
          <w:szCs w:val="22"/>
          <w:lang w:eastAsia="ja-JP"/>
        </w:rPr>
        <w:t>s</w:t>
      </w:r>
      <w:r w:rsidRPr="004A2943">
        <w:rPr>
          <w:rFonts w:cs="Arial"/>
          <w:szCs w:val="22"/>
          <w:lang w:eastAsia="ja-JP"/>
        </w:rPr>
        <w:t xml:space="preserve"> in the implementation and operation of the WIGOS</w:t>
      </w:r>
      <w:r>
        <w:rPr>
          <w:rFonts w:cs="Arial"/>
          <w:szCs w:val="22"/>
          <w:lang w:eastAsia="ja-JP"/>
        </w:rPr>
        <w:t xml:space="preserve"> component observing systems</w:t>
      </w:r>
      <w:r w:rsidRPr="004A2943">
        <w:rPr>
          <w:rFonts w:cs="Arial"/>
          <w:szCs w:val="22"/>
          <w:lang w:eastAsia="ja-JP"/>
        </w:rPr>
        <w:t>;</w:t>
      </w:r>
      <w:r>
        <w:rPr>
          <w:rFonts w:cs="Arial"/>
          <w:szCs w:val="22"/>
          <w:lang w:eastAsia="ja-JP"/>
        </w:rPr>
        <w:t xml:space="preserve"> and</w:t>
      </w:r>
    </w:p>
    <w:p w:rsidR="000E13F0" w:rsidRPr="004A2943" w:rsidRDefault="000E13F0" w:rsidP="000E13F0">
      <w:pPr>
        <w:tabs>
          <w:tab w:val="left" w:pos="720"/>
        </w:tabs>
        <w:ind w:left="238" w:hanging="720"/>
        <w:contextualSpacing/>
        <w:jc w:val="both"/>
        <w:rPr>
          <w:rFonts w:cs="Arial"/>
          <w:szCs w:val="22"/>
          <w:lang w:eastAsia="ja-JP"/>
        </w:rPr>
      </w:pPr>
    </w:p>
    <w:p w:rsidR="000E13F0" w:rsidRPr="004A2943" w:rsidRDefault="000E13F0" w:rsidP="000E13F0">
      <w:pPr>
        <w:numPr>
          <w:ilvl w:val="0"/>
          <w:numId w:val="26"/>
        </w:numPr>
        <w:tabs>
          <w:tab w:val="clear" w:pos="360"/>
          <w:tab w:val="num" w:pos="720"/>
        </w:tabs>
        <w:ind w:left="720" w:hanging="720"/>
        <w:contextualSpacing/>
        <w:jc w:val="both"/>
        <w:rPr>
          <w:rFonts w:cs="Arial"/>
          <w:szCs w:val="22"/>
          <w:lang w:eastAsia="ja-JP"/>
        </w:rPr>
      </w:pPr>
      <w:r w:rsidRPr="004A2943">
        <w:rPr>
          <w:rFonts w:cs="Arial"/>
          <w:szCs w:val="22"/>
          <w:lang w:eastAsia="ja-JP"/>
        </w:rPr>
        <w:t xml:space="preserve">Facilitate cooperation in </w:t>
      </w:r>
      <w:r>
        <w:rPr>
          <w:rFonts w:cs="Arial"/>
          <w:szCs w:val="22"/>
          <w:lang w:eastAsia="ja-JP"/>
        </w:rPr>
        <w:t xml:space="preserve">WIGOS </w:t>
      </w:r>
      <w:r w:rsidRPr="004A2943">
        <w:rPr>
          <w:rFonts w:cs="Arial"/>
          <w:szCs w:val="22"/>
          <w:lang w:eastAsia="ja-JP"/>
        </w:rPr>
        <w:t>observ</w:t>
      </w:r>
      <w:r>
        <w:rPr>
          <w:rFonts w:cs="Arial"/>
          <w:szCs w:val="22"/>
          <w:lang w:eastAsia="ja-JP"/>
        </w:rPr>
        <w:t>ations between Member countries.</w:t>
      </w:r>
    </w:p>
    <w:p w:rsidR="000E13F0" w:rsidRPr="004A2943" w:rsidRDefault="000E13F0" w:rsidP="000E13F0">
      <w:pPr>
        <w:tabs>
          <w:tab w:val="left" w:pos="720"/>
        </w:tabs>
        <w:contextualSpacing/>
        <w:jc w:val="both"/>
        <w:rPr>
          <w:rFonts w:cs="Arial"/>
          <w:szCs w:val="22"/>
        </w:rPr>
      </w:pPr>
    </w:p>
    <w:p w:rsidR="000E13F0" w:rsidRDefault="000E13F0" w:rsidP="000E13F0">
      <w:pPr>
        <w:numPr>
          <w:ilvl w:val="0"/>
          <w:numId w:val="28"/>
        </w:numPr>
        <w:tabs>
          <w:tab w:val="left" w:pos="0"/>
        </w:tabs>
        <w:ind w:left="0" w:firstLine="0"/>
        <w:contextualSpacing/>
        <w:jc w:val="both"/>
        <w:rPr>
          <w:rFonts w:cs="Arial"/>
          <w:szCs w:val="22"/>
        </w:rPr>
      </w:pPr>
      <w:r w:rsidRPr="004A2943">
        <w:rPr>
          <w:rFonts w:eastAsia="MS Minngs" w:cs="Arial"/>
          <w:szCs w:val="22"/>
          <w:lang w:eastAsia="ja-JP"/>
        </w:rPr>
        <w:t xml:space="preserve">In essence, the </w:t>
      </w:r>
      <w:r>
        <w:rPr>
          <w:rFonts w:eastAsia="MS Minngs" w:cs="Arial"/>
          <w:szCs w:val="22"/>
          <w:lang w:eastAsia="ja-JP"/>
        </w:rPr>
        <w:t>Volume I, Part I specifies WIGOS i</w:t>
      </w:r>
      <w:r w:rsidRPr="00A443CD">
        <w:rPr>
          <w:rFonts w:cs="Arial"/>
          <w:szCs w:val="22"/>
        </w:rPr>
        <w:t>nstitutional and system requirements (standards) or recommendations</w:t>
      </w:r>
      <w:r>
        <w:rPr>
          <w:rFonts w:cs="Arial"/>
          <w:szCs w:val="22"/>
        </w:rPr>
        <w:t xml:space="preserve"> for</w:t>
      </w:r>
      <w:r w:rsidRPr="00A443CD">
        <w:rPr>
          <w:rFonts w:cs="Arial"/>
          <w:szCs w:val="22"/>
        </w:rPr>
        <w:t xml:space="preserve">: </w:t>
      </w:r>
    </w:p>
    <w:p w:rsidR="000E13F0" w:rsidRPr="00A443CD" w:rsidRDefault="000E13F0" w:rsidP="000E13F0">
      <w:pPr>
        <w:contextualSpacing/>
        <w:jc w:val="both"/>
        <w:rPr>
          <w:rFonts w:eastAsia="MS Minngs" w:cs="Arial"/>
          <w:szCs w:val="22"/>
          <w:lang w:eastAsia="ja-JP"/>
        </w:rPr>
      </w:pPr>
    </w:p>
    <w:p w:rsidR="000E13F0" w:rsidRDefault="000E13F0" w:rsidP="000E13F0">
      <w:pPr>
        <w:numPr>
          <w:ilvl w:val="0"/>
          <w:numId w:val="27"/>
        </w:numPr>
        <w:tabs>
          <w:tab w:val="clear" w:pos="360"/>
          <w:tab w:val="num" w:pos="720"/>
        </w:tabs>
        <w:ind w:left="720" w:hanging="720"/>
        <w:contextualSpacing/>
        <w:jc w:val="both"/>
        <w:rPr>
          <w:rFonts w:cs="Arial"/>
          <w:szCs w:val="22"/>
        </w:rPr>
      </w:pPr>
      <w:r w:rsidRPr="00A443CD">
        <w:rPr>
          <w:rFonts w:cs="Arial"/>
          <w:szCs w:val="22"/>
        </w:rPr>
        <w:t xml:space="preserve">Establishment of global, regional and national networks and facilities (with their scope, objectives and composition); </w:t>
      </w:r>
    </w:p>
    <w:p w:rsidR="000E13F0" w:rsidRPr="00A443CD" w:rsidRDefault="000E13F0" w:rsidP="000E13F0">
      <w:pPr>
        <w:ind w:left="238" w:hanging="720"/>
        <w:contextualSpacing/>
        <w:jc w:val="both"/>
        <w:rPr>
          <w:rFonts w:cs="Arial"/>
          <w:szCs w:val="22"/>
        </w:rPr>
      </w:pPr>
    </w:p>
    <w:p w:rsidR="000E13F0" w:rsidRDefault="000E13F0" w:rsidP="000E13F0">
      <w:pPr>
        <w:numPr>
          <w:ilvl w:val="0"/>
          <w:numId w:val="27"/>
        </w:numPr>
        <w:tabs>
          <w:tab w:val="clear" w:pos="360"/>
          <w:tab w:val="num" w:pos="720"/>
        </w:tabs>
        <w:ind w:left="720" w:hanging="720"/>
        <w:contextualSpacing/>
        <w:jc w:val="both"/>
        <w:rPr>
          <w:rFonts w:cs="Arial"/>
          <w:szCs w:val="22"/>
        </w:rPr>
      </w:pPr>
      <w:r w:rsidRPr="00A443CD">
        <w:rPr>
          <w:rFonts w:cs="Arial"/>
          <w:szCs w:val="22"/>
        </w:rPr>
        <w:t xml:space="preserve">Establishment of an authority or a responsible body; </w:t>
      </w:r>
    </w:p>
    <w:p w:rsidR="000E13F0" w:rsidRPr="00A443CD" w:rsidRDefault="000E13F0" w:rsidP="000E13F0">
      <w:pPr>
        <w:ind w:hanging="720"/>
        <w:contextualSpacing/>
        <w:jc w:val="both"/>
        <w:rPr>
          <w:rFonts w:cs="Arial"/>
          <w:szCs w:val="22"/>
        </w:rPr>
      </w:pPr>
    </w:p>
    <w:p w:rsidR="000E13F0" w:rsidRDefault="000E13F0" w:rsidP="000E13F0">
      <w:pPr>
        <w:numPr>
          <w:ilvl w:val="0"/>
          <w:numId w:val="27"/>
        </w:numPr>
        <w:tabs>
          <w:tab w:val="clear" w:pos="360"/>
          <w:tab w:val="num" w:pos="720"/>
        </w:tabs>
        <w:ind w:left="720" w:hanging="720"/>
        <w:contextualSpacing/>
        <w:jc w:val="both"/>
        <w:rPr>
          <w:rFonts w:cs="Arial"/>
          <w:szCs w:val="22"/>
        </w:rPr>
      </w:pPr>
      <w:r w:rsidRPr="00A443CD">
        <w:rPr>
          <w:rFonts w:cs="Arial"/>
          <w:szCs w:val="22"/>
        </w:rPr>
        <w:t>Human resources requirements (including education and training, compet</w:t>
      </w:r>
      <w:r>
        <w:rPr>
          <w:rFonts w:cs="Arial"/>
          <w:szCs w:val="22"/>
        </w:rPr>
        <w:t xml:space="preserve">ences, qualifications, etc.); </w:t>
      </w:r>
    </w:p>
    <w:p w:rsidR="000E13F0" w:rsidRDefault="000E13F0" w:rsidP="000E13F0">
      <w:pPr>
        <w:pStyle w:val="AAAAnnexheading1"/>
        <w:spacing w:before="0"/>
        <w:jc w:val="both"/>
        <w:rPr>
          <w:rFonts w:ascii="Arial" w:eastAsia="MS Minngs" w:hAnsi="Arial" w:cs="Arial"/>
          <w:lang w:eastAsia="ja-JP"/>
        </w:rPr>
      </w:pPr>
    </w:p>
    <w:p w:rsidR="000E13F0" w:rsidRDefault="000E13F0" w:rsidP="000E13F0">
      <w:pPr>
        <w:pStyle w:val="AAAAnnexheading1"/>
        <w:spacing w:before="0"/>
        <w:ind w:left="0" w:firstLine="0"/>
        <w:jc w:val="both"/>
        <w:rPr>
          <w:rFonts w:ascii="Arial" w:eastAsia="MS Minngs" w:hAnsi="Arial" w:cs="Arial"/>
          <w:lang w:eastAsia="ja-JP"/>
        </w:rPr>
      </w:pPr>
      <w:proofErr w:type="gramStart"/>
      <w:r>
        <w:rPr>
          <w:rFonts w:ascii="Arial" w:eastAsia="MS Minngs" w:hAnsi="Arial" w:cs="Arial"/>
          <w:lang w:eastAsia="ja-JP"/>
        </w:rPr>
        <w:t>while</w:t>
      </w:r>
      <w:proofErr w:type="gramEnd"/>
      <w:r>
        <w:rPr>
          <w:rFonts w:ascii="Arial" w:eastAsia="MS Minngs" w:hAnsi="Arial" w:cs="Arial"/>
          <w:lang w:eastAsia="ja-JP"/>
        </w:rPr>
        <w:t xml:space="preserve"> the Manual on WIGOS specifies t</w:t>
      </w:r>
      <w:r w:rsidRPr="00705BAC">
        <w:rPr>
          <w:rFonts w:ascii="Arial" w:eastAsia="MS Minngs" w:hAnsi="Arial" w:cs="Arial"/>
          <w:lang w:eastAsia="ja-JP"/>
        </w:rPr>
        <w:t>e</w:t>
      </w:r>
      <w:r>
        <w:rPr>
          <w:rFonts w:ascii="Arial" w:eastAsia="MS Minngs" w:hAnsi="Arial" w:cs="Arial"/>
          <w:lang w:eastAsia="ja-JP"/>
        </w:rPr>
        <w:t>chnical requirements (standards</w:t>
      </w:r>
      <w:r w:rsidRPr="00705BAC">
        <w:rPr>
          <w:rFonts w:ascii="Arial" w:eastAsia="MS Minngs" w:hAnsi="Arial" w:cs="Arial"/>
          <w:lang w:eastAsia="ja-JP"/>
        </w:rPr>
        <w:t xml:space="preserve"> or recommendations</w:t>
      </w:r>
      <w:r>
        <w:rPr>
          <w:rFonts w:ascii="Arial" w:eastAsia="MS Minngs" w:hAnsi="Arial" w:cs="Arial"/>
          <w:lang w:eastAsia="ja-JP"/>
        </w:rPr>
        <w:t>)</w:t>
      </w:r>
      <w:r w:rsidRPr="00705BAC">
        <w:rPr>
          <w:rFonts w:ascii="Arial" w:eastAsia="MS Minngs" w:hAnsi="Arial" w:cs="Arial"/>
          <w:lang w:eastAsia="ja-JP"/>
        </w:rPr>
        <w:t xml:space="preserve"> of an operational, functional or procedural nature.</w:t>
      </w:r>
    </w:p>
    <w:p w:rsidR="000E13F0" w:rsidRPr="004A2943" w:rsidRDefault="000E13F0" w:rsidP="000E13F0">
      <w:pPr>
        <w:pStyle w:val="AAAAnnexheading1"/>
        <w:spacing w:before="0"/>
        <w:jc w:val="both"/>
        <w:rPr>
          <w:rFonts w:ascii="Arial" w:eastAsia="MS Minngs" w:hAnsi="Arial" w:cs="Arial"/>
          <w:lang w:eastAsia="ja-JP"/>
        </w:rPr>
      </w:pPr>
    </w:p>
    <w:p w:rsidR="000E13F0" w:rsidRPr="006D2DBE" w:rsidRDefault="000E13F0" w:rsidP="000E13F0">
      <w:pPr>
        <w:pStyle w:val="AAAAnnextext"/>
        <w:tabs>
          <w:tab w:val="clear" w:pos="720"/>
          <w:tab w:val="left" w:pos="0"/>
        </w:tabs>
        <w:spacing w:before="0"/>
        <w:jc w:val="both"/>
      </w:pPr>
      <w:r w:rsidRPr="006D2DBE">
        <w:rPr>
          <w:b/>
        </w:rPr>
        <w:t>Types of Regulations</w:t>
      </w:r>
    </w:p>
    <w:p w:rsidR="000E13F0" w:rsidRDefault="000E13F0" w:rsidP="000E13F0">
      <w:pPr>
        <w:pStyle w:val="ListParagraph"/>
      </w:pPr>
    </w:p>
    <w:p w:rsidR="000E13F0" w:rsidRPr="006D2DBE" w:rsidRDefault="000E13F0" w:rsidP="000E13F0">
      <w:pPr>
        <w:pStyle w:val="AAAAnnextext"/>
        <w:numPr>
          <w:ilvl w:val="0"/>
          <w:numId w:val="28"/>
        </w:numPr>
        <w:tabs>
          <w:tab w:val="clear" w:pos="720"/>
          <w:tab w:val="left" w:pos="0"/>
        </w:tabs>
        <w:spacing w:before="0"/>
        <w:ind w:left="0" w:firstLine="0"/>
        <w:jc w:val="both"/>
      </w:pPr>
      <w:r w:rsidRPr="006D2DBE">
        <w:t xml:space="preserve">The </w:t>
      </w:r>
      <w:r w:rsidRPr="004A2943">
        <w:rPr>
          <w:rFonts w:eastAsia="MS Minngs"/>
          <w:lang w:eastAsia="ja-JP"/>
        </w:rPr>
        <w:t>WMO Technical Regulations (WMO-No. 49)</w:t>
      </w:r>
      <w:r w:rsidRPr="006D2DBE">
        <w:t xml:space="preserve"> comprise </w:t>
      </w:r>
      <w:r w:rsidRPr="006D2DBE">
        <w:rPr>
          <w:rFonts w:eastAsia="MS Minngs"/>
          <w:b/>
          <w:i/>
          <w:lang w:eastAsia="ja-JP"/>
        </w:rPr>
        <w:t>standard</w:t>
      </w:r>
      <w:r w:rsidRPr="006D2DBE">
        <w:rPr>
          <w:rFonts w:eastAsia="MS Minngs"/>
          <w:lang w:eastAsia="ja-JP"/>
        </w:rPr>
        <w:t xml:space="preserve"> practices and procedures</w:t>
      </w:r>
      <w:r>
        <w:rPr>
          <w:rFonts w:eastAsia="MS Minngs"/>
          <w:lang w:eastAsia="ja-JP"/>
        </w:rPr>
        <w:t xml:space="preserve"> </w:t>
      </w:r>
      <w:r w:rsidRPr="00881934">
        <w:t>(</w:t>
      </w:r>
      <w:r w:rsidRPr="00881934">
        <w:rPr>
          <w:b/>
          <w:i/>
        </w:rPr>
        <w:t>standards</w:t>
      </w:r>
      <w:r w:rsidRPr="00881934">
        <w:t>)</w:t>
      </w:r>
      <w:r w:rsidRPr="006D2DBE">
        <w:rPr>
          <w:rFonts w:eastAsia="MS Minngs"/>
          <w:lang w:eastAsia="ja-JP"/>
        </w:rPr>
        <w:t xml:space="preserve">, and </w:t>
      </w:r>
      <w:r w:rsidRPr="006D2DBE">
        <w:rPr>
          <w:rFonts w:eastAsia="MS Minngs"/>
          <w:b/>
          <w:i/>
          <w:lang w:eastAsia="ja-JP"/>
        </w:rPr>
        <w:t>recommended</w:t>
      </w:r>
      <w:r w:rsidRPr="006D2DBE">
        <w:rPr>
          <w:rFonts w:eastAsia="MS Minngs"/>
          <w:lang w:eastAsia="ja-JP"/>
        </w:rPr>
        <w:t xml:space="preserve"> practices and procedures</w:t>
      </w:r>
      <w:r>
        <w:rPr>
          <w:rFonts w:eastAsia="MS Minngs"/>
          <w:lang w:eastAsia="ja-JP"/>
        </w:rPr>
        <w:t xml:space="preserve"> (</w:t>
      </w:r>
      <w:r w:rsidRPr="00881934">
        <w:rPr>
          <w:b/>
          <w:i/>
        </w:rPr>
        <w:t>recommendations</w:t>
      </w:r>
      <w:r>
        <w:t>)</w:t>
      </w:r>
      <w:r w:rsidRPr="006D2DBE">
        <w:rPr>
          <w:rFonts w:eastAsia="MS Minngs"/>
          <w:lang w:eastAsia="ja-JP"/>
        </w:rPr>
        <w:t>. The definitions of these two types are as follows:</w:t>
      </w:r>
    </w:p>
    <w:p w:rsidR="000E13F0" w:rsidRPr="006D2DBE" w:rsidRDefault="000E13F0" w:rsidP="000E13F0">
      <w:pPr>
        <w:pStyle w:val="AAAAnnextext"/>
        <w:tabs>
          <w:tab w:val="clear" w:pos="720"/>
          <w:tab w:val="left" w:pos="0"/>
        </w:tabs>
        <w:spacing w:before="0"/>
        <w:jc w:val="both"/>
      </w:pPr>
    </w:p>
    <w:p w:rsidR="000E13F0" w:rsidRPr="006D2DBE" w:rsidRDefault="000E13F0" w:rsidP="000E13F0">
      <w:pPr>
        <w:pStyle w:val="AAAAnnextext"/>
        <w:numPr>
          <w:ilvl w:val="0"/>
          <w:numId w:val="28"/>
        </w:numPr>
        <w:tabs>
          <w:tab w:val="clear" w:pos="720"/>
          <w:tab w:val="left" w:pos="0"/>
        </w:tabs>
        <w:spacing w:before="0"/>
        <w:ind w:left="0" w:firstLine="0"/>
        <w:jc w:val="both"/>
      </w:pPr>
      <w:r w:rsidRPr="006D2DBE">
        <w:rPr>
          <w:rFonts w:eastAsia="MS Minngs"/>
          <w:lang w:eastAsia="ja-JP"/>
        </w:rPr>
        <w:t xml:space="preserve">The </w:t>
      </w:r>
      <w:r w:rsidRPr="006D2DBE">
        <w:rPr>
          <w:rFonts w:eastAsia="MS Minngs"/>
          <w:b/>
          <w:i/>
          <w:lang w:eastAsia="ja-JP"/>
        </w:rPr>
        <w:t>standard</w:t>
      </w:r>
      <w:r w:rsidRPr="006D2DBE">
        <w:rPr>
          <w:rFonts w:eastAsia="MS Minngs"/>
          <w:lang w:eastAsia="ja-JP"/>
        </w:rPr>
        <w:t xml:space="preserve"> practices and procedures:</w:t>
      </w:r>
    </w:p>
    <w:p w:rsidR="000E13F0" w:rsidRPr="006D2DBE" w:rsidRDefault="000E13F0" w:rsidP="000E13F0">
      <w:pPr>
        <w:contextualSpacing/>
        <w:jc w:val="both"/>
        <w:rPr>
          <w:rFonts w:eastAsia="MS Minngs" w:cs="Arial"/>
          <w:szCs w:val="22"/>
          <w:lang w:eastAsia="ja-JP"/>
        </w:rPr>
      </w:pPr>
    </w:p>
    <w:p w:rsidR="000E13F0" w:rsidRPr="006D2DBE" w:rsidRDefault="000E13F0" w:rsidP="000E13F0">
      <w:pPr>
        <w:numPr>
          <w:ilvl w:val="0"/>
          <w:numId w:val="24"/>
        </w:numPr>
        <w:ind w:hanging="720"/>
        <w:contextualSpacing/>
        <w:jc w:val="both"/>
        <w:rPr>
          <w:rFonts w:eastAsia="MS Minngs" w:cs="Arial"/>
          <w:szCs w:val="22"/>
          <w:lang w:eastAsia="ja-JP"/>
        </w:rPr>
      </w:pPr>
      <w:r w:rsidRPr="006D2DBE">
        <w:rPr>
          <w:rFonts w:eastAsia="MS Minngs" w:cs="Arial"/>
          <w:szCs w:val="22"/>
          <w:lang w:eastAsia="ja-JP"/>
        </w:rPr>
        <w:t xml:space="preserve">Are those practices and procedures which it is </w:t>
      </w:r>
      <w:r w:rsidRPr="006D2DBE">
        <w:rPr>
          <w:rFonts w:eastAsia="MS Minngs" w:cs="Arial"/>
          <w:b/>
          <w:i/>
          <w:szCs w:val="22"/>
          <w:lang w:eastAsia="ja-JP"/>
        </w:rPr>
        <w:t>necessary</w:t>
      </w:r>
      <w:r w:rsidRPr="006D2DBE">
        <w:rPr>
          <w:rFonts w:eastAsia="MS Minngs" w:cs="Arial"/>
          <w:szCs w:val="22"/>
          <w:lang w:eastAsia="ja-JP"/>
        </w:rPr>
        <w:t xml:space="preserve"> that Members follow or implement; and therefore </w:t>
      </w:r>
    </w:p>
    <w:p w:rsidR="000E13F0" w:rsidRPr="006D2DBE" w:rsidRDefault="000E13F0" w:rsidP="000E13F0">
      <w:pPr>
        <w:contextualSpacing/>
        <w:jc w:val="both"/>
        <w:rPr>
          <w:rFonts w:eastAsia="MS Minngs" w:cs="Arial"/>
          <w:szCs w:val="22"/>
          <w:lang w:eastAsia="ja-JP"/>
        </w:rPr>
      </w:pPr>
    </w:p>
    <w:p w:rsidR="000E13F0" w:rsidRPr="006D2DBE" w:rsidRDefault="000E13F0" w:rsidP="000E13F0">
      <w:pPr>
        <w:numPr>
          <w:ilvl w:val="0"/>
          <w:numId w:val="24"/>
        </w:numPr>
        <w:ind w:hanging="720"/>
        <w:contextualSpacing/>
        <w:jc w:val="both"/>
        <w:rPr>
          <w:rFonts w:eastAsia="MS Minngs" w:cs="Arial"/>
          <w:szCs w:val="22"/>
          <w:lang w:eastAsia="ja-JP"/>
        </w:rPr>
      </w:pPr>
      <w:r w:rsidRPr="006D2DBE">
        <w:rPr>
          <w:rFonts w:eastAsia="MS Minngs" w:cs="Arial"/>
          <w:szCs w:val="22"/>
          <w:lang w:eastAsia="ja-JP"/>
        </w:rPr>
        <w:t xml:space="preserve">Have the status of </w:t>
      </w:r>
      <w:r w:rsidRPr="006D2DBE">
        <w:rPr>
          <w:rFonts w:eastAsia="MS Minngs" w:cs="Arial"/>
          <w:b/>
          <w:i/>
          <w:szCs w:val="22"/>
          <w:lang w:eastAsia="ja-JP"/>
        </w:rPr>
        <w:t>requirements</w:t>
      </w:r>
      <w:r w:rsidRPr="006D2DBE">
        <w:rPr>
          <w:rFonts w:eastAsia="MS Minngs" w:cs="Arial"/>
          <w:szCs w:val="22"/>
          <w:lang w:eastAsia="ja-JP"/>
        </w:rPr>
        <w:t xml:space="preserve"> in a technical resolution in respect of which </w:t>
      </w:r>
      <w:r w:rsidRPr="006D2DBE">
        <w:rPr>
          <w:rFonts w:eastAsia="MS Minngs" w:cs="Arial"/>
          <w:b/>
          <w:i/>
          <w:szCs w:val="22"/>
          <w:lang w:eastAsia="ja-JP"/>
        </w:rPr>
        <w:t>Article 9 (b)</w:t>
      </w:r>
      <w:r w:rsidRPr="006D2DBE">
        <w:rPr>
          <w:rFonts w:eastAsia="MS Minngs" w:cs="Arial"/>
          <w:szCs w:val="22"/>
          <w:lang w:eastAsia="ja-JP"/>
        </w:rPr>
        <w:t xml:space="preserve"> of the Convention is </w:t>
      </w:r>
      <w:r w:rsidRPr="006D2DBE">
        <w:rPr>
          <w:rFonts w:eastAsia="MS Minngs" w:cs="Arial"/>
          <w:b/>
          <w:i/>
          <w:szCs w:val="22"/>
          <w:lang w:eastAsia="ja-JP"/>
        </w:rPr>
        <w:t>applicable</w:t>
      </w:r>
      <w:r w:rsidRPr="006D2DBE">
        <w:rPr>
          <w:rFonts w:eastAsia="MS Minngs" w:cs="Arial"/>
          <w:szCs w:val="22"/>
          <w:lang w:eastAsia="ja-JP"/>
        </w:rPr>
        <w:t xml:space="preserve">; and </w:t>
      </w:r>
    </w:p>
    <w:p w:rsidR="000E13F0" w:rsidRPr="006D2DBE" w:rsidRDefault="000E13F0" w:rsidP="000E13F0">
      <w:pPr>
        <w:contextualSpacing/>
        <w:jc w:val="both"/>
        <w:rPr>
          <w:rFonts w:eastAsia="MS Minngs" w:cs="Arial"/>
          <w:szCs w:val="22"/>
          <w:lang w:eastAsia="ja-JP"/>
        </w:rPr>
      </w:pPr>
    </w:p>
    <w:p w:rsidR="000E13F0" w:rsidRPr="006D2DBE" w:rsidRDefault="000E13F0" w:rsidP="000E13F0">
      <w:pPr>
        <w:numPr>
          <w:ilvl w:val="0"/>
          <w:numId w:val="24"/>
        </w:numPr>
        <w:ind w:hanging="720"/>
        <w:contextualSpacing/>
        <w:jc w:val="both"/>
        <w:rPr>
          <w:rFonts w:eastAsia="MS Minngs" w:cs="Arial"/>
          <w:szCs w:val="22"/>
          <w:lang w:eastAsia="ja-JP"/>
        </w:rPr>
      </w:pPr>
      <w:r w:rsidRPr="006D2DBE">
        <w:rPr>
          <w:rFonts w:eastAsia="MS Minngs" w:cs="Arial"/>
          <w:szCs w:val="22"/>
          <w:lang w:eastAsia="ja-JP"/>
        </w:rPr>
        <w:t xml:space="preserve">Are invariably distinguished by the use of the term </w:t>
      </w:r>
      <w:r w:rsidRPr="006D2DBE">
        <w:rPr>
          <w:rFonts w:eastAsia="MS Minngs" w:cs="Arial"/>
          <w:b/>
          <w:i/>
          <w:szCs w:val="22"/>
          <w:lang w:eastAsia="ja-JP"/>
        </w:rPr>
        <w:t>shall</w:t>
      </w:r>
      <w:r w:rsidRPr="006D2DBE">
        <w:rPr>
          <w:rFonts w:eastAsia="MS Minngs" w:cs="Arial"/>
          <w:szCs w:val="22"/>
          <w:lang w:eastAsia="ja-JP"/>
        </w:rPr>
        <w:t xml:space="preserve"> in the English text and by suitable equivalent terms in the French, Russian and Spanish texts.</w:t>
      </w:r>
    </w:p>
    <w:p w:rsidR="000E13F0" w:rsidRDefault="000E13F0" w:rsidP="000E13F0">
      <w:pPr>
        <w:pStyle w:val="ListParagraph"/>
        <w:rPr>
          <w:rFonts w:eastAsia="MS Minngs"/>
          <w:lang w:eastAsia="ja-JP"/>
        </w:rPr>
      </w:pPr>
    </w:p>
    <w:p w:rsidR="000E13F0" w:rsidRPr="006D2DBE" w:rsidRDefault="000E13F0" w:rsidP="000E13F0">
      <w:pPr>
        <w:pStyle w:val="AAAAnnextext"/>
        <w:numPr>
          <w:ilvl w:val="0"/>
          <w:numId w:val="28"/>
        </w:numPr>
        <w:tabs>
          <w:tab w:val="clear" w:pos="720"/>
          <w:tab w:val="left" w:pos="0"/>
        </w:tabs>
        <w:spacing w:before="0"/>
        <w:ind w:left="0" w:firstLine="0"/>
        <w:jc w:val="both"/>
      </w:pPr>
      <w:r w:rsidRPr="006D2DBE">
        <w:rPr>
          <w:rFonts w:eastAsia="MS Minngs"/>
          <w:lang w:eastAsia="ja-JP"/>
        </w:rPr>
        <w:t xml:space="preserve">The </w:t>
      </w:r>
      <w:r w:rsidRPr="006D2DBE">
        <w:rPr>
          <w:rFonts w:eastAsia="MS Minngs"/>
          <w:b/>
          <w:i/>
          <w:lang w:eastAsia="ja-JP"/>
        </w:rPr>
        <w:t>recommended</w:t>
      </w:r>
      <w:r w:rsidRPr="006D2DBE">
        <w:rPr>
          <w:rFonts w:eastAsia="MS Minngs"/>
          <w:lang w:eastAsia="ja-JP"/>
        </w:rPr>
        <w:t xml:space="preserve"> practices and procedures:</w:t>
      </w:r>
    </w:p>
    <w:p w:rsidR="000E13F0" w:rsidRPr="006D2DBE" w:rsidRDefault="000E13F0" w:rsidP="000E13F0">
      <w:pPr>
        <w:contextualSpacing/>
        <w:jc w:val="both"/>
        <w:rPr>
          <w:rFonts w:eastAsia="MS Minngs" w:cs="Arial"/>
          <w:szCs w:val="22"/>
          <w:lang w:eastAsia="ja-JP"/>
        </w:rPr>
      </w:pPr>
    </w:p>
    <w:p w:rsidR="000E13F0" w:rsidRPr="006D2DBE" w:rsidRDefault="000E13F0" w:rsidP="000E13F0">
      <w:pPr>
        <w:numPr>
          <w:ilvl w:val="0"/>
          <w:numId w:val="25"/>
        </w:numPr>
        <w:tabs>
          <w:tab w:val="clear" w:pos="360"/>
          <w:tab w:val="num" w:pos="720"/>
        </w:tabs>
        <w:ind w:left="720" w:hanging="720"/>
        <w:contextualSpacing/>
        <w:jc w:val="both"/>
        <w:rPr>
          <w:rFonts w:eastAsia="MS Minngs" w:cs="Arial"/>
          <w:szCs w:val="22"/>
          <w:lang w:eastAsia="ja-JP"/>
        </w:rPr>
      </w:pPr>
      <w:r w:rsidRPr="006D2DBE">
        <w:rPr>
          <w:rFonts w:eastAsia="MS Minngs" w:cs="Arial"/>
          <w:szCs w:val="22"/>
          <w:lang w:eastAsia="ja-JP"/>
        </w:rPr>
        <w:t xml:space="preserve">Are those practices and procedures which it is </w:t>
      </w:r>
      <w:r w:rsidRPr="006D2DBE">
        <w:rPr>
          <w:rFonts w:eastAsia="MS Minngs" w:cs="Arial"/>
          <w:b/>
          <w:i/>
          <w:szCs w:val="22"/>
          <w:lang w:eastAsia="ja-JP"/>
        </w:rPr>
        <w:t>desirable</w:t>
      </w:r>
      <w:r w:rsidRPr="006D2DBE">
        <w:rPr>
          <w:rFonts w:eastAsia="MS Minngs" w:cs="Arial"/>
          <w:szCs w:val="22"/>
          <w:lang w:eastAsia="ja-JP"/>
        </w:rPr>
        <w:t xml:space="preserve"> that Members follow or implement; and therefore </w:t>
      </w:r>
    </w:p>
    <w:p w:rsidR="000E13F0" w:rsidRPr="006D2DBE" w:rsidRDefault="000E13F0" w:rsidP="000E13F0">
      <w:pPr>
        <w:contextualSpacing/>
        <w:jc w:val="both"/>
        <w:rPr>
          <w:rFonts w:eastAsia="MS Minngs" w:cs="Arial"/>
          <w:szCs w:val="22"/>
          <w:lang w:eastAsia="ja-JP"/>
        </w:rPr>
      </w:pPr>
    </w:p>
    <w:p w:rsidR="000E13F0" w:rsidRPr="006D2DBE" w:rsidRDefault="000E13F0" w:rsidP="000E13F0">
      <w:pPr>
        <w:numPr>
          <w:ilvl w:val="0"/>
          <w:numId w:val="25"/>
        </w:numPr>
        <w:tabs>
          <w:tab w:val="clear" w:pos="360"/>
          <w:tab w:val="num" w:pos="720"/>
        </w:tabs>
        <w:ind w:left="720" w:hanging="720"/>
        <w:contextualSpacing/>
        <w:jc w:val="both"/>
        <w:rPr>
          <w:rFonts w:cs="Arial"/>
          <w:szCs w:val="22"/>
          <w:lang w:eastAsia="ja-JP"/>
        </w:rPr>
      </w:pPr>
      <w:r w:rsidRPr="006D2DBE">
        <w:rPr>
          <w:rFonts w:cs="Arial"/>
          <w:szCs w:val="22"/>
          <w:lang w:eastAsia="ja-JP"/>
        </w:rPr>
        <w:t xml:space="preserve">Have the status of </w:t>
      </w:r>
      <w:r w:rsidRPr="006D2DBE">
        <w:rPr>
          <w:rFonts w:cs="Arial"/>
          <w:b/>
          <w:i/>
          <w:szCs w:val="22"/>
          <w:lang w:eastAsia="ja-JP"/>
        </w:rPr>
        <w:t>recommendations</w:t>
      </w:r>
      <w:r w:rsidRPr="006D2DBE">
        <w:rPr>
          <w:rFonts w:cs="Arial"/>
          <w:szCs w:val="22"/>
          <w:lang w:eastAsia="ja-JP"/>
        </w:rPr>
        <w:t xml:space="preserve"> to Members to which </w:t>
      </w:r>
      <w:r w:rsidRPr="006D2DBE">
        <w:rPr>
          <w:rFonts w:cs="Arial"/>
          <w:b/>
          <w:i/>
          <w:szCs w:val="22"/>
          <w:lang w:eastAsia="ja-JP"/>
        </w:rPr>
        <w:t>Article 9 (b)</w:t>
      </w:r>
      <w:r w:rsidRPr="006D2DBE">
        <w:rPr>
          <w:rFonts w:cs="Arial"/>
          <w:szCs w:val="22"/>
          <w:lang w:eastAsia="ja-JP"/>
        </w:rPr>
        <w:t xml:space="preserve"> of the Convention </w:t>
      </w:r>
      <w:r w:rsidRPr="006D2DBE">
        <w:rPr>
          <w:rFonts w:cs="Arial"/>
          <w:b/>
          <w:i/>
          <w:szCs w:val="22"/>
          <w:lang w:eastAsia="ja-JP"/>
        </w:rPr>
        <w:t>shall not be applied</w:t>
      </w:r>
      <w:r w:rsidRPr="006D2DBE">
        <w:rPr>
          <w:rFonts w:cs="Arial"/>
          <w:szCs w:val="22"/>
          <w:lang w:eastAsia="ja-JP"/>
        </w:rPr>
        <w:t xml:space="preserve">; and </w:t>
      </w:r>
    </w:p>
    <w:p w:rsidR="000E13F0" w:rsidRPr="006D2DBE" w:rsidRDefault="000E13F0" w:rsidP="000E13F0">
      <w:pPr>
        <w:contextualSpacing/>
        <w:jc w:val="both"/>
        <w:rPr>
          <w:rFonts w:cs="Arial"/>
          <w:szCs w:val="22"/>
          <w:lang w:eastAsia="ja-JP"/>
        </w:rPr>
      </w:pPr>
    </w:p>
    <w:p w:rsidR="000E13F0" w:rsidRPr="006D2DBE" w:rsidRDefault="000E13F0" w:rsidP="000E13F0">
      <w:pPr>
        <w:numPr>
          <w:ilvl w:val="0"/>
          <w:numId w:val="25"/>
        </w:numPr>
        <w:tabs>
          <w:tab w:val="clear" w:pos="360"/>
          <w:tab w:val="num" w:pos="720"/>
        </w:tabs>
        <w:ind w:left="720" w:hanging="720"/>
        <w:contextualSpacing/>
        <w:jc w:val="both"/>
        <w:rPr>
          <w:rFonts w:eastAsia="MS Minngs" w:cs="Arial"/>
          <w:szCs w:val="22"/>
          <w:lang w:eastAsia="ja-JP"/>
        </w:rPr>
      </w:pPr>
      <w:r w:rsidRPr="006D2DBE">
        <w:rPr>
          <w:rFonts w:cs="Arial"/>
          <w:szCs w:val="22"/>
          <w:lang w:eastAsia="ja-JP"/>
        </w:rPr>
        <w:t xml:space="preserve">Are distinguished by the use of the term </w:t>
      </w:r>
      <w:r w:rsidRPr="006D2DBE">
        <w:rPr>
          <w:rFonts w:cs="Arial"/>
          <w:b/>
          <w:i/>
          <w:szCs w:val="22"/>
          <w:lang w:eastAsia="ja-JP"/>
        </w:rPr>
        <w:t>should</w:t>
      </w:r>
      <w:r w:rsidRPr="006D2DBE">
        <w:rPr>
          <w:rFonts w:cs="Arial"/>
          <w:szCs w:val="22"/>
          <w:lang w:eastAsia="ja-JP"/>
        </w:rPr>
        <w:t xml:space="preserve"> in the English text (except where specifically otherwise provided by decision of Congress) and by suitable equivalent terms in the French, Russian and Spanish texts.</w:t>
      </w:r>
    </w:p>
    <w:p w:rsidR="000E13F0" w:rsidRPr="004A2943" w:rsidRDefault="000E13F0" w:rsidP="000E13F0">
      <w:pPr>
        <w:pStyle w:val="AAAAnnextext"/>
        <w:spacing w:before="0"/>
        <w:jc w:val="both"/>
      </w:pPr>
    </w:p>
    <w:p w:rsidR="000E13F0" w:rsidRDefault="000E13F0" w:rsidP="000E13F0">
      <w:pPr>
        <w:pStyle w:val="AAAAnnextext"/>
        <w:numPr>
          <w:ilvl w:val="0"/>
          <w:numId w:val="28"/>
        </w:numPr>
        <w:tabs>
          <w:tab w:val="clear" w:pos="720"/>
          <w:tab w:val="left" w:pos="0"/>
        </w:tabs>
        <w:spacing w:before="0"/>
        <w:ind w:left="0" w:firstLine="0"/>
        <w:jc w:val="both"/>
      </w:pPr>
      <w:r w:rsidRPr="004A2943">
        <w:t xml:space="preserve">In accordance with the above definitions, Members shall do their utmost to implement the </w:t>
      </w:r>
      <w:r w:rsidRPr="003D46D2">
        <w:rPr>
          <w:b/>
          <w:i/>
        </w:rPr>
        <w:t>standard</w:t>
      </w:r>
      <w:r w:rsidRPr="004A2943">
        <w:t xml:space="preserve"> practices and procedures. In accordance with Article 9(b) of the Convention and in conformity with the provisions of Regulation 128 of the General Regulations, Members shall formally notify the Secretary-General, in writing, of their intention to apply the </w:t>
      </w:r>
      <w:r w:rsidRPr="00881934">
        <w:rPr>
          <w:b/>
          <w:i/>
        </w:rPr>
        <w:t>standard</w:t>
      </w:r>
      <w:r w:rsidRPr="004A2943">
        <w:t xml:space="preserve"> practices and procedures of the Technical Regulations, except those for which they have lodged a specific deviation. Members shall also inform the Secretary-General, at least three months in advance, of any change in the degree of their implementation of a </w:t>
      </w:r>
      <w:r w:rsidRPr="00881934">
        <w:rPr>
          <w:b/>
          <w:i/>
        </w:rPr>
        <w:t>standard</w:t>
      </w:r>
      <w:r w:rsidRPr="004A2943">
        <w:t xml:space="preserve"> </w:t>
      </w:r>
      <w:r w:rsidRPr="004A2943">
        <w:rPr>
          <w:iCs/>
        </w:rPr>
        <w:t>practice or procedure</w:t>
      </w:r>
      <w:r w:rsidRPr="003D46D2">
        <w:rPr>
          <w:i/>
        </w:rPr>
        <w:t xml:space="preserve"> </w:t>
      </w:r>
      <w:r w:rsidRPr="004A2943">
        <w:t>as previously notified and the effective date of the change.</w:t>
      </w:r>
    </w:p>
    <w:p w:rsidR="000E13F0" w:rsidRDefault="000E13F0" w:rsidP="000E13F0">
      <w:pPr>
        <w:pStyle w:val="AAAAnnextext"/>
        <w:tabs>
          <w:tab w:val="clear" w:pos="720"/>
          <w:tab w:val="left" w:pos="0"/>
        </w:tabs>
        <w:spacing w:before="0"/>
        <w:jc w:val="both"/>
      </w:pPr>
    </w:p>
    <w:p w:rsidR="000E13F0" w:rsidRDefault="000E13F0" w:rsidP="000E13F0">
      <w:pPr>
        <w:pStyle w:val="AAAAnnextext"/>
        <w:numPr>
          <w:ilvl w:val="0"/>
          <w:numId w:val="28"/>
        </w:numPr>
        <w:tabs>
          <w:tab w:val="clear" w:pos="720"/>
          <w:tab w:val="left" w:pos="0"/>
        </w:tabs>
        <w:spacing w:before="0"/>
        <w:ind w:left="0" w:firstLine="0"/>
        <w:jc w:val="both"/>
      </w:pPr>
      <w:r w:rsidRPr="006D2DBE">
        <w:rPr>
          <w:rFonts w:eastAsia="MS Minngs"/>
          <w:lang w:eastAsia="ja-JP"/>
        </w:rPr>
        <w:t xml:space="preserve">In the case of hydrological observations, there is not a widely implemented base of global exchange and global </w:t>
      </w:r>
      <w:r w:rsidRPr="00881934">
        <w:rPr>
          <w:rFonts w:eastAsia="MS Minngs"/>
          <w:b/>
          <w:i/>
          <w:lang w:eastAsia="ja-JP"/>
        </w:rPr>
        <w:t>standard</w:t>
      </w:r>
      <w:r w:rsidRPr="006D2DBE">
        <w:rPr>
          <w:rFonts w:eastAsia="MS Minngs"/>
          <w:lang w:eastAsia="ja-JP"/>
        </w:rPr>
        <w:t xml:space="preserve"> practices and procedures. Technical Regulations Volume III -Hydrology provides Members with predominately recommended practices and procedures to be followed. In order to help ensure the quality and comparability of observations within WIGOS, Members making their hydrological observations available through the WMO Hydrological Observing System (WHOS) are </w:t>
      </w:r>
      <w:r>
        <w:rPr>
          <w:rFonts w:eastAsia="MS Minngs"/>
          <w:lang w:eastAsia="ja-JP"/>
        </w:rPr>
        <w:t xml:space="preserve">governed by </w:t>
      </w:r>
      <w:r w:rsidRPr="006D2DBE">
        <w:rPr>
          <w:rFonts w:eastAsia="MS Minngs"/>
          <w:lang w:eastAsia="ja-JP"/>
        </w:rPr>
        <w:t xml:space="preserve">the provisions specified within this Part I of the Volume I. </w:t>
      </w:r>
    </w:p>
    <w:p w:rsidR="000E13F0" w:rsidRDefault="000E13F0" w:rsidP="000E13F0">
      <w:pPr>
        <w:pStyle w:val="ListParagraph"/>
        <w:rPr>
          <w:rFonts w:eastAsia="MS Minngs"/>
          <w:lang w:eastAsia="ja-JP"/>
        </w:rPr>
      </w:pPr>
    </w:p>
    <w:p w:rsidR="000E13F0" w:rsidRDefault="000E13F0" w:rsidP="000E13F0">
      <w:pPr>
        <w:pStyle w:val="AAAAnnextext"/>
        <w:numPr>
          <w:ilvl w:val="0"/>
          <w:numId w:val="28"/>
        </w:numPr>
        <w:tabs>
          <w:tab w:val="clear" w:pos="720"/>
          <w:tab w:val="left" w:pos="0"/>
        </w:tabs>
        <w:spacing w:before="0"/>
        <w:ind w:left="0" w:firstLine="0"/>
        <w:jc w:val="both"/>
      </w:pPr>
      <w:r w:rsidRPr="006D2DBE">
        <w:rPr>
          <w:rFonts w:eastAsia="MS Minngs"/>
          <w:lang w:eastAsia="ja-JP"/>
        </w:rPr>
        <w:t xml:space="preserve">For this reason, a number of provisions listed herein which are recommended practices and procedures for hydrology in Technical Regulations Volume III – Hydrology have become </w:t>
      </w:r>
      <w:r w:rsidRPr="00881934">
        <w:rPr>
          <w:rFonts w:eastAsia="MS Minngs"/>
          <w:b/>
          <w:i/>
          <w:lang w:eastAsia="ja-JP"/>
        </w:rPr>
        <w:t>standard</w:t>
      </w:r>
      <w:r w:rsidRPr="006D2DBE">
        <w:rPr>
          <w:rFonts w:eastAsia="MS Minngs"/>
          <w:lang w:eastAsia="ja-JP"/>
        </w:rPr>
        <w:t xml:space="preserve"> practices and procedures, similar to efforts made by Members for the other WIGOS component observing systems.  It is recognized that some of the WIGOS </w:t>
      </w:r>
      <w:r w:rsidRPr="00881934">
        <w:rPr>
          <w:rFonts w:eastAsia="MS Minngs"/>
          <w:b/>
          <w:i/>
          <w:lang w:eastAsia="ja-JP"/>
        </w:rPr>
        <w:t>standard</w:t>
      </w:r>
      <w:r w:rsidRPr="006D2DBE">
        <w:rPr>
          <w:rFonts w:eastAsia="MS Minngs"/>
          <w:lang w:eastAsia="ja-JP"/>
        </w:rPr>
        <w:t xml:space="preserve"> practices and procedures might not easily be widely and quickly implemented by all Members for their hydrological observations. Nonetheless, Members are urged to make their best efforts to implement the WIGOS </w:t>
      </w:r>
      <w:r w:rsidRPr="00881934">
        <w:rPr>
          <w:rFonts w:eastAsia="MS Minngs"/>
          <w:b/>
          <w:i/>
          <w:lang w:eastAsia="ja-JP"/>
        </w:rPr>
        <w:t>standard</w:t>
      </w:r>
      <w:r w:rsidRPr="006D2DBE">
        <w:rPr>
          <w:rFonts w:eastAsia="MS Minngs"/>
          <w:lang w:eastAsia="ja-JP"/>
        </w:rPr>
        <w:t xml:space="preserve"> practices and procedures in the collection and exchange of hydrological observations and to make such observations available through WHOS.</w:t>
      </w:r>
    </w:p>
    <w:p w:rsidR="000E13F0" w:rsidRDefault="000E13F0" w:rsidP="000E13F0">
      <w:pPr>
        <w:pStyle w:val="ListParagraph"/>
      </w:pPr>
    </w:p>
    <w:p w:rsidR="00990FF3" w:rsidRDefault="000E13F0" w:rsidP="00990FF3">
      <w:pPr>
        <w:pStyle w:val="AAAAnnextext"/>
        <w:numPr>
          <w:ilvl w:val="0"/>
          <w:numId w:val="28"/>
        </w:numPr>
        <w:tabs>
          <w:tab w:val="clear" w:pos="720"/>
          <w:tab w:val="left" w:pos="0"/>
        </w:tabs>
        <w:spacing w:before="0"/>
        <w:ind w:left="0" w:firstLine="0"/>
        <w:jc w:val="both"/>
      </w:pPr>
      <w:r w:rsidRPr="004A2943">
        <w:t xml:space="preserve">Members are urged to comply with </w:t>
      </w:r>
      <w:r w:rsidRPr="006D2DBE">
        <w:rPr>
          <w:b/>
          <w:i/>
        </w:rPr>
        <w:t>recommended</w:t>
      </w:r>
      <w:r w:rsidRPr="004A2943">
        <w:t xml:space="preserve"> practices and procedures, but it is not necessary to notify the Secretary-General of non-observance.</w:t>
      </w:r>
    </w:p>
    <w:p w:rsidR="00990FF3" w:rsidRDefault="00990FF3" w:rsidP="00990FF3">
      <w:pPr>
        <w:pStyle w:val="ListParagraph"/>
        <w:rPr>
          <w:lang w:eastAsia="ja-JP"/>
        </w:rPr>
      </w:pPr>
    </w:p>
    <w:p w:rsidR="00990FF3" w:rsidRPr="003942AD" w:rsidRDefault="00990FF3" w:rsidP="00990FF3">
      <w:pPr>
        <w:rPr>
          <w:b/>
          <w:lang w:eastAsia="ja-JP"/>
        </w:rPr>
      </w:pPr>
      <w:r w:rsidRPr="003942AD">
        <w:rPr>
          <w:b/>
          <w:lang w:eastAsia="ja-JP"/>
        </w:rPr>
        <w:t>APPENDICES</w:t>
      </w:r>
    </w:p>
    <w:p w:rsidR="00990FF3" w:rsidRDefault="00990FF3" w:rsidP="00990FF3">
      <w:pPr>
        <w:pStyle w:val="ListParagraph"/>
        <w:rPr>
          <w:lang w:eastAsia="ja-JP"/>
        </w:rPr>
      </w:pPr>
    </w:p>
    <w:p w:rsidR="00990FF3" w:rsidRDefault="00990FF3" w:rsidP="00990FF3">
      <w:pPr>
        <w:pStyle w:val="AAAAnnextext"/>
        <w:numPr>
          <w:ilvl w:val="0"/>
          <w:numId w:val="28"/>
        </w:numPr>
        <w:tabs>
          <w:tab w:val="clear" w:pos="720"/>
          <w:tab w:val="left" w:pos="0"/>
        </w:tabs>
        <w:spacing w:before="0"/>
        <w:ind w:left="0" w:firstLine="0"/>
        <w:jc w:val="both"/>
      </w:pPr>
      <w:r>
        <w:rPr>
          <w:lang w:eastAsia="ja-JP"/>
        </w:rPr>
        <w:t>Material presented in Appendices has full status as part of the Technical Regulations. Appendices are used where a set of provisions on a single topic might, due to their detailed nature and length, otherwise interrupt the flow of the relevant section of this Manual. Also, Appendices are used to facilitate the ongoing review and update process by identifying sub-sections which fall under the specific responsibility of a particular group.</w:t>
      </w:r>
    </w:p>
    <w:p w:rsidR="00990FF3" w:rsidRDefault="00990FF3" w:rsidP="00990FF3">
      <w:pPr>
        <w:pStyle w:val="AAAAnnextext"/>
        <w:tabs>
          <w:tab w:val="clear" w:pos="720"/>
          <w:tab w:val="left" w:pos="0"/>
        </w:tabs>
        <w:spacing w:before="0"/>
        <w:jc w:val="both"/>
      </w:pPr>
    </w:p>
    <w:p w:rsidR="00990FF3" w:rsidRPr="00765D44" w:rsidRDefault="00990FF3" w:rsidP="00990FF3">
      <w:pPr>
        <w:contextualSpacing/>
        <w:rPr>
          <w:rFonts w:eastAsia="MS Minngs"/>
          <w:b/>
          <w:lang w:eastAsia="ja-JP"/>
        </w:rPr>
      </w:pPr>
      <w:r w:rsidRPr="00765D44">
        <w:rPr>
          <w:rFonts w:eastAsia="MS Minngs"/>
          <w:b/>
          <w:lang w:eastAsia="ja-JP"/>
        </w:rPr>
        <w:t>NOTES AND ATTACHMENTS</w:t>
      </w:r>
    </w:p>
    <w:p w:rsidR="00990FF3" w:rsidRDefault="00990FF3" w:rsidP="00990FF3">
      <w:pPr>
        <w:pStyle w:val="AAAAnnextext"/>
        <w:tabs>
          <w:tab w:val="clear" w:pos="720"/>
          <w:tab w:val="left" w:pos="0"/>
        </w:tabs>
        <w:spacing w:before="0"/>
        <w:jc w:val="both"/>
      </w:pPr>
    </w:p>
    <w:p w:rsidR="00990FF3" w:rsidRDefault="00990FF3" w:rsidP="00990FF3">
      <w:pPr>
        <w:pStyle w:val="AAAAnnextext"/>
        <w:numPr>
          <w:ilvl w:val="0"/>
          <w:numId w:val="28"/>
        </w:numPr>
        <w:tabs>
          <w:tab w:val="clear" w:pos="720"/>
          <w:tab w:val="left" w:pos="0"/>
        </w:tabs>
        <w:spacing w:before="0"/>
        <w:ind w:left="0" w:firstLine="0"/>
        <w:jc w:val="both"/>
      </w:pPr>
      <w:r w:rsidRPr="00990FF3">
        <w:rPr>
          <w:rFonts w:eastAsia="MS Minngs"/>
          <w:lang w:eastAsia="ja-JP"/>
        </w:rPr>
        <w:t xml:space="preserve">Notes and Attachments are included in the </w:t>
      </w:r>
      <w:r>
        <w:rPr>
          <w:rFonts w:eastAsia="MS Minngs"/>
          <w:lang w:eastAsia="ja-JP"/>
        </w:rPr>
        <w:t xml:space="preserve">both, Volume I, Part I, and the </w:t>
      </w:r>
      <w:r w:rsidRPr="00990FF3">
        <w:rPr>
          <w:rFonts w:eastAsia="MS Minngs"/>
          <w:lang w:eastAsia="ja-JP"/>
        </w:rPr>
        <w:t>Manual for explanatory purposes. They do not have the status of WMO Technical Regulations.</w:t>
      </w:r>
    </w:p>
    <w:p w:rsidR="00990FF3" w:rsidRDefault="00990FF3" w:rsidP="00990FF3">
      <w:pPr>
        <w:pStyle w:val="AAAAnnextext"/>
        <w:tabs>
          <w:tab w:val="clear" w:pos="720"/>
          <w:tab w:val="left" w:pos="0"/>
        </w:tabs>
        <w:spacing w:before="0"/>
        <w:jc w:val="both"/>
      </w:pPr>
    </w:p>
    <w:p w:rsidR="000E13F0" w:rsidRPr="00990FF3" w:rsidRDefault="000E13F0" w:rsidP="00990FF3">
      <w:pPr>
        <w:pStyle w:val="AAAAnnextext"/>
        <w:numPr>
          <w:ilvl w:val="0"/>
          <w:numId w:val="28"/>
        </w:numPr>
        <w:tabs>
          <w:tab w:val="clear" w:pos="720"/>
          <w:tab w:val="left" w:pos="0"/>
        </w:tabs>
        <w:spacing w:before="0"/>
        <w:ind w:left="0" w:firstLine="0"/>
        <w:jc w:val="both"/>
      </w:pPr>
      <w:r w:rsidRPr="00990FF3">
        <w:rPr>
          <w:rFonts w:eastAsia="MS Minngs"/>
          <w:lang w:eastAsia="ja-JP"/>
        </w:rPr>
        <w:t>The words “shall” and “should” in any notes and attachments have their dictionary meanings and do not have the regulatory character of standard and recommended practices and procedures mentioned above.</w:t>
      </w:r>
    </w:p>
    <w:p w:rsidR="00990FF3" w:rsidRDefault="00990FF3" w:rsidP="00990FF3">
      <w:pPr>
        <w:pStyle w:val="ListParagraph"/>
      </w:pPr>
    </w:p>
    <w:p w:rsidR="00990FF3" w:rsidRPr="0074720F" w:rsidRDefault="006B0BEB" w:rsidP="006B0BEB">
      <w:pPr>
        <w:pStyle w:val="AAAAnnextext"/>
        <w:tabs>
          <w:tab w:val="clear" w:pos="720"/>
          <w:tab w:val="left" w:pos="0"/>
        </w:tabs>
        <w:spacing w:before="0"/>
      </w:pPr>
      <w:bookmarkStart w:id="7" w:name="Fig_1"/>
      <w:r>
        <w:lastRenderedPageBreak/>
        <w:t>Figure 1</w:t>
      </w:r>
      <w:bookmarkEnd w:id="7"/>
      <w:r>
        <w:rPr>
          <w:noProof/>
          <w:lang w:eastAsia="zh-TW"/>
        </w:rPr>
        <w:drawing>
          <wp:inline distT="0" distB="0" distL="0" distR="0" wp14:anchorId="7BB97214" wp14:editId="145A607B">
            <wp:extent cx="5621572" cy="4215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TR_Generic-Concept.png"/>
                    <pic:cNvPicPr/>
                  </pic:nvPicPr>
                  <pic:blipFill>
                    <a:blip r:embed="rId15">
                      <a:extLst>
                        <a:ext uri="{28A0092B-C50C-407E-A947-70E740481C1C}">
                          <a14:useLocalDpi xmlns:a14="http://schemas.microsoft.com/office/drawing/2010/main" val="0"/>
                        </a:ext>
                      </a:extLst>
                    </a:blip>
                    <a:stretch>
                      <a:fillRect/>
                    </a:stretch>
                  </pic:blipFill>
                  <pic:spPr>
                    <a:xfrm>
                      <a:off x="0" y="0"/>
                      <a:ext cx="5626742" cy="4219764"/>
                    </a:xfrm>
                    <a:prstGeom prst="rect">
                      <a:avLst/>
                    </a:prstGeom>
                  </pic:spPr>
                </pic:pic>
              </a:graphicData>
            </a:graphic>
          </wp:inline>
        </w:drawing>
      </w:r>
    </w:p>
    <w:p w:rsidR="006B0BEB" w:rsidRDefault="006B0BEB" w:rsidP="006B0BEB">
      <w:pPr>
        <w:rPr>
          <w:noProof/>
          <w:lang w:eastAsia="zh-TW"/>
        </w:rPr>
      </w:pPr>
      <w:r>
        <w:t>Figure 2</w:t>
      </w:r>
    </w:p>
    <w:p w:rsidR="006B0BEB" w:rsidRDefault="006B0BEB" w:rsidP="006B0BEB">
      <w:r>
        <w:rPr>
          <w:noProof/>
          <w:lang w:eastAsia="zh-TW"/>
        </w:rPr>
        <w:drawing>
          <wp:inline distT="0" distB="0" distL="0" distR="0" wp14:anchorId="70602104" wp14:editId="32DF88CB">
            <wp:extent cx="5526156" cy="414432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TR_Standards-Recommendations.png"/>
                    <pic:cNvPicPr/>
                  </pic:nvPicPr>
                  <pic:blipFill>
                    <a:blip r:embed="rId16">
                      <a:extLst>
                        <a:ext uri="{28A0092B-C50C-407E-A947-70E740481C1C}">
                          <a14:useLocalDpi xmlns:a14="http://schemas.microsoft.com/office/drawing/2010/main" val="0"/>
                        </a:ext>
                      </a:extLst>
                    </a:blip>
                    <a:stretch>
                      <a:fillRect/>
                    </a:stretch>
                  </pic:blipFill>
                  <pic:spPr>
                    <a:xfrm>
                      <a:off x="0" y="0"/>
                      <a:ext cx="5525893" cy="4144132"/>
                    </a:xfrm>
                    <a:prstGeom prst="rect">
                      <a:avLst/>
                    </a:prstGeom>
                  </pic:spPr>
                </pic:pic>
              </a:graphicData>
            </a:graphic>
          </wp:inline>
        </w:drawing>
      </w:r>
    </w:p>
    <w:p w:rsidR="006B0BEB" w:rsidRDefault="006B0BEB" w:rsidP="006B0BEB"/>
    <w:p w:rsidR="006B0BEB" w:rsidRDefault="006B0BEB" w:rsidP="006B0BEB"/>
    <w:p w:rsidR="000E13F0" w:rsidRDefault="000E13F0" w:rsidP="006B0BEB">
      <w:pPr>
        <w:tabs>
          <w:tab w:val="left" w:pos="840"/>
        </w:tabs>
        <w:rPr>
          <w:rFonts w:cs="Arial"/>
          <w:b/>
          <w:bCs/>
          <w:caps/>
          <w:szCs w:val="22"/>
        </w:rPr>
      </w:pPr>
      <w:r>
        <w:rPr>
          <w:rFonts w:cs="Arial"/>
          <w:b/>
          <w:bCs/>
          <w:caps/>
          <w:szCs w:val="22"/>
        </w:rPr>
        <w:br w:type="page"/>
      </w:r>
    </w:p>
    <w:p w:rsidR="00460533" w:rsidRPr="00C0356A" w:rsidRDefault="00C0356A" w:rsidP="00C0356A">
      <w:pPr>
        <w:tabs>
          <w:tab w:val="left" w:pos="840"/>
        </w:tabs>
        <w:jc w:val="center"/>
        <w:rPr>
          <w:rFonts w:cs="Arial"/>
          <w:b/>
          <w:bCs/>
          <w:caps/>
          <w:szCs w:val="22"/>
        </w:rPr>
      </w:pPr>
      <w:r>
        <w:rPr>
          <w:rFonts w:cs="Arial"/>
          <w:b/>
          <w:bCs/>
          <w:caps/>
          <w:szCs w:val="22"/>
        </w:rPr>
        <w:lastRenderedPageBreak/>
        <w:t>Appendix</w:t>
      </w:r>
      <w:r w:rsidR="00E57046">
        <w:rPr>
          <w:rFonts w:cs="Arial"/>
          <w:b/>
          <w:bCs/>
          <w:caps/>
          <w:szCs w:val="22"/>
        </w:rPr>
        <w:t xml:space="preserve"> </w:t>
      </w:r>
      <w:r w:rsidR="000E13F0">
        <w:rPr>
          <w:rFonts w:cs="Arial"/>
          <w:b/>
          <w:bCs/>
          <w:caps/>
          <w:szCs w:val="22"/>
        </w:rPr>
        <w:t>B</w:t>
      </w:r>
    </w:p>
    <w:p w:rsidR="00C0356A" w:rsidRDefault="00C0356A" w:rsidP="00B85012">
      <w:pPr>
        <w:tabs>
          <w:tab w:val="left" w:pos="840"/>
        </w:tabs>
        <w:jc w:val="both"/>
        <w:rPr>
          <w:rFonts w:cs="Arial"/>
          <w:szCs w:val="22"/>
        </w:rPr>
      </w:pPr>
    </w:p>
    <w:p w:rsidR="00C0356A" w:rsidRPr="00F30D61" w:rsidRDefault="000E13F0" w:rsidP="00C0356A">
      <w:pPr>
        <w:pStyle w:val="OmniPage257"/>
        <w:widowControl w:val="0"/>
        <w:tabs>
          <w:tab w:val="clear" w:pos="4263"/>
          <w:tab w:val="clear" w:pos="7223"/>
          <w:tab w:val="left" w:pos="567"/>
        </w:tabs>
        <w:rPr>
          <w:rFonts w:eastAsia="MS Mincho" w:cs="Arial"/>
          <w:b/>
          <w:bCs/>
          <w:caps/>
          <w:snapToGrid w:val="0"/>
          <w:lang w:val="en-GB"/>
        </w:rPr>
      </w:pPr>
      <w:bookmarkStart w:id="8" w:name="App_B"/>
      <w:bookmarkEnd w:id="8"/>
      <w:r>
        <w:rPr>
          <w:rFonts w:eastAsia="MS Mincho" w:cs="Arial"/>
          <w:b/>
          <w:bCs/>
          <w:caps/>
          <w:snapToGrid w:val="0"/>
          <w:lang w:val="en-GB"/>
        </w:rPr>
        <w:t>Draft MANUAL on wigos, section 2</w:t>
      </w:r>
    </w:p>
    <w:p w:rsidR="00C0356A" w:rsidRDefault="00C0356A" w:rsidP="00C0356A">
      <w:pPr>
        <w:pStyle w:val="OmniPage257"/>
        <w:widowControl w:val="0"/>
        <w:tabs>
          <w:tab w:val="clear" w:pos="4263"/>
          <w:tab w:val="clear" w:pos="7223"/>
          <w:tab w:val="left" w:pos="567"/>
        </w:tabs>
        <w:jc w:val="both"/>
        <w:rPr>
          <w:rFonts w:eastAsia="MS Mincho" w:cs="Arial"/>
          <w:snapToGrid w:val="0"/>
          <w:lang w:val="en-GB"/>
        </w:rPr>
      </w:pPr>
    </w:p>
    <w:p w:rsidR="00853523" w:rsidRPr="004C4D08" w:rsidRDefault="00853523" w:rsidP="00853523">
      <w:pPr>
        <w:pStyle w:val="ECBodyText"/>
        <w:spacing w:before="120"/>
        <w:rPr>
          <w:rFonts w:eastAsia="MS Minngs" w:cs="Arial"/>
          <w:b/>
          <w:lang w:eastAsia="ja-JP"/>
        </w:rPr>
      </w:pPr>
      <w:r w:rsidRPr="004C4D08">
        <w:rPr>
          <w:rFonts w:eastAsia="MS Minngs" w:cs="Arial"/>
          <w:b/>
          <w:lang w:eastAsia="ja-JP"/>
        </w:rPr>
        <w:t xml:space="preserve">2.2.2 </w:t>
      </w:r>
      <w:r w:rsidRPr="004C4D08">
        <w:rPr>
          <w:rFonts w:eastAsia="MS Minngs" w:cs="Arial"/>
          <w:b/>
          <w:lang w:eastAsia="ja-JP"/>
        </w:rPr>
        <w:tab/>
        <w:t>Some Principles for Observing System Network Design and Planning</w:t>
      </w:r>
    </w:p>
    <w:p w:rsidR="00853523" w:rsidRPr="00D15429" w:rsidRDefault="00853523" w:rsidP="00853523">
      <w:pPr>
        <w:pStyle w:val="ECBodyText"/>
        <w:spacing w:before="120"/>
        <w:rPr>
          <w:rFonts w:eastAsia="MS Minngs" w:cs="Arial"/>
          <w:lang w:eastAsia="ja-JP"/>
        </w:rPr>
      </w:pPr>
      <w:r w:rsidRPr="004C4D08">
        <w:rPr>
          <w:rFonts w:eastAsia="MS Minngs" w:cs="Arial"/>
          <w:b/>
          <w:lang w:eastAsia="ja-JP"/>
        </w:rPr>
        <w:t>2.2.2.1</w:t>
      </w:r>
      <w:r w:rsidRPr="00D15429">
        <w:rPr>
          <w:rFonts w:eastAsia="MS Minngs" w:cs="Arial"/>
          <w:lang w:eastAsia="ja-JP"/>
        </w:rPr>
        <w:t xml:space="preserve"> </w:t>
      </w:r>
      <w:r w:rsidRPr="00D15429">
        <w:rPr>
          <w:rFonts w:eastAsia="MS Minngs" w:cs="Arial"/>
          <w:lang w:eastAsia="ja-JP"/>
        </w:rPr>
        <w:tab/>
      </w:r>
      <w:r w:rsidRPr="00D15429">
        <w:rPr>
          <w:rFonts w:eastAsia="MS Minngs" w:cs="Arial"/>
          <w:b/>
          <w:lang w:eastAsia="ja-JP"/>
        </w:rPr>
        <w:t xml:space="preserve">Observing </w:t>
      </w:r>
      <w:r w:rsidR="00D608B5">
        <w:rPr>
          <w:rFonts w:eastAsia="MS Minngs" w:cs="Arial"/>
          <w:b/>
          <w:lang w:eastAsia="ja-JP"/>
        </w:rPr>
        <w:t>System</w:t>
      </w:r>
      <w:r w:rsidRPr="00D608B5">
        <w:rPr>
          <w:rFonts w:eastAsia="MS Minngs" w:cs="Arial"/>
          <w:b/>
          <w:lang w:eastAsia="ja-JP"/>
        </w:rPr>
        <w:t xml:space="preserve"> Network</w:t>
      </w:r>
      <w:r w:rsidRPr="00D15429">
        <w:rPr>
          <w:rFonts w:eastAsia="MS Minngs" w:cs="Arial"/>
          <w:b/>
          <w:lang w:eastAsia="ja-JP"/>
        </w:rPr>
        <w:t xml:space="preserve"> Design Principles</w:t>
      </w:r>
    </w:p>
    <w:p w:rsidR="00853523" w:rsidRDefault="00853523" w:rsidP="00853523">
      <w:pPr>
        <w:pStyle w:val="ECBodyText"/>
        <w:spacing w:before="120"/>
        <w:rPr>
          <w:rFonts w:eastAsia="MS Minngs" w:cs="Arial"/>
          <w:lang w:eastAsia="ja-JP"/>
        </w:rPr>
      </w:pPr>
      <w:r w:rsidRPr="00AB127B">
        <w:rPr>
          <w:rFonts w:eastAsia="MS Minngs" w:cs="Arial"/>
          <w:lang w:eastAsia="ja-JP"/>
        </w:rPr>
        <w:t xml:space="preserve">2.2.2.1.1 </w:t>
      </w:r>
      <w:r w:rsidRPr="00AB127B">
        <w:rPr>
          <w:rFonts w:eastAsia="MS Minngs" w:cs="Arial"/>
          <w:lang w:eastAsia="ja-JP"/>
        </w:rPr>
        <w:tab/>
      </w:r>
      <w:r>
        <w:t xml:space="preserve">Members should follow the principles specified in </w:t>
      </w:r>
      <w:hyperlink w:anchor="App_21" w:history="1">
        <w:r w:rsidRPr="00407EAE">
          <w:rPr>
            <w:rStyle w:val="Hyperlink"/>
          </w:rPr>
          <w:t>Appendix 2.1</w:t>
        </w:r>
      </w:hyperlink>
      <w:r>
        <w:t xml:space="preserve"> </w:t>
      </w:r>
      <w:r w:rsidRPr="003B4198">
        <w:t>when</w:t>
      </w:r>
      <w:r>
        <w:t xml:space="preserve"> designing and evolving their observing system networks.</w:t>
      </w:r>
      <w:r w:rsidRPr="00AB127B">
        <w:rPr>
          <w:rFonts w:eastAsia="MS Minngs" w:cs="Arial"/>
          <w:lang w:eastAsia="ja-JP"/>
        </w:rPr>
        <w:t xml:space="preserve"> </w:t>
      </w:r>
    </w:p>
    <w:p w:rsidR="000E13F0" w:rsidRDefault="000E13F0" w:rsidP="00853523">
      <w:pPr>
        <w:pStyle w:val="ECBodyText"/>
        <w:spacing w:before="120"/>
        <w:rPr>
          <w:rFonts w:eastAsia="MS Minngs" w:cs="Arial"/>
          <w:lang w:eastAsia="ja-JP"/>
        </w:rPr>
      </w:pPr>
    </w:p>
    <w:p w:rsidR="00C0356A" w:rsidRDefault="00853523" w:rsidP="00853523">
      <w:pPr>
        <w:widowControl w:val="0"/>
        <w:tabs>
          <w:tab w:val="left" w:pos="900"/>
        </w:tabs>
        <w:jc w:val="both"/>
        <w:rPr>
          <w:rFonts w:eastAsia="MS Mincho"/>
          <w:snapToGrid w:val="0"/>
        </w:rPr>
      </w:pPr>
      <w:r w:rsidRPr="00AB127B">
        <w:rPr>
          <w:rFonts w:eastAsia="MS Minngs" w:cs="Arial"/>
          <w:lang w:eastAsia="ja-JP"/>
        </w:rPr>
        <w:t>2.2.2.1.2</w:t>
      </w:r>
      <w:r w:rsidR="006B0BEB">
        <w:rPr>
          <w:rFonts w:eastAsia="MS Minngs" w:cs="Arial"/>
          <w:lang w:eastAsia="ja-JP"/>
        </w:rPr>
        <w:tab/>
        <w:t xml:space="preserve">   </w:t>
      </w:r>
      <w:r w:rsidRPr="00AB127B">
        <w:rPr>
          <w:rFonts w:eastAsia="MS Minngs" w:cs="Arial"/>
          <w:lang w:eastAsia="ja-JP"/>
        </w:rPr>
        <w:t>Members should conduct network design studies which address national, regional and global scale questions about the optimum affordable mix of components to best satisfy the requirements for observations.</w:t>
      </w:r>
    </w:p>
    <w:p w:rsidR="00547F11" w:rsidRDefault="00547F11" w:rsidP="00B85012">
      <w:pPr>
        <w:tabs>
          <w:tab w:val="left" w:pos="840"/>
        </w:tabs>
        <w:jc w:val="both"/>
        <w:rPr>
          <w:rFonts w:cs="Arial"/>
          <w:szCs w:val="22"/>
        </w:rPr>
      </w:pPr>
    </w:p>
    <w:p w:rsidR="00547F11" w:rsidRDefault="00547F11" w:rsidP="00B85012">
      <w:pPr>
        <w:tabs>
          <w:tab w:val="left" w:pos="840"/>
        </w:tabs>
        <w:jc w:val="both"/>
        <w:rPr>
          <w:rFonts w:cs="Arial"/>
          <w:szCs w:val="22"/>
        </w:rPr>
      </w:pPr>
    </w:p>
    <w:p w:rsidR="00C0356A" w:rsidRDefault="00C0356A" w:rsidP="00C0356A">
      <w:pPr>
        <w:tabs>
          <w:tab w:val="left" w:pos="840"/>
        </w:tabs>
        <w:jc w:val="center"/>
        <w:rPr>
          <w:rFonts w:cs="Arial"/>
          <w:szCs w:val="22"/>
        </w:rPr>
      </w:pPr>
      <w:r>
        <w:rPr>
          <w:rFonts w:cs="Arial"/>
          <w:szCs w:val="22"/>
        </w:rPr>
        <w:t>__________</w:t>
      </w:r>
    </w:p>
    <w:p w:rsidR="00E57046" w:rsidRDefault="00E57046" w:rsidP="00E57046">
      <w:pPr>
        <w:tabs>
          <w:tab w:val="left" w:pos="840"/>
        </w:tabs>
        <w:rPr>
          <w:rFonts w:cs="Arial"/>
          <w:szCs w:val="22"/>
        </w:rPr>
        <w:sectPr w:rsidR="00E57046" w:rsidSect="0050389B">
          <w:headerReference w:type="default" r:id="rId17"/>
          <w:headerReference w:type="first" r:id="rId18"/>
          <w:pgSz w:w="11906" w:h="16838" w:code="9"/>
          <w:pgMar w:top="1134" w:right="1134" w:bottom="1134" w:left="1134" w:header="709" w:footer="709" w:gutter="0"/>
          <w:cols w:space="708"/>
          <w:titlePg/>
          <w:docGrid w:linePitch="360"/>
        </w:sectPr>
      </w:pPr>
    </w:p>
    <w:p w:rsidR="00E57046" w:rsidRPr="00C0356A" w:rsidRDefault="00E57046" w:rsidP="00E57046">
      <w:pPr>
        <w:tabs>
          <w:tab w:val="left" w:pos="840"/>
        </w:tabs>
        <w:jc w:val="center"/>
        <w:rPr>
          <w:rFonts w:cs="Arial"/>
          <w:b/>
          <w:bCs/>
          <w:caps/>
          <w:szCs w:val="22"/>
        </w:rPr>
      </w:pPr>
      <w:r>
        <w:rPr>
          <w:rFonts w:cs="Arial"/>
          <w:b/>
          <w:bCs/>
          <w:caps/>
          <w:szCs w:val="22"/>
        </w:rPr>
        <w:lastRenderedPageBreak/>
        <w:t xml:space="preserve">Appendix </w:t>
      </w:r>
      <w:r w:rsidR="000E13F0">
        <w:rPr>
          <w:rFonts w:cs="Arial"/>
          <w:b/>
          <w:bCs/>
          <w:caps/>
          <w:szCs w:val="22"/>
        </w:rPr>
        <w:t>C</w:t>
      </w:r>
    </w:p>
    <w:p w:rsidR="00E57046" w:rsidRDefault="00E57046" w:rsidP="00E57046">
      <w:pPr>
        <w:tabs>
          <w:tab w:val="left" w:pos="840"/>
        </w:tabs>
        <w:jc w:val="both"/>
        <w:rPr>
          <w:rFonts w:cs="Arial"/>
          <w:szCs w:val="22"/>
        </w:rPr>
      </w:pPr>
    </w:p>
    <w:p w:rsidR="00E57046" w:rsidRDefault="000E13F0" w:rsidP="000E13F0">
      <w:pPr>
        <w:pStyle w:val="OmniPage257"/>
        <w:widowControl w:val="0"/>
        <w:tabs>
          <w:tab w:val="clear" w:pos="4263"/>
          <w:tab w:val="clear" w:pos="7223"/>
          <w:tab w:val="left" w:pos="567"/>
        </w:tabs>
        <w:rPr>
          <w:rFonts w:eastAsia="MS Mincho" w:cs="Arial"/>
          <w:snapToGrid w:val="0"/>
          <w:lang w:val="en-GB"/>
        </w:rPr>
      </w:pPr>
      <w:r>
        <w:rPr>
          <w:rFonts w:eastAsia="MS Mincho" w:cs="Arial"/>
          <w:b/>
          <w:bCs/>
          <w:caps/>
          <w:snapToGrid w:val="0"/>
          <w:lang w:val="en-GB"/>
        </w:rPr>
        <w:t>Draft MANUAL on wigos, section 2</w:t>
      </w:r>
    </w:p>
    <w:p w:rsidR="00E57046" w:rsidRDefault="00E57046" w:rsidP="00E57046">
      <w:pPr>
        <w:widowControl w:val="0"/>
        <w:tabs>
          <w:tab w:val="left" w:pos="900"/>
        </w:tabs>
        <w:jc w:val="both"/>
        <w:rPr>
          <w:rFonts w:eastAsia="MS Mincho"/>
          <w:snapToGrid w:val="0"/>
        </w:rPr>
      </w:pPr>
    </w:p>
    <w:p w:rsidR="00853523" w:rsidRPr="00EC01C7" w:rsidRDefault="00853523" w:rsidP="00853523">
      <w:pPr>
        <w:rPr>
          <w:rFonts w:eastAsia="MS Minngs"/>
          <w:b/>
          <w:szCs w:val="22"/>
          <w:lang w:eastAsia="ja-JP"/>
        </w:rPr>
      </w:pPr>
      <w:bookmarkStart w:id="9" w:name="App_21"/>
      <w:r w:rsidRPr="00EC01C7">
        <w:rPr>
          <w:rFonts w:eastAsia="MS Minngs"/>
          <w:b/>
          <w:szCs w:val="22"/>
          <w:lang w:eastAsia="ja-JP"/>
        </w:rPr>
        <w:t>APPENDIX 2.1</w:t>
      </w:r>
      <w:bookmarkEnd w:id="9"/>
    </w:p>
    <w:p w:rsidR="00853523" w:rsidRDefault="00853523" w:rsidP="00853523">
      <w:pPr>
        <w:rPr>
          <w:rFonts w:eastAsia="MS Minngs"/>
          <w:sz w:val="20"/>
          <w:lang w:eastAsia="ja-JP"/>
        </w:rPr>
      </w:pPr>
    </w:p>
    <w:p w:rsidR="00853523" w:rsidRDefault="00853523" w:rsidP="00853523">
      <w:pPr>
        <w:rPr>
          <w:b/>
        </w:rPr>
      </w:pPr>
      <w:r>
        <w:rPr>
          <w:b/>
        </w:rPr>
        <w:t>Observing System Network Design (OSND) Principles</w:t>
      </w:r>
    </w:p>
    <w:p w:rsidR="00853523" w:rsidRDefault="00853523" w:rsidP="00853523"/>
    <w:p w:rsidR="00853523" w:rsidRDefault="00853523" w:rsidP="00853523">
      <w:r>
        <w:t>1.  SERVING MANY APPLICATION AREAS</w:t>
      </w:r>
    </w:p>
    <w:p w:rsidR="00853523" w:rsidRDefault="00853523" w:rsidP="00853523">
      <w:r>
        <w:t>Observing networks should be designed to meet the requirements of multiple application areas within WMO and WMO co-sponsored programmes.</w:t>
      </w:r>
    </w:p>
    <w:p w:rsidR="00853523" w:rsidRPr="00E93E7F" w:rsidRDefault="00853523" w:rsidP="00853523"/>
    <w:p w:rsidR="00853523" w:rsidRDefault="00853523" w:rsidP="00853523">
      <w:r>
        <w:t xml:space="preserve">2.  </w:t>
      </w:r>
      <w:r w:rsidRPr="00FD7E18">
        <w:t>RESPONDING TO</w:t>
      </w:r>
      <w:r>
        <w:t xml:space="preserve"> USER REQUIREMENTS</w:t>
      </w:r>
    </w:p>
    <w:p w:rsidR="00853523" w:rsidRDefault="00853523" w:rsidP="00853523">
      <w:r>
        <w:t>Observing networks should be designed to address stated user requirements, in terms of the geophysical variables to be observed and the space-time resolution, uncertainty, timeliness and stability needed.</w:t>
      </w:r>
    </w:p>
    <w:p w:rsidR="00853523" w:rsidRDefault="00853523" w:rsidP="00853523"/>
    <w:p w:rsidR="00853523" w:rsidRDefault="00853523" w:rsidP="00853523">
      <w:r>
        <w:t>3.  MEETING NATIONAL, REGIONAL AND GLOBAL REQUIREMENTS</w:t>
      </w:r>
    </w:p>
    <w:p w:rsidR="00853523" w:rsidRDefault="00853523" w:rsidP="00853523">
      <w:r>
        <w:t>Observing networks designed to meet national needs should also take into account the needs of the WMO at the regional and global levels.</w:t>
      </w:r>
    </w:p>
    <w:p w:rsidR="00853523" w:rsidRDefault="00853523" w:rsidP="00853523"/>
    <w:p w:rsidR="00853523" w:rsidRDefault="00853523" w:rsidP="00853523">
      <w:r>
        <w:t>4.  DESIGNING APPROPRIATELY SPACED NETWORKS</w:t>
      </w:r>
    </w:p>
    <w:p w:rsidR="00853523" w:rsidRDefault="00853523" w:rsidP="00853523">
      <w:r>
        <w:t>Where high-level user requirements imply a need for spatial and temporal uniformity of observations, network design should also take account of other user requirements, such as the representativeness and usefulness of the observations.</w:t>
      </w:r>
    </w:p>
    <w:p w:rsidR="00853523" w:rsidRDefault="00853523" w:rsidP="00853523"/>
    <w:p w:rsidR="00853523" w:rsidRDefault="00853523" w:rsidP="00853523">
      <w:r>
        <w:t>5.  DESIGNING COST-EFFECTIVE NETWORKS</w:t>
      </w:r>
    </w:p>
    <w:p w:rsidR="00853523" w:rsidRDefault="00853523" w:rsidP="00853523">
      <w:r>
        <w:t>Observing networks should be designed to make the most cost-effective use of available resources.  This will include the use of composite observing networks.</w:t>
      </w:r>
    </w:p>
    <w:p w:rsidR="00853523" w:rsidRDefault="00853523" w:rsidP="00853523"/>
    <w:p w:rsidR="00853523" w:rsidRDefault="00853523" w:rsidP="00853523">
      <w:r>
        <w:t>6.  ACHIEVING HOMOGENEITY IN OBSERVATIONAL DATA</w:t>
      </w:r>
    </w:p>
    <w:p w:rsidR="00853523" w:rsidRDefault="00853523" w:rsidP="00853523">
      <w:r>
        <w:t>Observing networks should be designed so that the level of homogeneity of the delivered observational data meets the needs of the intended applications.</w:t>
      </w:r>
    </w:p>
    <w:p w:rsidR="00853523" w:rsidRDefault="00853523" w:rsidP="00853523"/>
    <w:p w:rsidR="00853523" w:rsidRDefault="00853523" w:rsidP="00853523">
      <w:r>
        <w:t>7.  DESIGNING THROUGH A TIERED APPROACH</w:t>
      </w:r>
    </w:p>
    <w:p w:rsidR="00853523" w:rsidRDefault="00853523" w:rsidP="00853523">
      <w:r>
        <w:t>Observing network design should use a tiered structure, through which information from reference observations of high quality can be transferred to and used to improve the quality and utility of other observations.</w:t>
      </w:r>
    </w:p>
    <w:p w:rsidR="00853523" w:rsidRDefault="00853523" w:rsidP="00853523"/>
    <w:p w:rsidR="00853523" w:rsidRDefault="00853523" w:rsidP="00853523">
      <w:r>
        <w:t>8.  DESIGNING RELIABLE AND STABLE NETWORKS</w:t>
      </w:r>
    </w:p>
    <w:p w:rsidR="00853523" w:rsidRDefault="00853523" w:rsidP="00853523">
      <w:r>
        <w:t>Observing networks should be designed to be reliable and stable.</w:t>
      </w:r>
    </w:p>
    <w:p w:rsidR="00853523" w:rsidRDefault="00853523" w:rsidP="00853523"/>
    <w:p w:rsidR="00853523" w:rsidRDefault="00853523" w:rsidP="00853523">
      <w:r>
        <w:t>9.  MAKING OBSERVATIONAL DATA AVAILABLE</w:t>
      </w:r>
    </w:p>
    <w:p w:rsidR="00853523" w:rsidRDefault="00853523" w:rsidP="00853523">
      <w:r>
        <w:t xml:space="preserve">Observing networks should be designed and should </w:t>
      </w:r>
      <w:r w:rsidRPr="008779C7">
        <w:t>evolve in such a way as to ensure that the observations are made available to other WMO Members,</w:t>
      </w:r>
      <w:r>
        <w:t xml:space="preserve"> at space-time resolutions and with a timeliness to meet the needs of regional and global applications.</w:t>
      </w:r>
    </w:p>
    <w:p w:rsidR="00853523" w:rsidRDefault="00853523" w:rsidP="00853523"/>
    <w:p w:rsidR="00853523" w:rsidRDefault="00853523" w:rsidP="00853523">
      <w:r>
        <w:t>10.  PROVIDING INFORMATION SO THAT THE OBSERVATIONS CAN BE INTERPRETED</w:t>
      </w:r>
    </w:p>
    <w:p w:rsidR="00853523" w:rsidRDefault="00853523" w:rsidP="00853523">
      <w:r>
        <w:t>Observing networks should be designed and operated in such a way that the details and history of instruments, their environments and operating conditions, their data processing procedures and other factors pertinent to the understanding and interpretation of the observational data (i.e. metadata) are documented and treated with the same care as the data themselves.</w:t>
      </w:r>
    </w:p>
    <w:p w:rsidR="00853523" w:rsidRDefault="00853523" w:rsidP="00853523"/>
    <w:p w:rsidR="00853523" w:rsidRDefault="00853523" w:rsidP="00853523">
      <w:r>
        <w:t>11.  ACHIEVING SUSTAINABLE NETWORKS</w:t>
      </w:r>
    </w:p>
    <w:p w:rsidR="00853523" w:rsidRDefault="00853523" w:rsidP="00853523">
      <w:r>
        <w:t>Improvements in sustained availability of observations should be promoted through the design and funding of networks that are sustainable in the long-term including, where appropriate, through the transition of research systems to operational status.</w:t>
      </w:r>
    </w:p>
    <w:p w:rsidR="00853523" w:rsidRDefault="00853523" w:rsidP="00853523"/>
    <w:p w:rsidR="00853523" w:rsidRDefault="00853523" w:rsidP="00853523">
      <w:r>
        <w:t>12.  MANAGING CHANGE</w:t>
      </w:r>
    </w:p>
    <w:p w:rsidR="00853523" w:rsidRDefault="00853523" w:rsidP="00853523">
      <w:r>
        <w:t>The design of new observing networks and changes to existing networks should ensure adequate consistency, quality and continuity of observations across the transition from the old system to the new.</w:t>
      </w:r>
    </w:p>
    <w:p w:rsidR="00853523" w:rsidRDefault="00853523" w:rsidP="00853523">
      <w:pPr>
        <w:rPr>
          <w:lang w:val="en-AU"/>
        </w:rPr>
      </w:pPr>
    </w:p>
    <w:p w:rsidR="00853523" w:rsidRDefault="00853523" w:rsidP="00853523">
      <w:pPr>
        <w:rPr>
          <w:lang w:val="en-AU"/>
        </w:rPr>
      </w:pPr>
    </w:p>
    <w:p w:rsidR="00E57046" w:rsidRDefault="00E57046" w:rsidP="00E57046">
      <w:pPr>
        <w:tabs>
          <w:tab w:val="left" w:pos="840"/>
        </w:tabs>
        <w:jc w:val="center"/>
        <w:rPr>
          <w:rFonts w:cs="Arial"/>
          <w:szCs w:val="22"/>
        </w:rPr>
      </w:pPr>
      <w:r>
        <w:rPr>
          <w:rFonts w:cs="Arial"/>
          <w:szCs w:val="22"/>
        </w:rPr>
        <w:t>_________</w:t>
      </w:r>
    </w:p>
    <w:p w:rsidR="00547F11" w:rsidRDefault="00547F11">
      <w:pPr>
        <w:rPr>
          <w:rFonts w:cs="Arial"/>
          <w:szCs w:val="22"/>
        </w:rPr>
      </w:pPr>
      <w:r>
        <w:rPr>
          <w:rFonts w:cs="Arial"/>
          <w:szCs w:val="22"/>
        </w:rPr>
        <w:br w:type="page"/>
      </w:r>
    </w:p>
    <w:p w:rsidR="00547F11" w:rsidRDefault="00547F11" w:rsidP="00547F11">
      <w:pPr>
        <w:tabs>
          <w:tab w:val="left" w:pos="840"/>
        </w:tabs>
        <w:jc w:val="center"/>
        <w:rPr>
          <w:rFonts w:cs="Arial"/>
          <w:b/>
          <w:szCs w:val="22"/>
        </w:rPr>
      </w:pPr>
      <w:r>
        <w:rPr>
          <w:rFonts w:cs="Arial"/>
          <w:b/>
          <w:szCs w:val="22"/>
        </w:rPr>
        <w:lastRenderedPageBreak/>
        <w:t>APPENDIX D</w:t>
      </w:r>
    </w:p>
    <w:p w:rsidR="00547F11" w:rsidRDefault="00547F11" w:rsidP="00547F11">
      <w:pPr>
        <w:tabs>
          <w:tab w:val="left" w:pos="840"/>
        </w:tabs>
        <w:jc w:val="center"/>
        <w:rPr>
          <w:rFonts w:cs="Arial"/>
          <w:b/>
          <w:szCs w:val="22"/>
        </w:rPr>
      </w:pPr>
    </w:p>
    <w:p w:rsidR="00547F11" w:rsidRPr="00547F11" w:rsidRDefault="00547F11" w:rsidP="00547F11">
      <w:pPr>
        <w:tabs>
          <w:tab w:val="left" w:pos="840"/>
        </w:tabs>
        <w:jc w:val="center"/>
        <w:rPr>
          <w:rFonts w:cs="Arial"/>
          <w:b/>
          <w:szCs w:val="22"/>
        </w:rPr>
      </w:pPr>
      <w:r w:rsidRPr="00547F11">
        <w:rPr>
          <w:rFonts w:cs="Arial"/>
          <w:b/>
          <w:szCs w:val="22"/>
        </w:rPr>
        <w:t>DRAFT MANUAL ON WIGOS, SECTION 6</w:t>
      </w:r>
    </w:p>
    <w:p w:rsidR="00547F11" w:rsidRDefault="00547F11" w:rsidP="00E57046">
      <w:pPr>
        <w:tabs>
          <w:tab w:val="left" w:pos="840"/>
        </w:tabs>
        <w:rPr>
          <w:rFonts w:cs="Arial"/>
          <w:szCs w:val="22"/>
        </w:rPr>
      </w:pPr>
    </w:p>
    <w:p w:rsidR="00547F11" w:rsidRPr="00D15429" w:rsidRDefault="00547F11" w:rsidP="00547F11">
      <w:pPr>
        <w:pStyle w:val="ECBodyText"/>
        <w:spacing w:before="120"/>
        <w:rPr>
          <w:rFonts w:eastAsia="MS Minngs" w:cs="Arial"/>
          <w:b/>
          <w:lang w:eastAsia="ja-JP"/>
        </w:rPr>
      </w:pPr>
      <w:r w:rsidRPr="00D15429">
        <w:rPr>
          <w:rFonts w:eastAsia="MS Minngs" w:cs="Arial"/>
          <w:b/>
          <w:lang w:eastAsia="ja-JP"/>
        </w:rPr>
        <w:t>6.</w:t>
      </w:r>
      <w:r w:rsidRPr="00D15429">
        <w:rPr>
          <w:rFonts w:eastAsia="MS Minngs" w:cs="Arial"/>
          <w:b/>
          <w:lang w:eastAsia="ja-JP"/>
        </w:rPr>
        <w:tab/>
      </w:r>
      <w:bookmarkStart w:id="10" w:name="Section_6"/>
      <w:bookmarkEnd w:id="10"/>
      <w:r w:rsidRPr="00D15429">
        <w:rPr>
          <w:rFonts w:eastAsia="MS Minngs" w:cs="Arial"/>
          <w:b/>
          <w:lang w:eastAsia="ja-JP"/>
        </w:rPr>
        <w:t>OBSERVING COMPONENT OF THE GLOBAL CRYOSPHERIC WATCH</w:t>
      </w:r>
    </w:p>
    <w:p w:rsidR="00547F11" w:rsidRPr="00D15429" w:rsidRDefault="00547F11" w:rsidP="00547F11">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T</w:t>
      </w:r>
      <w:r w:rsidRPr="00D15429">
        <w:rPr>
          <w:rFonts w:eastAsia="MS Minngs" w:cs="Arial"/>
          <w:sz w:val="20"/>
          <w:lang w:eastAsia="ja-JP"/>
        </w:rPr>
        <w:t xml:space="preserve">he provisions of sections 1, 2, 3 and 4 of this Manual are common to all </w:t>
      </w:r>
      <w:r>
        <w:rPr>
          <w:rFonts w:eastAsia="MS Minngs" w:cs="Arial"/>
          <w:sz w:val="20"/>
          <w:lang w:eastAsia="ja-JP"/>
        </w:rPr>
        <w:t xml:space="preserve">WIGOS </w:t>
      </w:r>
      <w:r w:rsidRPr="00D15429">
        <w:rPr>
          <w:rFonts w:eastAsia="MS Minngs" w:cs="Arial"/>
          <w:sz w:val="20"/>
          <w:lang w:eastAsia="ja-JP"/>
        </w:rPr>
        <w:t xml:space="preserve">component observing systems including the GCW. The further provisions of section 6 </w:t>
      </w:r>
      <w:r>
        <w:rPr>
          <w:rFonts w:eastAsia="MS Minngs" w:cs="Arial"/>
          <w:sz w:val="20"/>
          <w:lang w:eastAsia="ja-JP"/>
        </w:rPr>
        <w:t>of this Manual</w:t>
      </w:r>
      <w:r w:rsidRPr="00D15429">
        <w:rPr>
          <w:rFonts w:eastAsia="MS Minngs" w:cs="Arial"/>
          <w:sz w:val="20"/>
          <w:lang w:eastAsia="ja-JP"/>
        </w:rPr>
        <w:t xml:space="preserve"> are specific to the GCW.</w:t>
      </w:r>
    </w:p>
    <w:p w:rsidR="00547F11" w:rsidRDefault="00547F11" w:rsidP="00547F11">
      <w:pPr>
        <w:pStyle w:val="ECBodyText"/>
        <w:spacing w:before="120"/>
        <w:rPr>
          <w:rFonts w:eastAsia="MS Minngs" w:cs="Arial"/>
          <w:lang w:eastAsia="ja-JP"/>
        </w:rPr>
      </w:pPr>
      <w:r w:rsidRPr="00D15429">
        <w:rPr>
          <w:rFonts w:eastAsia="MS Minngs" w:cs="Arial"/>
          <w:lang w:eastAsia="ja-JP"/>
        </w:rPr>
        <w:t>6.1</w:t>
      </w:r>
      <w:r w:rsidRPr="00D15429">
        <w:rPr>
          <w:rFonts w:eastAsia="MS Minngs" w:cs="Arial"/>
          <w:lang w:eastAsia="ja-JP"/>
        </w:rPr>
        <w:tab/>
        <w:t>Members should collaborate actively in, and give all possible support to, the development and implementation of the observing component of Global Cryosphere Watch.</w:t>
      </w:r>
    </w:p>
    <w:p w:rsidR="00547F11" w:rsidRDefault="00547F11" w:rsidP="00547F11">
      <w:pPr>
        <w:pStyle w:val="ECBodyText"/>
        <w:spacing w:before="120"/>
        <w:rPr>
          <w:rFonts w:eastAsia="MS Minngs" w:cs="Arial"/>
          <w:lang w:eastAsia="ja-JP"/>
        </w:rPr>
      </w:pPr>
      <w:r w:rsidRPr="00D15429">
        <w:rPr>
          <w:rFonts w:eastAsia="MS Minngs" w:cs="Arial"/>
          <w:sz w:val="20"/>
          <w:lang w:eastAsia="ja-JP"/>
        </w:rPr>
        <w:t>Note: GCW implementation encompasses the use of surface- and space-based observations, observing standard</w:t>
      </w:r>
      <w:r>
        <w:rPr>
          <w:rFonts w:eastAsia="MS Minngs" w:cs="Arial"/>
          <w:sz w:val="20"/>
          <w:lang w:eastAsia="ja-JP"/>
        </w:rPr>
        <w:t xml:space="preserve"> and recommended practices and procedures,</w:t>
      </w:r>
      <w:r w:rsidRPr="00D15429">
        <w:rPr>
          <w:rFonts w:eastAsia="MS Minngs" w:cs="Arial"/>
          <w:sz w:val="20"/>
          <w:lang w:eastAsia="ja-JP"/>
        </w:rPr>
        <w:t xml:space="preserve"> and best practices for the measurement of essential cryospheric variables, and full assessment of error characteristics of in situ and satellite products. The initial focus of CryoNet, the surface-based </w:t>
      </w:r>
      <w:r>
        <w:rPr>
          <w:rFonts w:eastAsia="MS Minngs" w:cs="Arial"/>
          <w:sz w:val="20"/>
          <w:lang w:eastAsia="ja-JP"/>
        </w:rPr>
        <w:t xml:space="preserve">standardized core </w:t>
      </w:r>
      <w:r w:rsidRPr="00D15429">
        <w:rPr>
          <w:rFonts w:eastAsia="MS Minngs" w:cs="Arial"/>
          <w:sz w:val="20"/>
          <w:lang w:eastAsia="ja-JP"/>
        </w:rPr>
        <w:t>observ</w:t>
      </w:r>
      <w:r>
        <w:rPr>
          <w:rFonts w:eastAsia="MS Minngs" w:cs="Arial"/>
          <w:sz w:val="20"/>
          <w:lang w:eastAsia="ja-JP"/>
        </w:rPr>
        <w:t>ing</w:t>
      </w:r>
      <w:r w:rsidRPr="00D15429">
        <w:rPr>
          <w:rFonts w:eastAsia="MS Minngs" w:cs="Arial"/>
          <w:sz w:val="20"/>
          <w:lang w:eastAsia="ja-JP"/>
        </w:rPr>
        <w:t xml:space="preserve"> network, is to promote the addition of cryospheric observations taken according to GCW standard</w:t>
      </w:r>
      <w:r>
        <w:rPr>
          <w:rFonts w:eastAsia="MS Minngs" w:cs="Arial"/>
          <w:sz w:val="20"/>
          <w:lang w:eastAsia="ja-JP"/>
        </w:rPr>
        <w:t xml:space="preserve"> and</w:t>
      </w:r>
      <w:r w:rsidRPr="00D15429">
        <w:rPr>
          <w:rFonts w:eastAsia="MS Minngs" w:cs="Arial"/>
          <w:sz w:val="20"/>
          <w:lang w:eastAsia="ja-JP"/>
        </w:rPr>
        <w:t xml:space="preserve"> </w:t>
      </w:r>
      <w:r>
        <w:rPr>
          <w:rFonts w:eastAsia="MS Minngs" w:cs="Arial"/>
          <w:sz w:val="20"/>
          <w:lang w:eastAsia="ja-JP"/>
        </w:rPr>
        <w:t xml:space="preserve">recommended practices and procedures, </w:t>
      </w:r>
      <w:r w:rsidRPr="00D15429">
        <w:rPr>
          <w:rFonts w:eastAsia="MS Minngs" w:cs="Arial"/>
          <w:sz w:val="20"/>
          <w:lang w:eastAsia="ja-JP"/>
        </w:rPr>
        <w:t>guidelines and best practices, at existing sites rather than creating new sites. The development of GCW includes the development of a CryoNet Guide.</w:t>
      </w:r>
      <w:r w:rsidRPr="00D15429">
        <w:rPr>
          <w:rFonts w:eastAsia="MS Minngs" w:cs="Arial"/>
          <w:lang w:eastAsia="ja-JP"/>
        </w:rPr>
        <w:t>6.2</w:t>
      </w:r>
      <w:r w:rsidRPr="00D15429">
        <w:rPr>
          <w:rFonts w:eastAsia="MS Minngs" w:cs="Arial"/>
          <w:lang w:eastAsia="ja-JP"/>
        </w:rPr>
        <w:tab/>
        <w:t>Members should encourage partnerships between organizations to coordinate observing, capacity building and training activities relevant to cryospheric observations and to assist with the compilation and development of manuals</w:t>
      </w:r>
      <w:r>
        <w:rPr>
          <w:rFonts w:eastAsia="MS Minngs" w:cs="Arial"/>
          <w:lang w:eastAsia="ja-JP"/>
        </w:rPr>
        <w:t xml:space="preserve"> on standard and </w:t>
      </w:r>
      <w:r w:rsidRPr="004870AE">
        <w:rPr>
          <w:rFonts w:eastAsia="MS Minngs" w:cs="Arial"/>
          <w:lang w:eastAsia="ja-JP"/>
        </w:rPr>
        <w:t>recommended practices and procedures</w:t>
      </w:r>
      <w:r w:rsidRPr="00D15429">
        <w:rPr>
          <w:rFonts w:eastAsia="MS Minngs" w:cs="Arial"/>
          <w:lang w:eastAsia="ja-JP"/>
        </w:rPr>
        <w:t xml:space="preserve"> for cryospheric observation.</w:t>
      </w:r>
    </w:p>
    <w:p w:rsidR="00547F11" w:rsidRPr="00DF0805" w:rsidRDefault="00547F11" w:rsidP="00547F11">
      <w:pPr>
        <w:spacing w:before="100" w:beforeAutospacing="1" w:after="100" w:afterAutospacing="1"/>
        <w:rPr>
          <w:rFonts w:eastAsia="Times New Roman"/>
          <w:color w:val="000000"/>
          <w:szCs w:val="22"/>
        </w:rPr>
      </w:pPr>
      <w:r>
        <w:rPr>
          <w:rFonts w:eastAsia="MS Minngs"/>
          <w:lang w:eastAsia="ja-JP"/>
        </w:rPr>
        <w:t xml:space="preserve">6.3  </w:t>
      </w:r>
      <w:r>
        <w:rPr>
          <w:rFonts w:eastAsia="MS Minngs"/>
          <w:lang w:eastAsia="ja-JP"/>
        </w:rPr>
        <w:tab/>
      </w:r>
      <w:r w:rsidRPr="00DF0805">
        <w:rPr>
          <w:rFonts w:eastAsia="Times New Roman"/>
          <w:color w:val="000000"/>
          <w:szCs w:val="22"/>
        </w:rPr>
        <w:t xml:space="preserve">CryoNet shall be structured in three different classes of observational sites: Baseline sites, Reference sites, and </w:t>
      </w:r>
      <w:proofErr w:type="gramStart"/>
      <w:r w:rsidRPr="00DF0805">
        <w:rPr>
          <w:rFonts w:eastAsia="Times New Roman"/>
          <w:color w:val="000000"/>
          <w:szCs w:val="22"/>
        </w:rPr>
        <w:t>Integrated</w:t>
      </w:r>
      <w:proofErr w:type="gramEnd"/>
      <w:r w:rsidRPr="00DF0805">
        <w:rPr>
          <w:rFonts w:eastAsia="Times New Roman"/>
          <w:color w:val="000000"/>
          <w:szCs w:val="22"/>
        </w:rPr>
        <w:t xml:space="preserve"> sites with the following requirements:</w:t>
      </w:r>
    </w:p>
    <w:p w:rsidR="00547F11" w:rsidRPr="00DF0805" w:rsidRDefault="00547F11" w:rsidP="00547F11">
      <w:pPr>
        <w:numPr>
          <w:ilvl w:val="0"/>
          <w:numId w:val="31"/>
        </w:numPr>
        <w:spacing w:before="120"/>
        <w:jc w:val="both"/>
        <w:rPr>
          <w:rFonts w:eastAsia="Times New Roman"/>
          <w:color w:val="000000"/>
          <w:szCs w:val="22"/>
        </w:rPr>
      </w:pPr>
      <w:r w:rsidRPr="00DF0805">
        <w:rPr>
          <w:rFonts w:eastAsia="Times New Roman"/>
          <w:b/>
          <w:bCs/>
          <w:i/>
          <w:iCs/>
          <w:color w:val="000000"/>
          <w:szCs w:val="22"/>
        </w:rPr>
        <w:t>Baseline</w:t>
      </w:r>
      <w:r w:rsidRPr="00DF0805">
        <w:rPr>
          <w:rFonts w:eastAsia="Times New Roman"/>
          <w:color w:val="000000"/>
          <w:szCs w:val="22"/>
        </w:rPr>
        <w:t xml:space="preserve"> sites </w:t>
      </w:r>
      <w:r>
        <w:rPr>
          <w:rFonts w:eastAsia="Times New Roman"/>
          <w:color w:val="000000"/>
          <w:szCs w:val="22"/>
        </w:rPr>
        <w:t xml:space="preserve">shall </w:t>
      </w:r>
      <w:r w:rsidRPr="00DF0805">
        <w:rPr>
          <w:rFonts w:eastAsia="Times New Roman"/>
          <w:color w:val="000000"/>
          <w:szCs w:val="22"/>
        </w:rPr>
        <w:t>make measurements of at least one element of the cryosphere; e.g. snow, permafrost, sea ice, or glaciers. Baseline sites should be targeted toward long-term, continuous measurements.</w:t>
      </w:r>
    </w:p>
    <w:p w:rsidR="00547F11" w:rsidRPr="00DF0805" w:rsidRDefault="00547F11" w:rsidP="00547F11">
      <w:pPr>
        <w:numPr>
          <w:ilvl w:val="0"/>
          <w:numId w:val="31"/>
        </w:numPr>
        <w:spacing w:before="120"/>
        <w:jc w:val="both"/>
        <w:rPr>
          <w:rFonts w:eastAsia="Times New Roman"/>
          <w:color w:val="000000"/>
          <w:szCs w:val="22"/>
        </w:rPr>
      </w:pPr>
      <w:r w:rsidRPr="00DF0805">
        <w:rPr>
          <w:rFonts w:eastAsia="Times New Roman"/>
          <w:b/>
          <w:bCs/>
          <w:i/>
          <w:iCs/>
          <w:color w:val="000000"/>
          <w:szCs w:val="22"/>
        </w:rPr>
        <w:t>Reference</w:t>
      </w:r>
      <w:r w:rsidRPr="00DF0805">
        <w:rPr>
          <w:rFonts w:eastAsia="Times New Roman"/>
          <w:color w:val="000000"/>
          <w:szCs w:val="22"/>
        </w:rPr>
        <w:t xml:space="preserve"> sites </w:t>
      </w:r>
      <w:r>
        <w:rPr>
          <w:rFonts w:eastAsia="Times New Roman"/>
          <w:color w:val="000000"/>
          <w:szCs w:val="22"/>
        </w:rPr>
        <w:t>shall be</w:t>
      </w:r>
      <w:r w:rsidRPr="00DF0805">
        <w:rPr>
          <w:rFonts w:eastAsia="Times New Roman"/>
          <w:color w:val="000000"/>
          <w:szCs w:val="22"/>
        </w:rPr>
        <w:t xml:space="preserve"> the key sites of CryoNet with respect to the assessment of long-term changes of the cryosphere as well as for the validation of satellite data and cryospheric models. </w:t>
      </w:r>
      <w:r>
        <w:rPr>
          <w:rFonts w:eastAsia="Times New Roman"/>
          <w:color w:val="000000"/>
          <w:szCs w:val="22"/>
        </w:rPr>
        <w:t>T</w:t>
      </w:r>
      <w:r w:rsidRPr="00DF0805">
        <w:rPr>
          <w:rFonts w:eastAsia="Times New Roman"/>
          <w:color w:val="000000"/>
          <w:szCs w:val="22"/>
        </w:rPr>
        <w:t xml:space="preserve">he </w:t>
      </w:r>
      <w:r>
        <w:rPr>
          <w:rFonts w:eastAsia="Times New Roman"/>
          <w:color w:val="000000"/>
          <w:szCs w:val="22"/>
        </w:rPr>
        <w:t xml:space="preserve">reference </w:t>
      </w:r>
      <w:r w:rsidRPr="00DF0805">
        <w:rPr>
          <w:rFonts w:eastAsia="Times New Roman"/>
          <w:color w:val="000000"/>
          <w:szCs w:val="22"/>
        </w:rPr>
        <w:t xml:space="preserve">site </w:t>
      </w:r>
      <w:r>
        <w:rPr>
          <w:rFonts w:eastAsia="Times New Roman"/>
          <w:color w:val="000000"/>
          <w:szCs w:val="22"/>
        </w:rPr>
        <w:t>shall</w:t>
      </w:r>
      <w:r w:rsidRPr="00DF0805">
        <w:rPr>
          <w:rFonts w:eastAsia="Times New Roman"/>
          <w:color w:val="000000"/>
          <w:szCs w:val="22"/>
        </w:rPr>
        <w:t xml:space="preserve"> provide continuous measurements over a long period. Reference sites </w:t>
      </w:r>
      <w:r>
        <w:rPr>
          <w:rFonts w:eastAsia="Times New Roman"/>
          <w:color w:val="000000"/>
          <w:szCs w:val="22"/>
        </w:rPr>
        <w:t xml:space="preserve">should </w:t>
      </w:r>
      <w:r w:rsidRPr="00DF0805">
        <w:rPr>
          <w:rFonts w:eastAsia="Times New Roman"/>
          <w:color w:val="000000"/>
          <w:szCs w:val="22"/>
        </w:rPr>
        <w:t>be for operational purposes or may have a research focus.</w:t>
      </w:r>
    </w:p>
    <w:p w:rsidR="00547F11" w:rsidRPr="00DF0805" w:rsidRDefault="00547F11" w:rsidP="00547F11">
      <w:pPr>
        <w:numPr>
          <w:ilvl w:val="0"/>
          <w:numId w:val="31"/>
        </w:numPr>
        <w:spacing w:before="120"/>
        <w:jc w:val="both"/>
        <w:rPr>
          <w:rFonts w:eastAsia="Times New Roman"/>
          <w:color w:val="000000"/>
          <w:szCs w:val="22"/>
        </w:rPr>
      </w:pPr>
      <w:r w:rsidRPr="00DF0805">
        <w:rPr>
          <w:rFonts w:eastAsia="Times New Roman"/>
          <w:color w:val="000000"/>
          <w:szCs w:val="22"/>
        </w:rPr>
        <w:t xml:space="preserve">The </w:t>
      </w:r>
      <w:r w:rsidRPr="00DF0805">
        <w:rPr>
          <w:rFonts w:eastAsia="Times New Roman"/>
          <w:b/>
          <w:bCs/>
          <w:i/>
          <w:iCs/>
          <w:color w:val="000000"/>
          <w:szCs w:val="22"/>
        </w:rPr>
        <w:t>Integrated</w:t>
      </w:r>
      <w:r w:rsidRPr="00DF0805">
        <w:rPr>
          <w:rFonts w:eastAsia="Times New Roman"/>
          <w:color w:val="000000"/>
          <w:szCs w:val="22"/>
        </w:rPr>
        <w:t xml:space="preserve"> sites </w:t>
      </w:r>
      <w:r>
        <w:rPr>
          <w:rFonts w:eastAsia="Times New Roman"/>
          <w:color w:val="000000"/>
          <w:szCs w:val="22"/>
        </w:rPr>
        <w:t>shall</w:t>
      </w:r>
      <w:r w:rsidRPr="00DF0805">
        <w:rPr>
          <w:rFonts w:eastAsia="Times New Roman"/>
          <w:color w:val="000000"/>
          <w:szCs w:val="22"/>
        </w:rPr>
        <w:t xml:space="preserve"> promote, through worldwide scientific collaboration, progress in the scientific understanding of the physical processes that change the cryosphere. These sites </w:t>
      </w:r>
      <w:r>
        <w:rPr>
          <w:rFonts w:eastAsia="Times New Roman"/>
          <w:color w:val="000000"/>
          <w:szCs w:val="22"/>
        </w:rPr>
        <w:t xml:space="preserve">shall </w:t>
      </w:r>
      <w:r w:rsidRPr="00DF0805">
        <w:rPr>
          <w:rFonts w:eastAsia="Times New Roman"/>
          <w:color w:val="000000"/>
          <w:szCs w:val="22"/>
        </w:rPr>
        <w:t xml:space="preserve">integrate in situ and space-based observations and create platforms of cryospheric observatories. Monitoring at integrated sites </w:t>
      </w:r>
      <w:r>
        <w:rPr>
          <w:rFonts w:eastAsia="Times New Roman"/>
          <w:color w:val="000000"/>
          <w:szCs w:val="22"/>
        </w:rPr>
        <w:t>should</w:t>
      </w:r>
      <w:r w:rsidRPr="00DF0805">
        <w:rPr>
          <w:rFonts w:eastAsia="Times New Roman"/>
          <w:color w:val="000000"/>
          <w:szCs w:val="22"/>
        </w:rPr>
        <w:t xml:space="preserve"> cover multiple components of the cryosphere with a highly process orientated approach. Integrated sites </w:t>
      </w:r>
      <w:r>
        <w:rPr>
          <w:rFonts w:eastAsia="Times New Roman"/>
          <w:color w:val="000000"/>
          <w:szCs w:val="22"/>
        </w:rPr>
        <w:t>shall</w:t>
      </w:r>
      <w:r w:rsidRPr="00DF0805">
        <w:rPr>
          <w:rFonts w:eastAsia="Times New Roman"/>
          <w:color w:val="000000"/>
          <w:szCs w:val="22"/>
        </w:rPr>
        <w:t xml:space="preserve"> either be a single station or several stations or field sites covering a larger region. In general these sites </w:t>
      </w:r>
      <w:r>
        <w:rPr>
          <w:rFonts w:eastAsia="Times New Roman"/>
          <w:color w:val="000000"/>
          <w:szCs w:val="22"/>
        </w:rPr>
        <w:t>shall be</w:t>
      </w:r>
      <w:r w:rsidRPr="00DF0805">
        <w:rPr>
          <w:rFonts w:eastAsia="Times New Roman"/>
          <w:color w:val="000000"/>
          <w:szCs w:val="22"/>
        </w:rPr>
        <w:t xml:space="preserve"> supported by long-term financial commitments running standard monitoring programs of the cryosphere.</w:t>
      </w:r>
    </w:p>
    <w:p w:rsidR="00547F11" w:rsidRPr="00D15429" w:rsidRDefault="00547F11" w:rsidP="00547F11">
      <w:pPr>
        <w:pStyle w:val="ECBodyText"/>
        <w:spacing w:before="120"/>
        <w:rPr>
          <w:rFonts w:eastAsia="MS Minngs" w:cs="Arial"/>
          <w:lang w:eastAsia="ja-JP"/>
        </w:rPr>
      </w:pPr>
      <w:r w:rsidRPr="00DF0805">
        <w:rPr>
          <w:rFonts w:eastAsia="MS Minngs" w:cs="Arial"/>
          <w:szCs w:val="22"/>
          <w:lang w:eastAsia="ja-JP"/>
        </w:rPr>
        <w:t>6.4</w:t>
      </w:r>
      <w:r w:rsidRPr="00DF0805">
        <w:rPr>
          <w:rFonts w:eastAsia="MS Minngs" w:cs="Arial"/>
          <w:szCs w:val="22"/>
          <w:lang w:eastAsia="ja-JP"/>
        </w:rPr>
        <w:tab/>
      </w:r>
      <w:r w:rsidRPr="00DF0805">
        <w:rPr>
          <w:rFonts w:cs="Arial"/>
          <w:color w:val="000000"/>
          <w:szCs w:val="22"/>
          <w:shd w:val="clear" w:color="auto" w:fill="FEFEFE"/>
        </w:rPr>
        <w:t>For inclusion of a GCW surface measurement site or station in CryoNet, Members and partners shall meet defined criteria. The</w:t>
      </w:r>
      <w:r w:rsidRPr="00DF0805">
        <w:rPr>
          <w:rStyle w:val="apple-converted-space"/>
          <w:rFonts w:cs="Arial"/>
          <w:color w:val="000000"/>
          <w:szCs w:val="22"/>
          <w:shd w:val="clear" w:color="auto" w:fill="FEFEFE"/>
        </w:rPr>
        <w:t> </w:t>
      </w:r>
      <w:r w:rsidRPr="00DF0805">
        <w:rPr>
          <w:rFonts w:cs="Arial"/>
          <w:color w:val="000000"/>
          <w:szCs w:val="22"/>
          <w:shd w:val="clear" w:color="auto" w:fill="FEFEFE"/>
        </w:rPr>
        <w:t>minimum requirements are in Attachment 6.1.</w:t>
      </w:r>
    </w:p>
    <w:p w:rsidR="00547F11" w:rsidRPr="00D15429" w:rsidRDefault="00547F11" w:rsidP="00547F11">
      <w:pPr>
        <w:pStyle w:val="ECBodyText"/>
        <w:spacing w:before="120"/>
        <w:rPr>
          <w:rFonts w:eastAsia="MS Minngs" w:cs="Arial"/>
          <w:lang w:eastAsia="ja-JP"/>
        </w:rPr>
      </w:pPr>
    </w:p>
    <w:p w:rsidR="00547F11" w:rsidRDefault="00547F11" w:rsidP="00547F11">
      <w:pPr>
        <w:tabs>
          <w:tab w:val="left" w:pos="840"/>
        </w:tabs>
        <w:jc w:val="center"/>
        <w:rPr>
          <w:rFonts w:cs="Arial"/>
          <w:szCs w:val="22"/>
        </w:rPr>
        <w:sectPr w:rsidR="00547F11" w:rsidSect="0050389B">
          <w:pgSz w:w="11906" w:h="16838" w:code="9"/>
          <w:pgMar w:top="1134" w:right="1134" w:bottom="1134" w:left="1134" w:header="709" w:footer="709" w:gutter="0"/>
          <w:cols w:space="708"/>
          <w:titlePg/>
          <w:docGrid w:linePitch="360"/>
        </w:sectPr>
      </w:pPr>
      <w:r>
        <w:rPr>
          <w:rFonts w:cs="Arial"/>
          <w:szCs w:val="22"/>
        </w:rPr>
        <w:t>______________</w:t>
      </w:r>
    </w:p>
    <w:p w:rsidR="00547F11" w:rsidRPr="00547F11" w:rsidRDefault="00547F11" w:rsidP="00547F11">
      <w:pPr>
        <w:tabs>
          <w:tab w:val="left" w:pos="840"/>
        </w:tabs>
        <w:jc w:val="center"/>
        <w:rPr>
          <w:rFonts w:cs="Arial"/>
          <w:b/>
          <w:szCs w:val="22"/>
        </w:rPr>
      </w:pPr>
      <w:r w:rsidRPr="00547F11">
        <w:rPr>
          <w:rFonts w:cs="Arial"/>
          <w:b/>
          <w:szCs w:val="22"/>
        </w:rPr>
        <w:lastRenderedPageBreak/>
        <w:t>APPENDIX E</w:t>
      </w:r>
    </w:p>
    <w:p w:rsidR="00547F11" w:rsidRDefault="00547F11" w:rsidP="00E57046">
      <w:pPr>
        <w:tabs>
          <w:tab w:val="left" w:pos="840"/>
        </w:tabs>
        <w:rPr>
          <w:rFonts w:cs="Arial"/>
          <w:szCs w:val="22"/>
        </w:rPr>
      </w:pPr>
    </w:p>
    <w:p w:rsidR="00547F11" w:rsidRPr="00547F11" w:rsidRDefault="00547F11" w:rsidP="00547F11">
      <w:pPr>
        <w:tabs>
          <w:tab w:val="left" w:pos="840"/>
        </w:tabs>
        <w:jc w:val="center"/>
        <w:rPr>
          <w:rFonts w:cs="Arial"/>
          <w:b/>
          <w:szCs w:val="22"/>
        </w:rPr>
      </w:pPr>
      <w:r w:rsidRPr="00547F11">
        <w:rPr>
          <w:rFonts w:cs="Arial"/>
          <w:b/>
          <w:szCs w:val="22"/>
        </w:rPr>
        <w:t>DRAFT MANUAL ON WIGOS, SECTION 6</w:t>
      </w:r>
    </w:p>
    <w:p w:rsidR="00547F11" w:rsidRDefault="00547F11" w:rsidP="00E57046">
      <w:pPr>
        <w:tabs>
          <w:tab w:val="left" w:pos="840"/>
        </w:tabs>
        <w:rPr>
          <w:rFonts w:cs="Arial"/>
          <w:szCs w:val="22"/>
        </w:rPr>
      </w:pPr>
    </w:p>
    <w:p w:rsidR="00547F11" w:rsidRDefault="00547F11" w:rsidP="00547F11">
      <w:pPr>
        <w:pStyle w:val="ECBodyText"/>
        <w:spacing w:before="120"/>
        <w:rPr>
          <w:rFonts w:cs="Arial"/>
          <w:b/>
          <w:color w:val="000000"/>
          <w:szCs w:val="22"/>
          <w:shd w:val="clear" w:color="auto" w:fill="FEFEFE"/>
        </w:rPr>
      </w:pPr>
      <w:r w:rsidRPr="00DF0805">
        <w:rPr>
          <w:rFonts w:cs="Arial"/>
          <w:b/>
          <w:color w:val="000000"/>
          <w:szCs w:val="22"/>
          <w:shd w:val="clear" w:color="auto" w:fill="FEFEFE"/>
        </w:rPr>
        <w:t>ATTACHMENT 6.1</w:t>
      </w:r>
    </w:p>
    <w:p w:rsidR="00547F11" w:rsidRPr="00DF0805" w:rsidRDefault="00547F11" w:rsidP="00547F11">
      <w:pPr>
        <w:pStyle w:val="ECBodyText"/>
        <w:spacing w:before="120"/>
        <w:rPr>
          <w:rFonts w:cs="Arial"/>
          <w:b/>
          <w:color w:val="000000"/>
          <w:szCs w:val="22"/>
          <w:shd w:val="clear" w:color="auto" w:fill="FEFEFE"/>
        </w:rPr>
      </w:pPr>
    </w:p>
    <w:p w:rsidR="00547F11" w:rsidRPr="00DF0805" w:rsidRDefault="00547F11" w:rsidP="00547F11">
      <w:pPr>
        <w:pStyle w:val="ECBodyText"/>
        <w:spacing w:before="120"/>
        <w:rPr>
          <w:rFonts w:cs="Arial"/>
          <w:b/>
          <w:color w:val="000000"/>
          <w:szCs w:val="22"/>
          <w:shd w:val="clear" w:color="auto" w:fill="FEFEFE"/>
        </w:rPr>
      </w:pPr>
      <w:r w:rsidRPr="00DF0805">
        <w:rPr>
          <w:rFonts w:cs="Arial"/>
          <w:b/>
          <w:color w:val="000000"/>
          <w:szCs w:val="22"/>
          <w:shd w:val="clear" w:color="auto" w:fill="FEFEFE"/>
        </w:rPr>
        <w:t>The minimum requirements for inclusion of a GCW surface measurement site or station in CryoNet</w:t>
      </w:r>
    </w:p>
    <w:p w:rsidR="00547F11" w:rsidRPr="00DF0805" w:rsidRDefault="00547F11" w:rsidP="00547F11">
      <w:pPr>
        <w:pStyle w:val="ECBodyText"/>
        <w:spacing w:before="120"/>
        <w:rPr>
          <w:rFonts w:eastAsia="MS Minngs" w:cs="Arial"/>
          <w:lang w:eastAsia="ja-JP"/>
        </w:rPr>
      </w:pPr>
      <w:r w:rsidRPr="00DF0805">
        <w:rPr>
          <w:rFonts w:eastAsia="MS Minngs" w:cs="Arial"/>
          <w:lang w:eastAsia="ja-JP"/>
        </w:rPr>
        <w:t>1.</w:t>
      </w:r>
      <w:r w:rsidRPr="00DF0805">
        <w:rPr>
          <w:rFonts w:eastAsia="MS Minngs" w:cs="Arial"/>
          <w:lang w:eastAsia="ja-JP"/>
        </w:rPr>
        <w:tab/>
        <w:t>The site location is chosen such that, for the variables measured, it is spatially/temporally representative for measuring one or several components of the cryosphere.</w:t>
      </w:r>
    </w:p>
    <w:p w:rsidR="00547F11" w:rsidRPr="00DF0805" w:rsidRDefault="00547F11" w:rsidP="00547F11">
      <w:pPr>
        <w:pStyle w:val="ECBodyText"/>
        <w:spacing w:before="120"/>
        <w:rPr>
          <w:rFonts w:eastAsia="MS Minngs" w:cs="Arial"/>
          <w:lang w:eastAsia="ja-JP"/>
        </w:rPr>
      </w:pPr>
      <w:r w:rsidRPr="00DF0805">
        <w:rPr>
          <w:rFonts w:eastAsia="MS Minngs" w:cs="Arial"/>
          <w:lang w:eastAsia="ja-JP"/>
        </w:rPr>
        <w:t>2.</w:t>
      </w:r>
      <w:r w:rsidRPr="00DF0805">
        <w:rPr>
          <w:rFonts w:eastAsia="MS Minngs" w:cs="Arial"/>
          <w:lang w:eastAsia="ja-JP"/>
        </w:rPr>
        <w:tab/>
        <w:t>User needs have been considered in the observation design process.</w:t>
      </w:r>
    </w:p>
    <w:p w:rsidR="00547F11" w:rsidRPr="00DF0805" w:rsidRDefault="00547F11" w:rsidP="00547F11">
      <w:pPr>
        <w:pStyle w:val="ECBodyText"/>
        <w:spacing w:before="120"/>
        <w:rPr>
          <w:rFonts w:eastAsia="MS Minngs" w:cs="Arial"/>
          <w:lang w:eastAsia="ja-JP"/>
        </w:rPr>
      </w:pPr>
      <w:r w:rsidRPr="00DF0805">
        <w:rPr>
          <w:rFonts w:eastAsia="MS Minngs" w:cs="Arial"/>
          <w:lang w:eastAsia="ja-JP"/>
        </w:rPr>
        <w:t>3.</w:t>
      </w:r>
      <w:r w:rsidRPr="00DF0805">
        <w:rPr>
          <w:rFonts w:eastAsia="MS Minngs" w:cs="Arial"/>
          <w:lang w:eastAsia="ja-JP"/>
        </w:rPr>
        <w:tab/>
        <w:t>CryoNet sites have to be active and perform sustained observations according to CryoNet agreed practices.</w:t>
      </w:r>
    </w:p>
    <w:p w:rsidR="00547F11" w:rsidRPr="00DF0805" w:rsidRDefault="00547F11" w:rsidP="00547F11">
      <w:pPr>
        <w:pStyle w:val="ECBodyText"/>
        <w:spacing w:before="120"/>
        <w:rPr>
          <w:rFonts w:eastAsia="MS Minngs" w:cs="Arial"/>
          <w:lang w:eastAsia="ja-JP"/>
        </w:rPr>
      </w:pPr>
      <w:r w:rsidRPr="00DF0805">
        <w:rPr>
          <w:rFonts w:eastAsia="MS Minngs" w:cs="Arial"/>
          <w:lang w:eastAsia="ja-JP"/>
        </w:rPr>
        <w:t>4.</w:t>
      </w:r>
      <w:r w:rsidRPr="00DF0805">
        <w:rPr>
          <w:rFonts w:eastAsia="MS Minngs" w:cs="Arial"/>
          <w:lang w:eastAsia="ja-JP"/>
        </w:rPr>
        <w:tab/>
        <w:t>Technical personnel are trained in the operation and maintenance of the equipment.</w:t>
      </w:r>
    </w:p>
    <w:p w:rsidR="00547F11" w:rsidRPr="00DF0805" w:rsidRDefault="00547F11" w:rsidP="00547F11">
      <w:pPr>
        <w:pStyle w:val="ECBodyText"/>
        <w:spacing w:before="120"/>
        <w:rPr>
          <w:rFonts w:eastAsia="MS Minngs" w:cs="Arial"/>
          <w:lang w:eastAsia="ja-JP"/>
        </w:rPr>
      </w:pPr>
      <w:r w:rsidRPr="00DF0805">
        <w:rPr>
          <w:rFonts w:eastAsia="MS Minngs" w:cs="Arial"/>
          <w:lang w:eastAsia="ja-JP"/>
        </w:rPr>
        <w:t>5.</w:t>
      </w:r>
      <w:r w:rsidRPr="00DF0805">
        <w:rPr>
          <w:rFonts w:eastAsia="MS Minngs" w:cs="Arial"/>
          <w:lang w:eastAsia="ja-JP"/>
        </w:rPr>
        <w:tab/>
        <w:t xml:space="preserve">For reference and integrated sites, there is </w:t>
      </w:r>
      <w:proofErr w:type="gramStart"/>
      <w:r w:rsidRPr="00DF0805">
        <w:rPr>
          <w:rFonts w:eastAsia="MS Minngs" w:cs="Arial"/>
          <w:lang w:eastAsia="ja-JP"/>
        </w:rPr>
        <w:t>an intent</w:t>
      </w:r>
      <w:proofErr w:type="gramEnd"/>
      <w:r w:rsidRPr="00DF0805">
        <w:rPr>
          <w:rFonts w:eastAsia="MS Minngs" w:cs="Arial"/>
          <w:lang w:eastAsia="ja-JP"/>
        </w:rPr>
        <w:t xml:space="preserve"> by the responsible agencies to sustain long-term observations of at least one of the CryoNet variables. For baseline sites the responsible agencies intend to support a long-term observing program.</w:t>
      </w:r>
    </w:p>
    <w:p w:rsidR="00547F11" w:rsidRPr="00DF0805" w:rsidRDefault="00547F11" w:rsidP="00547F11">
      <w:pPr>
        <w:pStyle w:val="ECBodyText"/>
        <w:spacing w:before="120"/>
        <w:rPr>
          <w:rFonts w:eastAsia="MS Minngs" w:cs="Arial"/>
          <w:lang w:eastAsia="ja-JP"/>
        </w:rPr>
      </w:pPr>
      <w:r w:rsidRPr="00DF0805">
        <w:rPr>
          <w:rFonts w:eastAsia="MS Minngs" w:cs="Arial"/>
          <w:lang w:eastAsia="ja-JP"/>
        </w:rPr>
        <w:t>6.</w:t>
      </w:r>
      <w:r w:rsidRPr="00DF0805">
        <w:rPr>
          <w:rFonts w:eastAsia="MS Minngs" w:cs="Arial"/>
          <w:lang w:eastAsia="ja-JP"/>
        </w:rPr>
        <w:tab/>
        <w:t>The relevant CryoNet observations are of documented quality. The measurements are made and quality controlled according to CryoNet agreed practices.</w:t>
      </w:r>
    </w:p>
    <w:p w:rsidR="00547F11" w:rsidRPr="00DF0805" w:rsidRDefault="00547F11" w:rsidP="00547F11">
      <w:pPr>
        <w:pStyle w:val="ECBodyText"/>
        <w:spacing w:before="120"/>
        <w:rPr>
          <w:rFonts w:eastAsia="MS Minngs" w:cs="Arial"/>
          <w:lang w:eastAsia="ja-JP"/>
        </w:rPr>
      </w:pPr>
      <w:r w:rsidRPr="00DF0805">
        <w:rPr>
          <w:rFonts w:eastAsia="MS Minngs" w:cs="Arial"/>
          <w:lang w:eastAsia="ja-JP"/>
        </w:rPr>
        <w:t>7.</w:t>
      </w:r>
      <w:r w:rsidRPr="00DF0805">
        <w:rPr>
          <w:rFonts w:eastAsia="MS Minngs" w:cs="Arial"/>
          <w:lang w:eastAsia="ja-JP"/>
        </w:rPr>
        <w:tab/>
        <w:t>Associated standard meteorological in situ observations, when necessary for the accurate determination and interpretation of the GCW variables, are made with documented quality.</w:t>
      </w:r>
    </w:p>
    <w:p w:rsidR="00547F11" w:rsidRPr="00DF0805" w:rsidRDefault="00547F11" w:rsidP="00547F11">
      <w:pPr>
        <w:pStyle w:val="ECBodyText"/>
        <w:spacing w:before="120"/>
        <w:rPr>
          <w:rFonts w:eastAsia="MS Minngs" w:cs="Arial"/>
          <w:lang w:eastAsia="ja-JP"/>
        </w:rPr>
      </w:pPr>
      <w:r w:rsidRPr="00DF0805">
        <w:rPr>
          <w:rFonts w:eastAsia="MS Minngs" w:cs="Arial"/>
          <w:lang w:eastAsia="ja-JP"/>
        </w:rPr>
        <w:t>8.</w:t>
      </w:r>
      <w:r w:rsidRPr="00DF0805">
        <w:rPr>
          <w:rFonts w:eastAsia="MS Minngs" w:cs="Arial"/>
          <w:lang w:eastAsia="ja-JP"/>
        </w:rPr>
        <w:tab/>
        <w:t>A station logbook for observations and activities that may affect observations is maintained and used in the data validation process.</w:t>
      </w:r>
    </w:p>
    <w:p w:rsidR="00547F11" w:rsidRPr="00DF0805" w:rsidRDefault="00547F11" w:rsidP="00547F11">
      <w:pPr>
        <w:pStyle w:val="ECBodyText"/>
        <w:spacing w:before="120"/>
        <w:rPr>
          <w:rFonts w:eastAsia="MS Minngs" w:cs="Arial"/>
          <w:lang w:eastAsia="ja-JP"/>
        </w:rPr>
      </w:pPr>
      <w:r w:rsidRPr="00DF0805">
        <w:rPr>
          <w:rFonts w:eastAsia="MS Minngs" w:cs="Arial"/>
          <w:lang w:eastAsia="ja-JP"/>
        </w:rPr>
        <w:t>9.</w:t>
      </w:r>
      <w:r w:rsidRPr="00DF0805">
        <w:rPr>
          <w:rFonts w:eastAsia="MS Minngs" w:cs="Arial"/>
          <w:lang w:eastAsia="ja-JP"/>
        </w:rPr>
        <w:tab/>
        <w:t xml:space="preserve">The data and metadata including changes in instrumentation, traceability, </w:t>
      </w:r>
      <w:proofErr w:type="gramStart"/>
      <w:r w:rsidRPr="00DF0805">
        <w:rPr>
          <w:rFonts w:eastAsia="MS Minngs" w:cs="Arial"/>
          <w:lang w:eastAsia="ja-JP"/>
        </w:rPr>
        <w:t>observation</w:t>
      </w:r>
      <w:proofErr w:type="gramEnd"/>
      <w:r w:rsidRPr="00DF0805">
        <w:rPr>
          <w:rFonts w:eastAsia="MS Minngs" w:cs="Arial"/>
          <w:lang w:eastAsia="ja-JP"/>
        </w:rPr>
        <w:t xml:space="preserve"> procedures are submitted to a data centre that is interoperable with the GCW portal in a timely manner.</w:t>
      </w:r>
    </w:p>
    <w:p w:rsidR="00547F11" w:rsidRPr="00DF0805" w:rsidRDefault="00547F11" w:rsidP="00547F11">
      <w:pPr>
        <w:pStyle w:val="ECBodyText"/>
        <w:spacing w:before="120"/>
        <w:rPr>
          <w:rFonts w:eastAsia="MS Minngs" w:cs="Arial"/>
          <w:lang w:eastAsia="ja-JP"/>
        </w:rPr>
      </w:pPr>
      <w:r w:rsidRPr="00DF0805">
        <w:rPr>
          <w:rFonts w:eastAsia="MS Minngs" w:cs="Arial"/>
          <w:lang w:eastAsia="ja-JP"/>
        </w:rPr>
        <w:t>10.</w:t>
      </w:r>
      <w:r w:rsidRPr="00DF0805">
        <w:rPr>
          <w:rFonts w:eastAsia="MS Minngs" w:cs="Arial"/>
          <w:lang w:eastAsia="ja-JP"/>
        </w:rPr>
        <w:tab/>
        <w:t>The station characteristics and observational programme information are kept up-to-date in the GCW station information database. Station metadata are also provided to the WMO Operational Information Resource (WIR) and maintained regularly</w:t>
      </w:r>
      <w:r>
        <w:rPr>
          <w:rFonts w:eastAsia="MS Minngs" w:cs="Arial"/>
          <w:lang w:eastAsia="ja-JP"/>
        </w:rPr>
        <w:t>.</w:t>
      </w:r>
    </w:p>
    <w:p w:rsidR="00547F11" w:rsidRDefault="00547F11" w:rsidP="00E57046">
      <w:pPr>
        <w:tabs>
          <w:tab w:val="left" w:pos="840"/>
        </w:tabs>
        <w:rPr>
          <w:rFonts w:cs="Arial"/>
          <w:szCs w:val="22"/>
        </w:rPr>
      </w:pPr>
    </w:p>
    <w:p w:rsidR="00547F11" w:rsidRDefault="00547F11" w:rsidP="00E57046">
      <w:pPr>
        <w:tabs>
          <w:tab w:val="left" w:pos="840"/>
        </w:tabs>
        <w:rPr>
          <w:rFonts w:cs="Arial"/>
          <w:szCs w:val="22"/>
        </w:rPr>
      </w:pPr>
    </w:p>
    <w:p w:rsidR="00547F11" w:rsidRDefault="00547F11" w:rsidP="00547F11">
      <w:pPr>
        <w:tabs>
          <w:tab w:val="left" w:pos="840"/>
        </w:tabs>
        <w:jc w:val="center"/>
        <w:rPr>
          <w:rFonts w:cs="Arial"/>
          <w:szCs w:val="22"/>
        </w:rPr>
      </w:pPr>
      <w:r>
        <w:rPr>
          <w:rFonts w:cs="Arial"/>
          <w:szCs w:val="22"/>
        </w:rPr>
        <w:t>_____________</w:t>
      </w:r>
    </w:p>
    <w:sectPr w:rsidR="00547F11" w:rsidSect="0050389B">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A4" w:rsidRDefault="005E28A4">
      <w:r>
        <w:separator/>
      </w:r>
    </w:p>
  </w:endnote>
  <w:endnote w:type="continuationSeparator" w:id="0">
    <w:p w:rsidR="005E28A4" w:rsidRDefault="005E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A4" w:rsidRDefault="005E28A4">
      <w:r>
        <w:separator/>
      </w:r>
    </w:p>
  </w:footnote>
  <w:footnote w:type="continuationSeparator" w:id="0">
    <w:p w:rsidR="005E28A4" w:rsidRDefault="005E28A4">
      <w:r>
        <w:continuationSeparator/>
      </w:r>
    </w:p>
  </w:footnote>
  <w:footnote w:id="1">
    <w:p w:rsidR="006B0BEB" w:rsidRPr="006B0BEB" w:rsidRDefault="006B0BEB">
      <w:pPr>
        <w:pStyle w:val="FootnoteText"/>
      </w:pPr>
      <w:r>
        <w:rPr>
          <w:rStyle w:val="FootnoteReference"/>
        </w:rPr>
        <w:footnoteRef/>
      </w:r>
      <w:r>
        <w:t xml:space="preserve"> </w:t>
      </w:r>
      <w:r w:rsidRPr="006B0BEB">
        <w:t xml:space="preserve">Generic concept of the </w:t>
      </w:r>
      <w:r w:rsidRPr="006B0BEB">
        <w:rPr>
          <w:i/>
        </w:rPr>
        <w:t>WMO Technical Regulations</w:t>
      </w:r>
      <w:r w:rsidRPr="006B0BEB">
        <w:t xml:space="preserve"> </w:t>
      </w:r>
      <w:r>
        <w:t xml:space="preserve">(WMO-No. 49) is presented in the </w:t>
      </w:r>
      <w:hyperlink w:anchor="Fig_1" w:history="1">
        <w:r w:rsidRPr="006B0BEB">
          <w:rPr>
            <w:rStyle w:val="Hyperlink"/>
          </w:rPr>
          <w:t>Figure</w:t>
        </w:r>
        <w:r>
          <w:rPr>
            <w:rStyle w:val="Hyperlink"/>
          </w:rPr>
          <w:t>s</w:t>
        </w:r>
        <w:r w:rsidRPr="006B0BEB">
          <w:rPr>
            <w:rStyle w:val="Hyperlink"/>
          </w:rPr>
          <w:t xml:space="preserve"> 1</w:t>
        </w:r>
      </w:hyperlink>
      <w:r>
        <w:t xml:space="preserve"> and 2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4E5BEB" w:rsidP="008C58EA">
    <w:pPr>
      <w:pStyle w:val="Header"/>
      <w:jc w:val="center"/>
      <w:rPr>
        <w:sz w:val="20"/>
        <w:szCs w:val="20"/>
        <w:lang w:val="fr-FR"/>
      </w:rPr>
    </w:pPr>
    <w:r>
      <w:rPr>
        <w:sz w:val="20"/>
        <w:szCs w:val="20"/>
        <w:lang w:val="fr-FR"/>
      </w:rPr>
      <w:t>CBS/OPAG-IOS/ET-EGOS-4/Doc. 2, APPENDIX</w:t>
    </w:r>
  </w:p>
  <w:p w:rsidR="004E5BEB" w:rsidRPr="008C58EA" w:rsidRDefault="004E5BEB" w:rsidP="008C58EA">
    <w:pPr>
      <w:pStyle w:val="Heade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EB4B89" w:rsidP="00702907">
    <w:pPr>
      <w:pStyle w:val="Header"/>
      <w:jc w:val="center"/>
      <w:rPr>
        <w:rStyle w:val="PageNumber"/>
        <w:sz w:val="20"/>
        <w:szCs w:val="20"/>
      </w:rPr>
    </w:pPr>
    <w:r>
      <w:rPr>
        <w:sz w:val="20"/>
        <w:szCs w:val="20"/>
      </w:rPr>
      <w:fldChar w:fldCharType="begin"/>
    </w:r>
    <w:r>
      <w:rPr>
        <w:sz w:val="20"/>
        <w:szCs w:val="20"/>
      </w:rPr>
      <w:instrText xml:space="preserve"> REF Meeting_Code \h </w:instrText>
    </w:r>
    <w:r>
      <w:rPr>
        <w:sz w:val="20"/>
        <w:szCs w:val="20"/>
      </w:rPr>
    </w:r>
    <w:r>
      <w:rPr>
        <w:sz w:val="20"/>
        <w:szCs w:val="20"/>
      </w:rPr>
      <w:fldChar w:fldCharType="separate"/>
    </w:r>
    <w:r w:rsidR="009E3F82">
      <w:rPr>
        <w:rFonts w:cs="Arial"/>
        <w:noProof/>
        <w:sz w:val="20"/>
        <w:szCs w:val="20"/>
      </w:rPr>
      <w:t>CBS/OPAG-IOS/OSDW2</w:t>
    </w:r>
    <w:r>
      <w:rPr>
        <w:sz w:val="20"/>
        <w:szCs w:val="20"/>
      </w:rPr>
      <w:fldChar w:fldCharType="end"/>
    </w:r>
    <w:r w:rsidR="004E5BEB" w:rsidRPr="00932E1C">
      <w:rPr>
        <w:sz w:val="20"/>
        <w:szCs w:val="20"/>
      </w:rPr>
      <w:t>/</w:t>
    </w:r>
    <w:r w:rsidR="004E5BEB">
      <w:rPr>
        <w:sz w:val="20"/>
        <w:szCs w:val="20"/>
        <w:lang w:val="fr-FR"/>
      </w:rPr>
      <w:fldChar w:fldCharType="begin"/>
    </w:r>
    <w:r w:rsidR="004E5BEB" w:rsidRPr="00932E1C">
      <w:rPr>
        <w:sz w:val="20"/>
        <w:szCs w:val="20"/>
      </w:rPr>
      <w:instrText xml:space="preserve"> REF DOC_NO </w:instrText>
    </w:r>
    <w:r w:rsidR="004E5BEB">
      <w:rPr>
        <w:sz w:val="20"/>
        <w:szCs w:val="20"/>
        <w:lang w:val="fr-FR"/>
      </w:rPr>
      <w:fldChar w:fldCharType="separate"/>
    </w:r>
    <w:r w:rsidR="009E3F82">
      <w:rPr>
        <w:rFonts w:cs="Arial"/>
        <w:noProof/>
        <w:sz w:val="20"/>
        <w:szCs w:val="20"/>
      </w:rPr>
      <w:t>Doc. 4</w:t>
    </w:r>
    <w:r w:rsidR="004E5BEB">
      <w:rPr>
        <w:sz w:val="20"/>
        <w:szCs w:val="20"/>
        <w:lang w:val="fr-FR"/>
      </w:rPr>
      <w:fldChar w:fldCharType="end"/>
    </w:r>
    <w:r w:rsidR="004E5BEB" w:rsidRPr="00932E1C">
      <w:rPr>
        <w:sz w:val="20"/>
        <w:szCs w:val="20"/>
      </w:rPr>
      <w:t xml:space="preserve">, p. </w:t>
    </w:r>
    <w:r w:rsidR="004E5BEB">
      <w:rPr>
        <w:rStyle w:val="PageNumber"/>
        <w:sz w:val="20"/>
        <w:szCs w:val="20"/>
      </w:rPr>
      <w:fldChar w:fldCharType="begin"/>
    </w:r>
    <w:r w:rsidR="004E5BEB" w:rsidRPr="00932E1C">
      <w:rPr>
        <w:rStyle w:val="PageNumber"/>
        <w:sz w:val="20"/>
        <w:szCs w:val="20"/>
      </w:rPr>
      <w:instrText xml:space="preserve"> PAGE </w:instrText>
    </w:r>
    <w:r w:rsidR="004E5BEB">
      <w:rPr>
        <w:rStyle w:val="PageNumber"/>
        <w:sz w:val="20"/>
        <w:szCs w:val="20"/>
      </w:rPr>
      <w:fldChar w:fldCharType="separate"/>
    </w:r>
    <w:r w:rsidR="009E3F82">
      <w:rPr>
        <w:rStyle w:val="PageNumber"/>
        <w:noProof/>
        <w:sz w:val="20"/>
        <w:szCs w:val="20"/>
      </w:rPr>
      <w:t>2</w:t>
    </w:r>
    <w:r w:rsidR="004E5BEB">
      <w:rPr>
        <w:rStyle w:val="PageNumber"/>
        <w:sz w:val="20"/>
        <w:szCs w:val="20"/>
      </w:rPr>
      <w:fldChar w:fldCharType="end"/>
    </w:r>
  </w:p>
  <w:p w:rsidR="004E5BEB" w:rsidRDefault="004E5BEB" w:rsidP="00FB5BF3">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4E5BEB" w:rsidP="00E57046">
    <w:pPr>
      <w:pStyle w:val="Header"/>
      <w:jc w:val="center"/>
      <w:rPr>
        <w:rStyle w:val="PageNumber"/>
        <w:sz w:val="20"/>
        <w:szCs w:val="20"/>
      </w:rPr>
    </w:pPr>
    <w:r>
      <w:rPr>
        <w:sz w:val="20"/>
        <w:szCs w:val="20"/>
        <w:lang w:val="fr-FR"/>
      </w:rPr>
      <w:fldChar w:fldCharType="begin"/>
    </w:r>
    <w:r w:rsidRPr="00932E1C">
      <w:rPr>
        <w:sz w:val="20"/>
        <w:szCs w:val="20"/>
      </w:rPr>
      <w:instrText xml:space="preserve"> REF Meeting_Code </w:instrText>
    </w:r>
    <w:r>
      <w:rPr>
        <w:sz w:val="20"/>
        <w:szCs w:val="20"/>
        <w:lang w:val="fr-FR"/>
      </w:rPr>
      <w:fldChar w:fldCharType="separate"/>
    </w:r>
    <w:r w:rsidR="009E3F82">
      <w:rPr>
        <w:rFonts w:cs="Arial"/>
        <w:noProof/>
        <w:sz w:val="20"/>
        <w:szCs w:val="20"/>
      </w:rPr>
      <w:t>CBS/OPAG-IOS/OSDW2</w:t>
    </w:r>
    <w:r>
      <w:rPr>
        <w:sz w:val="20"/>
        <w:szCs w:val="20"/>
        <w:lang w:val="fr-FR"/>
      </w:rPr>
      <w:fldChar w:fldCharType="end"/>
    </w:r>
    <w:r w:rsidRPr="00932E1C">
      <w:rPr>
        <w:sz w:val="20"/>
        <w:szCs w:val="20"/>
      </w:rPr>
      <w:t>/</w:t>
    </w:r>
    <w:r>
      <w:rPr>
        <w:sz w:val="20"/>
        <w:szCs w:val="20"/>
        <w:lang w:val="fr-FR"/>
      </w:rPr>
      <w:fldChar w:fldCharType="begin"/>
    </w:r>
    <w:r w:rsidRPr="00932E1C">
      <w:rPr>
        <w:sz w:val="20"/>
        <w:szCs w:val="20"/>
      </w:rPr>
      <w:instrText xml:space="preserve"> REF DOC_NO </w:instrText>
    </w:r>
    <w:r>
      <w:rPr>
        <w:sz w:val="20"/>
        <w:szCs w:val="20"/>
        <w:lang w:val="fr-FR"/>
      </w:rPr>
      <w:fldChar w:fldCharType="separate"/>
    </w:r>
    <w:r w:rsidR="009E3F82">
      <w:rPr>
        <w:rFonts w:cs="Arial"/>
        <w:noProof/>
        <w:sz w:val="20"/>
        <w:szCs w:val="20"/>
      </w:rPr>
      <w:t>Doc. 4</w:t>
    </w:r>
    <w:r>
      <w:rPr>
        <w:sz w:val="20"/>
        <w:szCs w:val="20"/>
        <w:lang w:val="fr-FR"/>
      </w:rPr>
      <w:fldChar w:fldCharType="end"/>
    </w:r>
    <w:r w:rsidRPr="00932E1C">
      <w:rPr>
        <w:sz w:val="20"/>
        <w:szCs w:val="20"/>
      </w:rPr>
      <w:t xml:space="preserve">, p. </w:t>
    </w:r>
    <w:r>
      <w:rPr>
        <w:rStyle w:val="PageNumber"/>
        <w:sz w:val="20"/>
        <w:szCs w:val="20"/>
      </w:rPr>
      <w:fldChar w:fldCharType="begin"/>
    </w:r>
    <w:r w:rsidRPr="00932E1C">
      <w:rPr>
        <w:rStyle w:val="PageNumber"/>
        <w:sz w:val="20"/>
        <w:szCs w:val="20"/>
      </w:rPr>
      <w:instrText xml:space="preserve"> PAGE </w:instrText>
    </w:r>
    <w:r>
      <w:rPr>
        <w:rStyle w:val="PageNumber"/>
        <w:sz w:val="20"/>
        <w:szCs w:val="20"/>
      </w:rPr>
      <w:fldChar w:fldCharType="separate"/>
    </w:r>
    <w:r w:rsidR="009E3F82">
      <w:rPr>
        <w:rStyle w:val="PageNumber"/>
        <w:noProof/>
        <w:sz w:val="20"/>
        <w:szCs w:val="20"/>
      </w:rPr>
      <w:t>9</w:t>
    </w:r>
    <w:r>
      <w:rPr>
        <w:rStyle w:val="PageNumber"/>
        <w:sz w:val="20"/>
        <w:szCs w:val="20"/>
      </w:rPr>
      <w:fldChar w:fldCharType="end"/>
    </w:r>
  </w:p>
  <w:p w:rsidR="004E5BEB" w:rsidRPr="001F5998" w:rsidRDefault="004E5BEB">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EB4B89" w:rsidP="00702907">
    <w:pPr>
      <w:pStyle w:val="Header"/>
      <w:jc w:val="center"/>
      <w:rPr>
        <w:rStyle w:val="PageNumber"/>
        <w:sz w:val="20"/>
        <w:szCs w:val="20"/>
      </w:rPr>
    </w:pPr>
    <w:r>
      <w:rPr>
        <w:sz w:val="20"/>
        <w:szCs w:val="20"/>
      </w:rPr>
      <w:fldChar w:fldCharType="begin"/>
    </w:r>
    <w:r>
      <w:rPr>
        <w:sz w:val="20"/>
        <w:szCs w:val="20"/>
      </w:rPr>
      <w:instrText xml:space="preserve"> REF Meeting_Code \h </w:instrText>
    </w:r>
    <w:r>
      <w:rPr>
        <w:sz w:val="20"/>
        <w:szCs w:val="20"/>
      </w:rPr>
    </w:r>
    <w:r>
      <w:rPr>
        <w:sz w:val="20"/>
        <w:szCs w:val="20"/>
      </w:rPr>
      <w:fldChar w:fldCharType="separate"/>
    </w:r>
    <w:r w:rsidR="009E3F82">
      <w:rPr>
        <w:rFonts w:cs="Arial"/>
        <w:noProof/>
        <w:sz w:val="20"/>
        <w:szCs w:val="20"/>
      </w:rPr>
      <w:t>CBS/OPAG-IOS/OSDW2</w:t>
    </w:r>
    <w:r>
      <w:rPr>
        <w:sz w:val="20"/>
        <w:szCs w:val="20"/>
      </w:rPr>
      <w:fldChar w:fldCharType="end"/>
    </w:r>
    <w:r w:rsidR="004E5BEB" w:rsidRPr="00932E1C">
      <w:rPr>
        <w:sz w:val="20"/>
        <w:szCs w:val="20"/>
      </w:rPr>
      <w:t>/</w:t>
    </w:r>
    <w:r w:rsidR="004E5BEB">
      <w:rPr>
        <w:sz w:val="20"/>
        <w:szCs w:val="20"/>
        <w:lang w:val="fr-FR"/>
      </w:rPr>
      <w:fldChar w:fldCharType="begin"/>
    </w:r>
    <w:r w:rsidR="004E5BEB" w:rsidRPr="00932E1C">
      <w:rPr>
        <w:sz w:val="20"/>
        <w:szCs w:val="20"/>
      </w:rPr>
      <w:instrText xml:space="preserve"> REF DOC_NO </w:instrText>
    </w:r>
    <w:r w:rsidR="004E5BEB">
      <w:rPr>
        <w:sz w:val="20"/>
        <w:szCs w:val="20"/>
        <w:lang w:val="fr-FR"/>
      </w:rPr>
      <w:fldChar w:fldCharType="separate"/>
    </w:r>
    <w:r w:rsidR="009E3F82">
      <w:rPr>
        <w:rFonts w:cs="Arial"/>
        <w:noProof/>
        <w:sz w:val="20"/>
        <w:szCs w:val="20"/>
      </w:rPr>
      <w:t>Doc. 4</w:t>
    </w:r>
    <w:r w:rsidR="004E5BEB">
      <w:rPr>
        <w:sz w:val="20"/>
        <w:szCs w:val="20"/>
        <w:lang w:val="fr-FR"/>
      </w:rPr>
      <w:fldChar w:fldCharType="end"/>
    </w:r>
    <w:r w:rsidR="004E5BEB" w:rsidRPr="00932E1C">
      <w:rPr>
        <w:sz w:val="20"/>
        <w:szCs w:val="20"/>
      </w:rPr>
      <w:t xml:space="preserve">, p. </w:t>
    </w:r>
    <w:r w:rsidR="004E5BEB">
      <w:rPr>
        <w:rStyle w:val="PageNumber"/>
        <w:sz w:val="20"/>
        <w:szCs w:val="20"/>
      </w:rPr>
      <w:fldChar w:fldCharType="begin"/>
    </w:r>
    <w:r w:rsidR="004E5BEB" w:rsidRPr="00932E1C">
      <w:rPr>
        <w:rStyle w:val="PageNumber"/>
        <w:sz w:val="20"/>
        <w:szCs w:val="20"/>
      </w:rPr>
      <w:instrText xml:space="preserve"> PAGE </w:instrText>
    </w:r>
    <w:r w:rsidR="004E5BEB">
      <w:rPr>
        <w:rStyle w:val="PageNumber"/>
        <w:sz w:val="20"/>
        <w:szCs w:val="20"/>
      </w:rPr>
      <w:fldChar w:fldCharType="separate"/>
    </w:r>
    <w:r w:rsidR="009E3F82">
      <w:rPr>
        <w:rStyle w:val="PageNumber"/>
        <w:noProof/>
        <w:sz w:val="20"/>
        <w:szCs w:val="20"/>
      </w:rPr>
      <w:t>10</w:t>
    </w:r>
    <w:r w:rsidR="004E5BEB">
      <w:rPr>
        <w:rStyle w:val="PageNumber"/>
        <w:sz w:val="20"/>
        <w:szCs w:val="20"/>
      </w:rPr>
      <w:fldChar w:fldCharType="end"/>
    </w:r>
  </w:p>
  <w:p w:rsidR="004E5BEB" w:rsidRPr="0050389B" w:rsidRDefault="004E5BEB" w:rsidP="0050389B">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F467AA8"/>
    <w:lvl w:ilvl="0">
      <w:start w:val="1"/>
      <w:numFmt w:val="bullet"/>
      <w:lvlText w:val=""/>
      <w:lvlJc w:val="left"/>
      <w:pPr>
        <w:tabs>
          <w:tab w:val="num" w:pos="926"/>
        </w:tabs>
        <w:ind w:left="926" w:hanging="360"/>
      </w:pPr>
      <w:rPr>
        <w:rFonts w:ascii="Symbol" w:hAnsi="Symbol" w:hint="default"/>
      </w:rPr>
    </w:lvl>
  </w:abstractNum>
  <w:abstractNum w:abstractNumId="1">
    <w:nsid w:val="027448A0"/>
    <w:multiLevelType w:val="hybridMultilevel"/>
    <w:tmpl w:val="C0E25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4A229B"/>
    <w:multiLevelType w:val="hybridMultilevel"/>
    <w:tmpl w:val="80F0EE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83A45CF"/>
    <w:multiLevelType w:val="hybridMultilevel"/>
    <w:tmpl w:val="9DAEA6C8"/>
    <w:lvl w:ilvl="0" w:tplc="593A66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C87FBF"/>
    <w:multiLevelType w:val="hybridMultilevel"/>
    <w:tmpl w:val="9B7696CC"/>
    <w:lvl w:ilvl="0" w:tplc="F54866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555ABC"/>
    <w:multiLevelType w:val="hybridMultilevel"/>
    <w:tmpl w:val="563CC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60AC4"/>
    <w:multiLevelType w:val="hybridMultilevel"/>
    <w:tmpl w:val="7C10F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7B04DD"/>
    <w:multiLevelType w:val="hybridMultilevel"/>
    <w:tmpl w:val="45982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772A83"/>
    <w:multiLevelType w:val="multilevel"/>
    <w:tmpl w:val="BFC09D7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5156F"/>
    <w:multiLevelType w:val="hybridMultilevel"/>
    <w:tmpl w:val="DD00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6A67C5"/>
    <w:multiLevelType w:val="hybridMultilevel"/>
    <w:tmpl w:val="66F2DB58"/>
    <w:lvl w:ilvl="0" w:tplc="769809FC">
      <w:start w:val="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nsid w:val="255E3A5B"/>
    <w:multiLevelType w:val="multilevel"/>
    <w:tmpl w:val="EC28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71D17"/>
    <w:multiLevelType w:val="multilevel"/>
    <w:tmpl w:val="4322E4F6"/>
    <w:lvl w:ilvl="0">
      <w:start w:val="6"/>
      <w:numFmt w:val="decimal"/>
      <w:pStyle w:val="ListBullet3"/>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F3B3681"/>
    <w:multiLevelType w:val="hybridMultilevel"/>
    <w:tmpl w:val="27BE1DCC"/>
    <w:lvl w:ilvl="0" w:tplc="CAEC5562">
      <w:start w:val="1"/>
      <w:numFmt w:val="lowerLetter"/>
      <w:lvlText w:val="(%1)"/>
      <w:lvlJc w:val="left"/>
      <w:pPr>
        <w:tabs>
          <w:tab w:val="num" w:pos="360"/>
        </w:tabs>
        <w:ind w:left="360" w:hanging="360"/>
      </w:pPr>
      <w:rPr>
        <w:rFonts w:eastAsia="MS Min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46423AF"/>
    <w:multiLevelType w:val="hybridMultilevel"/>
    <w:tmpl w:val="0096BBF0"/>
    <w:lvl w:ilvl="0" w:tplc="EE9A4B74">
      <w:start w:val="9"/>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nsid w:val="42457FFD"/>
    <w:multiLevelType w:val="multilevel"/>
    <w:tmpl w:val="7856FBDE"/>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37512BB"/>
    <w:multiLevelType w:val="hybridMultilevel"/>
    <w:tmpl w:val="B400D2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40666B2"/>
    <w:multiLevelType w:val="hybridMultilevel"/>
    <w:tmpl w:val="7856FBDE"/>
    <w:lvl w:ilvl="0" w:tplc="957EB1AA">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ADA60F8"/>
    <w:multiLevelType w:val="multilevel"/>
    <w:tmpl w:val="94C003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49A650C"/>
    <w:multiLevelType w:val="hybridMultilevel"/>
    <w:tmpl w:val="BED0CDD2"/>
    <w:lvl w:ilvl="0" w:tplc="6D42FF6E">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75F1C6F"/>
    <w:multiLevelType w:val="hybridMultilevel"/>
    <w:tmpl w:val="085C3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F3C3F41"/>
    <w:multiLevelType w:val="hybridMultilevel"/>
    <w:tmpl w:val="552AA2A2"/>
    <w:lvl w:ilvl="0" w:tplc="7C36BCC4">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3922386"/>
    <w:multiLevelType w:val="hybridMultilevel"/>
    <w:tmpl w:val="B7E2C664"/>
    <w:lvl w:ilvl="0" w:tplc="593A66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3F916FC"/>
    <w:multiLevelType w:val="multilevel"/>
    <w:tmpl w:val="BED0CDD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75276A0"/>
    <w:multiLevelType w:val="hybridMultilevel"/>
    <w:tmpl w:val="6CE27AB4"/>
    <w:lvl w:ilvl="0" w:tplc="08090001">
      <w:start w:val="1"/>
      <w:numFmt w:val="bullet"/>
      <w:pStyle w:val="Discuss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7783F26"/>
    <w:multiLevelType w:val="hybridMultilevel"/>
    <w:tmpl w:val="257A4698"/>
    <w:lvl w:ilvl="0" w:tplc="4AE81EC0">
      <w:start w:val="8"/>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68E90BED"/>
    <w:multiLevelType w:val="hybridMultilevel"/>
    <w:tmpl w:val="D76AA3B0"/>
    <w:lvl w:ilvl="0" w:tplc="3FC4D452">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7">
    <w:nsid w:val="6CDB49CA"/>
    <w:multiLevelType w:val="multilevel"/>
    <w:tmpl w:val="552AA2A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0443555"/>
    <w:multiLevelType w:val="multilevel"/>
    <w:tmpl w:val="65B8B570"/>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0E2D70"/>
    <w:multiLevelType w:val="singleLevel"/>
    <w:tmpl w:val="D4541942"/>
    <w:lvl w:ilvl="0">
      <w:start w:val="1"/>
      <w:numFmt w:val="decimal"/>
      <w:lvlText w:val="%1."/>
      <w:lvlJc w:val="left"/>
      <w:pPr>
        <w:tabs>
          <w:tab w:val="num" w:pos="360"/>
        </w:tabs>
        <w:ind w:left="0" w:firstLine="0"/>
      </w:pPr>
    </w:lvl>
  </w:abstractNum>
  <w:abstractNum w:abstractNumId="30">
    <w:nsid w:val="773E692E"/>
    <w:multiLevelType w:val="hybridMultilevel"/>
    <w:tmpl w:val="B94E7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9"/>
  </w:num>
  <w:num w:numId="3">
    <w:abstractNumId w:val="18"/>
  </w:num>
  <w:num w:numId="4">
    <w:abstractNumId w:val="12"/>
  </w:num>
  <w:num w:numId="5">
    <w:abstractNumId w:val="10"/>
  </w:num>
  <w:num w:numId="6">
    <w:abstractNumId w:val="24"/>
  </w:num>
  <w:num w:numId="7">
    <w:abstractNumId w:val="19"/>
  </w:num>
  <w:num w:numId="8">
    <w:abstractNumId w:val="23"/>
  </w:num>
  <w:num w:numId="9">
    <w:abstractNumId w:val="30"/>
  </w:num>
  <w:num w:numId="10">
    <w:abstractNumId w:val="6"/>
  </w:num>
  <w:num w:numId="11">
    <w:abstractNumId w:val="21"/>
  </w:num>
  <w:num w:numId="12">
    <w:abstractNumId w:val="27"/>
  </w:num>
  <w:num w:numId="13">
    <w:abstractNumId w:val="2"/>
  </w:num>
  <w:num w:numId="14">
    <w:abstractNumId w:val="5"/>
  </w:num>
  <w:num w:numId="15">
    <w:abstractNumId w:val="17"/>
  </w:num>
  <w:num w:numId="16">
    <w:abstractNumId w:val="15"/>
  </w:num>
  <w:num w:numId="17">
    <w:abstractNumId w:val="20"/>
  </w:num>
  <w:num w:numId="18">
    <w:abstractNumId w:val="28"/>
  </w:num>
  <w:num w:numId="19">
    <w:abstractNumId w:val="8"/>
  </w:num>
  <w:num w:numId="20">
    <w:abstractNumId w:val="14"/>
  </w:num>
  <w:num w:numId="21">
    <w:abstractNumId w:val="1"/>
  </w:num>
  <w:num w:numId="22">
    <w:abstractNumId w:val="25"/>
  </w:num>
  <w:num w:numId="23">
    <w:abstractNumId w:val="26"/>
  </w:num>
  <w:num w:numId="24">
    <w:abstractNumId w:val="3"/>
  </w:num>
  <w:num w:numId="25">
    <w:abstractNumId w:val="22"/>
  </w:num>
  <w:num w:numId="26">
    <w:abstractNumId w:val="13"/>
  </w:num>
  <w:num w:numId="27">
    <w:abstractNumId w:val="4"/>
  </w:num>
  <w:num w:numId="28">
    <w:abstractNumId w:val="9"/>
  </w:num>
  <w:num w:numId="29">
    <w:abstractNumId w:val="16"/>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9E"/>
    <w:rsid w:val="00011B66"/>
    <w:rsid w:val="0005071C"/>
    <w:rsid w:val="000836A4"/>
    <w:rsid w:val="000C567B"/>
    <w:rsid w:val="000E13F0"/>
    <w:rsid w:val="000F61F4"/>
    <w:rsid w:val="0010673C"/>
    <w:rsid w:val="001157D7"/>
    <w:rsid w:val="001264D1"/>
    <w:rsid w:val="00141541"/>
    <w:rsid w:val="00155D7B"/>
    <w:rsid w:val="00170632"/>
    <w:rsid w:val="00174745"/>
    <w:rsid w:val="001828FD"/>
    <w:rsid w:val="001970F6"/>
    <w:rsid w:val="001B4B16"/>
    <w:rsid w:val="001F1417"/>
    <w:rsid w:val="0021568D"/>
    <w:rsid w:val="002330BA"/>
    <w:rsid w:val="00233249"/>
    <w:rsid w:val="00234405"/>
    <w:rsid w:val="00272029"/>
    <w:rsid w:val="00272592"/>
    <w:rsid w:val="00272A3A"/>
    <w:rsid w:val="002964F4"/>
    <w:rsid w:val="002D39CA"/>
    <w:rsid w:val="003013F3"/>
    <w:rsid w:val="00301DCD"/>
    <w:rsid w:val="00302BA0"/>
    <w:rsid w:val="00303685"/>
    <w:rsid w:val="0030467C"/>
    <w:rsid w:val="0031135E"/>
    <w:rsid w:val="003376F8"/>
    <w:rsid w:val="0034758D"/>
    <w:rsid w:val="00360AC8"/>
    <w:rsid w:val="003657D1"/>
    <w:rsid w:val="00373A7B"/>
    <w:rsid w:val="003A1B44"/>
    <w:rsid w:val="003A2C44"/>
    <w:rsid w:val="003F296A"/>
    <w:rsid w:val="00407EAE"/>
    <w:rsid w:val="004120ED"/>
    <w:rsid w:val="00420AC5"/>
    <w:rsid w:val="00427B36"/>
    <w:rsid w:val="00460533"/>
    <w:rsid w:val="00481DD9"/>
    <w:rsid w:val="004970AA"/>
    <w:rsid w:val="004E5BEB"/>
    <w:rsid w:val="0050389B"/>
    <w:rsid w:val="00517469"/>
    <w:rsid w:val="00523204"/>
    <w:rsid w:val="0053715C"/>
    <w:rsid w:val="00547F11"/>
    <w:rsid w:val="00555D19"/>
    <w:rsid w:val="00562B6F"/>
    <w:rsid w:val="005B0343"/>
    <w:rsid w:val="005B3F6A"/>
    <w:rsid w:val="005C3061"/>
    <w:rsid w:val="005C3F53"/>
    <w:rsid w:val="005E14D9"/>
    <w:rsid w:val="005E28A4"/>
    <w:rsid w:val="005E619E"/>
    <w:rsid w:val="00614F75"/>
    <w:rsid w:val="006167F0"/>
    <w:rsid w:val="00656237"/>
    <w:rsid w:val="00662D87"/>
    <w:rsid w:val="00674D18"/>
    <w:rsid w:val="006A0AFA"/>
    <w:rsid w:val="006A7C21"/>
    <w:rsid w:val="006B0BEB"/>
    <w:rsid w:val="006C5C1C"/>
    <w:rsid w:val="006C6C67"/>
    <w:rsid w:val="006E25CF"/>
    <w:rsid w:val="006F1E80"/>
    <w:rsid w:val="00701B1B"/>
    <w:rsid w:val="00702907"/>
    <w:rsid w:val="00704901"/>
    <w:rsid w:val="00723E4F"/>
    <w:rsid w:val="007315A0"/>
    <w:rsid w:val="00732333"/>
    <w:rsid w:val="00740DDC"/>
    <w:rsid w:val="0074657E"/>
    <w:rsid w:val="00756B4F"/>
    <w:rsid w:val="00757818"/>
    <w:rsid w:val="00757C3D"/>
    <w:rsid w:val="007875FC"/>
    <w:rsid w:val="007A3EA0"/>
    <w:rsid w:val="00826352"/>
    <w:rsid w:val="00826CDD"/>
    <w:rsid w:val="00834E5F"/>
    <w:rsid w:val="008406A3"/>
    <w:rsid w:val="0084326F"/>
    <w:rsid w:val="00853523"/>
    <w:rsid w:val="0088061D"/>
    <w:rsid w:val="00883789"/>
    <w:rsid w:val="008A0229"/>
    <w:rsid w:val="008A303A"/>
    <w:rsid w:val="008B07EA"/>
    <w:rsid w:val="008C58EA"/>
    <w:rsid w:val="008D563E"/>
    <w:rsid w:val="00926415"/>
    <w:rsid w:val="00932E1C"/>
    <w:rsid w:val="00937655"/>
    <w:rsid w:val="009473FB"/>
    <w:rsid w:val="0095371D"/>
    <w:rsid w:val="009817D8"/>
    <w:rsid w:val="00990FF3"/>
    <w:rsid w:val="009B4E72"/>
    <w:rsid w:val="009C3BA7"/>
    <w:rsid w:val="009E3F82"/>
    <w:rsid w:val="00A10E65"/>
    <w:rsid w:val="00A24CAB"/>
    <w:rsid w:val="00A41D77"/>
    <w:rsid w:val="00A47F2D"/>
    <w:rsid w:val="00A50518"/>
    <w:rsid w:val="00A54D75"/>
    <w:rsid w:val="00A675AA"/>
    <w:rsid w:val="00AA05BA"/>
    <w:rsid w:val="00AB3696"/>
    <w:rsid w:val="00AB548F"/>
    <w:rsid w:val="00AD08D5"/>
    <w:rsid w:val="00AF228B"/>
    <w:rsid w:val="00B50EC0"/>
    <w:rsid w:val="00B71A50"/>
    <w:rsid w:val="00B85012"/>
    <w:rsid w:val="00B90D2B"/>
    <w:rsid w:val="00BA4E18"/>
    <w:rsid w:val="00BA6334"/>
    <w:rsid w:val="00C0356A"/>
    <w:rsid w:val="00C35EBD"/>
    <w:rsid w:val="00C3604F"/>
    <w:rsid w:val="00C46950"/>
    <w:rsid w:val="00C74514"/>
    <w:rsid w:val="00C87D44"/>
    <w:rsid w:val="00CA789A"/>
    <w:rsid w:val="00CB7F3C"/>
    <w:rsid w:val="00CC013B"/>
    <w:rsid w:val="00CC6AAE"/>
    <w:rsid w:val="00CE04CA"/>
    <w:rsid w:val="00D02C1D"/>
    <w:rsid w:val="00D5649F"/>
    <w:rsid w:val="00D576F0"/>
    <w:rsid w:val="00D608B5"/>
    <w:rsid w:val="00D61852"/>
    <w:rsid w:val="00D86621"/>
    <w:rsid w:val="00D90999"/>
    <w:rsid w:val="00DA3450"/>
    <w:rsid w:val="00DB24E1"/>
    <w:rsid w:val="00DD1522"/>
    <w:rsid w:val="00DE238A"/>
    <w:rsid w:val="00DE4938"/>
    <w:rsid w:val="00DF059A"/>
    <w:rsid w:val="00E01E47"/>
    <w:rsid w:val="00E422DF"/>
    <w:rsid w:val="00E57046"/>
    <w:rsid w:val="00E655C9"/>
    <w:rsid w:val="00E952A1"/>
    <w:rsid w:val="00EB3A20"/>
    <w:rsid w:val="00EB4B89"/>
    <w:rsid w:val="00ED00CF"/>
    <w:rsid w:val="00ED1EC6"/>
    <w:rsid w:val="00EE2DA5"/>
    <w:rsid w:val="00EF215B"/>
    <w:rsid w:val="00F01676"/>
    <w:rsid w:val="00F16028"/>
    <w:rsid w:val="00F429AD"/>
    <w:rsid w:val="00F516EF"/>
    <w:rsid w:val="00F629AF"/>
    <w:rsid w:val="00F73098"/>
    <w:rsid w:val="00F737DC"/>
    <w:rsid w:val="00F82494"/>
    <w:rsid w:val="00FB5BF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u w:val="single"/>
      <w:lang w:val="en-US"/>
    </w:rPr>
  </w:style>
  <w:style w:type="paragraph" w:styleId="Heading3">
    <w:name w:val="heading 3"/>
    <w:basedOn w:val="Normal"/>
    <w:next w:val="Normal"/>
    <w:qFormat/>
    <w:pPr>
      <w:keepNext/>
      <w:jc w:val="center"/>
      <w:outlineLvl w:val="2"/>
    </w:pPr>
    <w:rPr>
      <w:b/>
      <w:bCs/>
      <w:sz w:val="20"/>
      <w:szCs w:val="20"/>
      <w:lang w:val="en-US"/>
    </w:rPr>
  </w:style>
  <w:style w:type="paragraph" w:styleId="Heading5">
    <w:name w:val="heading 5"/>
    <w:basedOn w:val="Normal"/>
    <w:next w:val="Normal"/>
    <w:qFormat/>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851"/>
        <w:tab w:val="center" w:pos="4153"/>
        <w:tab w:val="right" w:pos="8306"/>
      </w:tabs>
    </w:pPr>
    <w:rPr>
      <w:rFonts w:eastAsia="Times New Roman"/>
      <w:szCs w:val="22"/>
      <w:lang w:val="en-US" w:eastAsia="en-US"/>
    </w:rPr>
  </w:style>
  <w:style w:type="paragraph" w:styleId="Footer">
    <w:name w:val="footer"/>
    <w:basedOn w:val="BodyText"/>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pPr>
      <w:spacing w:after="120"/>
    </w:pPr>
  </w:style>
  <w:style w:type="paragraph" w:styleId="BlockText">
    <w:name w:val="Block Text"/>
    <w:basedOn w:val="Normal"/>
    <w:pPr>
      <w:tabs>
        <w:tab w:val="left" w:pos="8789"/>
      </w:tabs>
      <w:ind w:left="851" w:right="283"/>
      <w:jc w:val="both"/>
    </w:pPr>
    <w:rPr>
      <w:rFonts w:eastAsia="Times New Roman" w:cs="Arial"/>
      <w:szCs w:val="22"/>
      <w:lang w:eastAsia="fr-FR"/>
    </w:rPr>
  </w:style>
  <w:style w:type="paragraph" w:styleId="BodyText2">
    <w:name w:val="Body Text 2"/>
    <w:basedOn w:val="Normal"/>
    <w:pPr>
      <w:jc w:val="center"/>
    </w:pPr>
    <w:rPr>
      <w:b/>
      <w:bCs/>
      <w:lang w:val="en-US"/>
    </w:rPr>
  </w:style>
  <w:style w:type="character" w:styleId="PageNumber">
    <w:name w:val="page number"/>
    <w:basedOn w:val="DefaultParagraphFont"/>
  </w:style>
  <w:style w:type="paragraph" w:styleId="BodyText3">
    <w:name w:val="Body Text 3"/>
    <w:basedOn w:val="Normal"/>
    <w:pPr>
      <w:tabs>
        <w:tab w:val="num" w:pos="720"/>
      </w:tabs>
      <w:jc w:val="both"/>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rsid w:val="00C0356A"/>
    <w:rPr>
      <w:rFonts w:ascii="Times New Roman" w:eastAsia="Times New Roman" w:hAnsi="Times New Roman"/>
      <w:sz w:val="24"/>
      <w:lang w:val="pl-PL" w:eastAsia="pl-PL"/>
    </w:rPr>
  </w:style>
  <w:style w:type="paragraph" w:customStyle="1" w:styleId="CharCharChar">
    <w:name w:val="Char Char Char"/>
    <w:basedOn w:val="Normal"/>
    <w:rsid w:val="00E57046"/>
    <w:rPr>
      <w:rFonts w:ascii="Times New Roman" w:eastAsia="Times New Roman" w:hAnsi="Times New Roman"/>
      <w:sz w:val="24"/>
      <w:lang w:val="pl-PL" w:eastAsia="pl-PL"/>
    </w:rPr>
  </w:style>
  <w:style w:type="paragraph" w:customStyle="1" w:styleId="ECBodyText">
    <w:name w:val="EC_BodyText"/>
    <w:basedOn w:val="Normal"/>
    <w:link w:val="ECBodyTextChar"/>
    <w:uiPriority w:val="99"/>
    <w:rsid w:val="00853523"/>
    <w:pPr>
      <w:tabs>
        <w:tab w:val="left" w:pos="1080"/>
      </w:tabs>
      <w:spacing w:before="240"/>
      <w:jc w:val="both"/>
    </w:pPr>
    <w:rPr>
      <w:rFonts w:eastAsia="MS ??"/>
      <w:szCs w:val="20"/>
      <w:lang w:eastAsia="en-US"/>
    </w:rPr>
  </w:style>
  <w:style w:type="character" w:customStyle="1" w:styleId="ECBodyTextChar">
    <w:name w:val="EC_BodyText Char"/>
    <w:link w:val="ECBodyText"/>
    <w:uiPriority w:val="99"/>
    <w:locked/>
    <w:rsid w:val="00853523"/>
    <w:rPr>
      <w:rFonts w:ascii="Arial" w:eastAsia="MS ??" w:hAnsi="Arial"/>
      <w:sz w:val="22"/>
      <w:lang w:eastAsia="en-US"/>
    </w:rPr>
  </w:style>
  <w:style w:type="paragraph" w:styleId="ListParagraph">
    <w:name w:val="List Paragraph"/>
    <w:basedOn w:val="Normal"/>
    <w:uiPriority w:val="72"/>
    <w:qFormat/>
    <w:rsid w:val="000E13F0"/>
    <w:pPr>
      <w:ind w:left="720"/>
      <w:contextualSpacing/>
    </w:pPr>
  </w:style>
  <w:style w:type="paragraph" w:customStyle="1" w:styleId="AAAAnnextext">
    <w:name w:val="AAA Annex_text"/>
    <w:basedOn w:val="ECBodyText"/>
    <w:qFormat/>
    <w:rsid w:val="000E13F0"/>
    <w:pPr>
      <w:tabs>
        <w:tab w:val="clear" w:pos="1080"/>
        <w:tab w:val="left" w:pos="720"/>
      </w:tabs>
      <w:jc w:val="left"/>
    </w:pPr>
    <w:rPr>
      <w:rFonts w:eastAsia="Times New Roman" w:cs="Arial"/>
      <w:szCs w:val="22"/>
    </w:rPr>
  </w:style>
  <w:style w:type="paragraph" w:customStyle="1" w:styleId="AAAAnnexheading1">
    <w:name w:val="AAA Annex heading 1."/>
    <w:basedOn w:val="Normal"/>
    <w:qFormat/>
    <w:rsid w:val="000E13F0"/>
    <w:pPr>
      <w:widowControl w:val="0"/>
      <w:suppressAutoHyphens/>
      <w:spacing w:before="240"/>
      <w:ind w:left="720" w:hanging="720"/>
      <w:outlineLvl w:val="0"/>
    </w:pPr>
    <w:rPr>
      <w:rFonts w:ascii="Arial Bold" w:eastAsia="MS PGothic" w:hAnsi="Arial Bold"/>
      <w:bCs/>
      <w:kern w:val="36"/>
      <w:szCs w:val="22"/>
      <w:lang w:val="en-US" w:eastAsia="en-US"/>
    </w:rPr>
  </w:style>
  <w:style w:type="paragraph" w:customStyle="1" w:styleId="WMOBodyText">
    <w:name w:val="WMO_BodyText"/>
    <w:basedOn w:val="Normal"/>
    <w:link w:val="WMOBodyTextCharChar"/>
    <w:uiPriority w:val="99"/>
    <w:rsid w:val="00990FF3"/>
    <w:pPr>
      <w:tabs>
        <w:tab w:val="left" w:pos="1134"/>
      </w:tabs>
      <w:spacing w:before="240"/>
    </w:pPr>
    <w:rPr>
      <w:rFonts w:eastAsia="MS ??"/>
      <w:szCs w:val="20"/>
      <w:lang w:eastAsia="en-US"/>
    </w:rPr>
  </w:style>
  <w:style w:type="character" w:customStyle="1" w:styleId="WMOBodyTextCharChar">
    <w:name w:val="WMO_BodyText Char Char"/>
    <w:link w:val="WMOBodyText"/>
    <w:uiPriority w:val="99"/>
    <w:locked/>
    <w:rsid w:val="00990FF3"/>
    <w:rPr>
      <w:rFonts w:ascii="Arial" w:eastAsia="MS ??" w:hAnsi="Arial"/>
      <w:sz w:val="22"/>
      <w:lang w:eastAsia="en-US"/>
    </w:rPr>
  </w:style>
  <w:style w:type="paragraph" w:styleId="FootnoteText">
    <w:name w:val="footnote text"/>
    <w:basedOn w:val="Normal"/>
    <w:link w:val="FootnoteTextChar"/>
    <w:rsid w:val="006B0BEB"/>
    <w:rPr>
      <w:sz w:val="20"/>
      <w:szCs w:val="20"/>
    </w:rPr>
  </w:style>
  <w:style w:type="character" w:customStyle="1" w:styleId="FootnoteTextChar">
    <w:name w:val="Footnote Text Char"/>
    <w:basedOn w:val="DefaultParagraphFont"/>
    <w:link w:val="FootnoteText"/>
    <w:rsid w:val="006B0BEB"/>
    <w:rPr>
      <w:rFonts w:ascii="Arial" w:hAnsi="Arial"/>
      <w:lang w:eastAsia="zh-CN"/>
    </w:rPr>
  </w:style>
  <w:style w:type="character" w:styleId="FootnoteReference">
    <w:name w:val="footnote reference"/>
    <w:basedOn w:val="DefaultParagraphFont"/>
    <w:rsid w:val="006B0BEB"/>
    <w:rPr>
      <w:vertAlign w:val="superscript"/>
    </w:rPr>
  </w:style>
  <w:style w:type="character" w:styleId="FollowedHyperlink">
    <w:name w:val="FollowedHyperlink"/>
    <w:basedOn w:val="DefaultParagraphFont"/>
    <w:rsid w:val="006B0BEB"/>
    <w:rPr>
      <w:color w:val="800080" w:themeColor="followedHyperlink"/>
      <w:u w:val="single"/>
    </w:rPr>
  </w:style>
  <w:style w:type="character" w:customStyle="1" w:styleId="apple-converted-space">
    <w:name w:val="apple-converted-space"/>
    <w:basedOn w:val="DefaultParagraphFont"/>
    <w:rsid w:val="00547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u w:val="single"/>
      <w:lang w:val="en-US"/>
    </w:rPr>
  </w:style>
  <w:style w:type="paragraph" w:styleId="Heading3">
    <w:name w:val="heading 3"/>
    <w:basedOn w:val="Normal"/>
    <w:next w:val="Normal"/>
    <w:qFormat/>
    <w:pPr>
      <w:keepNext/>
      <w:jc w:val="center"/>
      <w:outlineLvl w:val="2"/>
    </w:pPr>
    <w:rPr>
      <w:b/>
      <w:bCs/>
      <w:sz w:val="20"/>
      <w:szCs w:val="20"/>
      <w:lang w:val="en-US"/>
    </w:rPr>
  </w:style>
  <w:style w:type="paragraph" w:styleId="Heading5">
    <w:name w:val="heading 5"/>
    <w:basedOn w:val="Normal"/>
    <w:next w:val="Normal"/>
    <w:qFormat/>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851"/>
        <w:tab w:val="center" w:pos="4153"/>
        <w:tab w:val="right" w:pos="8306"/>
      </w:tabs>
    </w:pPr>
    <w:rPr>
      <w:rFonts w:eastAsia="Times New Roman"/>
      <w:szCs w:val="22"/>
      <w:lang w:val="en-US" w:eastAsia="en-US"/>
    </w:rPr>
  </w:style>
  <w:style w:type="paragraph" w:styleId="Footer">
    <w:name w:val="footer"/>
    <w:basedOn w:val="BodyText"/>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pPr>
      <w:spacing w:after="120"/>
    </w:pPr>
  </w:style>
  <w:style w:type="paragraph" w:styleId="BlockText">
    <w:name w:val="Block Text"/>
    <w:basedOn w:val="Normal"/>
    <w:pPr>
      <w:tabs>
        <w:tab w:val="left" w:pos="8789"/>
      </w:tabs>
      <w:ind w:left="851" w:right="283"/>
      <w:jc w:val="both"/>
    </w:pPr>
    <w:rPr>
      <w:rFonts w:eastAsia="Times New Roman" w:cs="Arial"/>
      <w:szCs w:val="22"/>
      <w:lang w:eastAsia="fr-FR"/>
    </w:rPr>
  </w:style>
  <w:style w:type="paragraph" w:styleId="BodyText2">
    <w:name w:val="Body Text 2"/>
    <w:basedOn w:val="Normal"/>
    <w:pPr>
      <w:jc w:val="center"/>
    </w:pPr>
    <w:rPr>
      <w:b/>
      <w:bCs/>
      <w:lang w:val="en-US"/>
    </w:rPr>
  </w:style>
  <w:style w:type="character" w:styleId="PageNumber">
    <w:name w:val="page number"/>
    <w:basedOn w:val="DefaultParagraphFont"/>
  </w:style>
  <w:style w:type="paragraph" w:styleId="BodyText3">
    <w:name w:val="Body Text 3"/>
    <w:basedOn w:val="Normal"/>
    <w:pPr>
      <w:tabs>
        <w:tab w:val="num" w:pos="720"/>
      </w:tabs>
      <w:jc w:val="both"/>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rsid w:val="00C0356A"/>
    <w:rPr>
      <w:rFonts w:ascii="Times New Roman" w:eastAsia="Times New Roman" w:hAnsi="Times New Roman"/>
      <w:sz w:val="24"/>
      <w:lang w:val="pl-PL" w:eastAsia="pl-PL"/>
    </w:rPr>
  </w:style>
  <w:style w:type="paragraph" w:customStyle="1" w:styleId="CharCharChar">
    <w:name w:val="Char Char Char"/>
    <w:basedOn w:val="Normal"/>
    <w:rsid w:val="00E57046"/>
    <w:rPr>
      <w:rFonts w:ascii="Times New Roman" w:eastAsia="Times New Roman" w:hAnsi="Times New Roman"/>
      <w:sz w:val="24"/>
      <w:lang w:val="pl-PL" w:eastAsia="pl-PL"/>
    </w:rPr>
  </w:style>
  <w:style w:type="paragraph" w:customStyle="1" w:styleId="ECBodyText">
    <w:name w:val="EC_BodyText"/>
    <w:basedOn w:val="Normal"/>
    <w:link w:val="ECBodyTextChar"/>
    <w:uiPriority w:val="99"/>
    <w:rsid w:val="00853523"/>
    <w:pPr>
      <w:tabs>
        <w:tab w:val="left" w:pos="1080"/>
      </w:tabs>
      <w:spacing w:before="240"/>
      <w:jc w:val="both"/>
    </w:pPr>
    <w:rPr>
      <w:rFonts w:eastAsia="MS ??"/>
      <w:szCs w:val="20"/>
      <w:lang w:eastAsia="en-US"/>
    </w:rPr>
  </w:style>
  <w:style w:type="character" w:customStyle="1" w:styleId="ECBodyTextChar">
    <w:name w:val="EC_BodyText Char"/>
    <w:link w:val="ECBodyText"/>
    <w:uiPriority w:val="99"/>
    <w:locked/>
    <w:rsid w:val="00853523"/>
    <w:rPr>
      <w:rFonts w:ascii="Arial" w:eastAsia="MS ??" w:hAnsi="Arial"/>
      <w:sz w:val="22"/>
      <w:lang w:eastAsia="en-US"/>
    </w:rPr>
  </w:style>
  <w:style w:type="paragraph" w:styleId="ListParagraph">
    <w:name w:val="List Paragraph"/>
    <w:basedOn w:val="Normal"/>
    <w:uiPriority w:val="72"/>
    <w:qFormat/>
    <w:rsid w:val="000E13F0"/>
    <w:pPr>
      <w:ind w:left="720"/>
      <w:contextualSpacing/>
    </w:pPr>
  </w:style>
  <w:style w:type="paragraph" w:customStyle="1" w:styleId="AAAAnnextext">
    <w:name w:val="AAA Annex_text"/>
    <w:basedOn w:val="ECBodyText"/>
    <w:qFormat/>
    <w:rsid w:val="000E13F0"/>
    <w:pPr>
      <w:tabs>
        <w:tab w:val="clear" w:pos="1080"/>
        <w:tab w:val="left" w:pos="720"/>
      </w:tabs>
      <w:jc w:val="left"/>
    </w:pPr>
    <w:rPr>
      <w:rFonts w:eastAsia="Times New Roman" w:cs="Arial"/>
      <w:szCs w:val="22"/>
    </w:rPr>
  </w:style>
  <w:style w:type="paragraph" w:customStyle="1" w:styleId="AAAAnnexheading1">
    <w:name w:val="AAA Annex heading 1."/>
    <w:basedOn w:val="Normal"/>
    <w:qFormat/>
    <w:rsid w:val="000E13F0"/>
    <w:pPr>
      <w:widowControl w:val="0"/>
      <w:suppressAutoHyphens/>
      <w:spacing w:before="240"/>
      <w:ind w:left="720" w:hanging="720"/>
      <w:outlineLvl w:val="0"/>
    </w:pPr>
    <w:rPr>
      <w:rFonts w:ascii="Arial Bold" w:eastAsia="MS PGothic" w:hAnsi="Arial Bold"/>
      <w:bCs/>
      <w:kern w:val="36"/>
      <w:szCs w:val="22"/>
      <w:lang w:val="en-US" w:eastAsia="en-US"/>
    </w:rPr>
  </w:style>
  <w:style w:type="paragraph" w:customStyle="1" w:styleId="WMOBodyText">
    <w:name w:val="WMO_BodyText"/>
    <w:basedOn w:val="Normal"/>
    <w:link w:val="WMOBodyTextCharChar"/>
    <w:uiPriority w:val="99"/>
    <w:rsid w:val="00990FF3"/>
    <w:pPr>
      <w:tabs>
        <w:tab w:val="left" w:pos="1134"/>
      </w:tabs>
      <w:spacing w:before="240"/>
    </w:pPr>
    <w:rPr>
      <w:rFonts w:eastAsia="MS ??"/>
      <w:szCs w:val="20"/>
      <w:lang w:eastAsia="en-US"/>
    </w:rPr>
  </w:style>
  <w:style w:type="character" w:customStyle="1" w:styleId="WMOBodyTextCharChar">
    <w:name w:val="WMO_BodyText Char Char"/>
    <w:link w:val="WMOBodyText"/>
    <w:uiPriority w:val="99"/>
    <w:locked/>
    <w:rsid w:val="00990FF3"/>
    <w:rPr>
      <w:rFonts w:ascii="Arial" w:eastAsia="MS ??" w:hAnsi="Arial"/>
      <w:sz w:val="22"/>
      <w:lang w:eastAsia="en-US"/>
    </w:rPr>
  </w:style>
  <w:style w:type="paragraph" w:styleId="FootnoteText">
    <w:name w:val="footnote text"/>
    <w:basedOn w:val="Normal"/>
    <w:link w:val="FootnoteTextChar"/>
    <w:rsid w:val="006B0BEB"/>
    <w:rPr>
      <w:sz w:val="20"/>
      <w:szCs w:val="20"/>
    </w:rPr>
  </w:style>
  <w:style w:type="character" w:customStyle="1" w:styleId="FootnoteTextChar">
    <w:name w:val="Footnote Text Char"/>
    <w:basedOn w:val="DefaultParagraphFont"/>
    <w:link w:val="FootnoteText"/>
    <w:rsid w:val="006B0BEB"/>
    <w:rPr>
      <w:rFonts w:ascii="Arial" w:hAnsi="Arial"/>
      <w:lang w:eastAsia="zh-CN"/>
    </w:rPr>
  </w:style>
  <w:style w:type="character" w:styleId="FootnoteReference">
    <w:name w:val="footnote reference"/>
    <w:basedOn w:val="DefaultParagraphFont"/>
    <w:rsid w:val="006B0BEB"/>
    <w:rPr>
      <w:vertAlign w:val="superscript"/>
    </w:rPr>
  </w:style>
  <w:style w:type="character" w:styleId="FollowedHyperlink">
    <w:name w:val="FollowedHyperlink"/>
    <w:basedOn w:val="DefaultParagraphFont"/>
    <w:rsid w:val="006B0BEB"/>
    <w:rPr>
      <w:color w:val="800080" w:themeColor="followedHyperlink"/>
      <w:u w:val="single"/>
    </w:rPr>
  </w:style>
  <w:style w:type="character" w:customStyle="1" w:styleId="apple-converted-space">
    <w:name w:val="apple-converted-space"/>
    <w:basedOn w:val="DefaultParagraphFont"/>
    <w:rsid w:val="0054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mo.int/pages/prog/www/OSY/Meetings/IPET-OSDE1/documents/IPET-OSDE1-Doc-10.1-OSDW1-workshop.pdf" TargetMode="Externa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wmo.int/opac/index.php?lvl=notice_display&amp;id=1587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wmo.int/opac/index.php?lvl=notice_display&amp;id=14073"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wmo.int/pages/prog/www/wigos/TT-WR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mo.int/pages/prog/www/wigos/WRM.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Meetings\CBS\IPET-OSDE-EGOS\IPET-OSDE\OSDW2%20Geneva%20February%202015\docs\templates\OSDW2-Doc-x.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OSDW2-Doc-x.y-Title.dotx</Template>
  <TotalTime>222</TotalTime>
  <Pages>10</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OSDW2/Doc. 4</vt:lpstr>
    </vt:vector>
  </TitlesOfParts>
  <Company>WMO</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OSDW2/Doc. 4</dc:title>
  <dc:subject>Review the vision for WIGOS guidance and documentation as a whole</dc:subject>
  <dc:creator>Etienne Charpentier</dc:creator>
  <cp:lastModifiedBy>Etienne Charpentier</cp:lastModifiedBy>
  <cp:revision>13</cp:revision>
  <cp:lastPrinted>2015-01-13T16:08:00Z</cp:lastPrinted>
  <dcterms:created xsi:type="dcterms:W3CDTF">2015-01-12T11:41:00Z</dcterms:created>
  <dcterms:modified xsi:type="dcterms:W3CDTF">2015-01-13T16:08:00Z</dcterms:modified>
</cp:coreProperties>
</file>