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3C2025" w:rsidRDefault="005554A5" w:rsidP="005554A5">
            <w:pPr>
              <w:tabs>
                <w:tab w:val="left" w:pos="601"/>
              </w:tabs>
              <w:rPr>
                <w:rFonts w:ascii="Verdana" w:hAnsi="Verdana" w:cs="Arial"/>
                <w:sz w:val="20"/>
                <w:szCs w:val="20"/>
                <w:lang w:val="de-DE"/>
              </w:rPr>
            </w:pPr>
            <w:r w:rsidRPr="003C2025">
              <w:rPr>
                <w:rFonts w:ascii="Verdana" w:hAnsi="Verdana" w:cs="Arial"/>
                <w:sz w:val="20"/>
                <w:szCs w:val="20"/>
                <w:lang w:val="de-DE"/>
              </w:rPr>
              <w:t>IPET-DR</w:t>
            </w:r>
            <w:r w:rsidR="00205D7D" w:rsidRPr="003C2025">
              <w:rPr>
                <w:rFonts w:ascii="Verdana" w:hAnsi="Verdana" w:cs="Arial"/>
                <w:sz w:val="20"/>
                <w:szCs w:val="20"/>
                <w:lang w:val="de-DE"/>
              </w:rPr>
              <w:t>MM</w:t>
            </w:r>
            <w:r w:rsidR="00C32B0D" w:rsidRPr="003C2025">
              <w:rPr>
                <w:rFonts w:ascii="Verdana" w:hAnsi="Verdana" w:cs="Arial"/>
                <w:sz w:val="20"/>
                <w:szCs w:val="20"/>
                <w:lang w:val="de-DE"/>
              </w:rPr>
              <w:t>-</w:t>
            </w:r>
            <w:r w:rsidR="0015739E" w:rsidRPr="003C2025">
              <w:rPr>
                <w:rFonts w:ascii="Verdana" w:hAnsi="Verdana" w:cs="Arial"/>
                <w:sz w:val="20"/>
                <w:szCs w:val="20"/>
                <w:lang w:val="de-DE"/>
              </w:rPr>
              <w:t>I</w:t>
            </w:r>
            <w:r w:rsidR="00D51173" w:rsidRPr="003C2025">
              <w:rPr>
                <w:rFonts w:ascii="Verdana" w:hAnsi="Verdana" w:cs="Arial"/>
                <w:sz w:val="20"/>
                <w:szCs w:val="20"/>
                <w:lang w:val="de-DE"/>
              </w:rPr>
              <w:t>V</w:t>
            </w:r>
            <w:r w:rsidRPr="003C2025">
              <w:rPr>
                <w:rFonts w:ascii="Verdana" w:hAnsi="Verdana" w:cs="Arial"/>
                <w:sz w:val="20"/>
                <w:szCs w:val="20"/>
                <w:lang w:val="de-DE"/>
              </w:rPr>
              <w:t xml:space="preserve"> / </w:t>
            </w:r>
            <w:r w:rsidR="00160129" w:rsidRPr="003C2025">
              <w:rPr>
                <w:rFonts w:ascii="Verdana" w:hAnsi="Verdana"/>
                <w:sz w:val="20"/>
                <w:szCs w:val="20"/>
                <w:lang w:val="de-DE"/>
              </w:rPr>
              <w:t xml:space="preserve">Doc. </w:t>
            </w:r>
            <w:r w:rsidR="00A16F7D" w:rsidRPr="003C2025">
              <w:rPr>
                <w:rFonts w:ascii="Verdana" w:hAnsi="Verdana"/>
                <w:sz w:val="20"/>
                <w:szCs w:val="20"/>
                <w:lang w:val="de-DE"/>
              </w:rPr>
              <w:t>9.1</w:t>
            </w:r>
            <w:r w:rsidR="00484AEF" w:rsidRPr="003C2025">
              <w:rPr>
                <w:rFonts w:ascii="Verdana" w:hAnsi="Verdana"/>
                <w:sz w:val="20"/>
                <w:szCs w:val="20"/>
                <w:lang w:val="de-DE"/>
              </w:rPr>
              <w:t xml:space="preserve"> </w:t>
            </w:r>
            <w:r w:rsidR="00160129" w:rsidRPr="003C2025">
              <w:rPr>
                <w:rFonts w:ascii="Verdana" w:hAnsi="Verdana"/>
                <w:sz w:val="20"/>
                <w:szCs w:val="20"/>
                <w:lang w:val="de-DE"/>
              </w:rPr>
              <w:t>(</w:t>
            </w:r>
            <w:r w:rsidR="00A16F7D" w:rsidRPr="003C2025">
              <w:rPr>
                <w:rFonts w:ascii="Verdana" w:hAnsi="Verdana"/>
                <w:sz w:val="20"/>
                <w:szCs w:val="20"/>
                <w:lang w:val="de-DE"/>
              </w:rPr>
              <w:t>1</w:t>
            </w:r>
            <w:r w:rsidRPr="003C2025">
              <w:rPr>
                <w:rFonts w:ascii="Verdana" w:hAnsi="Verdana"/>
                <w:sz w:val="20"/>
                <w:szCs w:val="20"/>
                <w:lang w:val="de-DE"/>
              </w:rPr>
              <w:t>)</w:t>
            </w:r>
          </w:p>
          <w:p w:rsidR="005554A5" w:rsidRPr="003C2025" w:rsidRDefault="005554A5" w:rsidP="005554A5">
            <w:pPr>
              <w:rPr>
                <w:rFonts w:ascii="Verdana" w:hAnsi="Verdana"/>
                <w:sz w:val="20"/>
                <w:szCs w:val="20"/>
                <w:lang w:val="de-DE"/>
              </w:rPr>
            </w:pPr>
            <w:r w:rsidRPr="003C2025">
              <w:rPr>
                <w:rFonts w:ascii="Verdana" w:hAnsi="Verdana"/>
                <w:sz w:val="20"/>
                <w:szCs w:val="20"/>
                <w:lang w:val="de-DE"/>
              </w:rPr>
              <w:t>(</w:t>
            </w:r>
            <w:r w:rsidR="00A16F7D" w:rsidRPr="003C2025">
              <w:rPr>
                <w:rFonts w:ascii="Verdana" w:hAnsi="Verdana"/>
                <w:sz w:val="20"/>
                <w:szCs w:val="20"/>
                <w:lang w:val="de-DE"/>
              </w:rPr>
              <w:t>12</w:t>
            </w:r>
            <w:r w:rsidRPr="003C2025">
              <w:rPr>
                <w:rFonts w:ascii="Verdana" w:hAnsi="Verdana"/>
                <w:sz w:val="20"/>
                <w:szCs w:val="20"/>
                <w:lang w:val="de-DE"/>
              </w:rPr>
              <w:t>.</w:t>
            </w:r>
            <w:r w:rsidR="00D564D5" w:rsidRPr="003C2025">
              <w:rPr>
                <w:rFonts w:ascii="Verdana" w:hAnsi="Verdana"/>
                <w:sz w:val="20"/>
                <w:szCs w:val="20"/>
                <w:lang w:val="de-DE"/>
              </w:rPr>
              <w:t xml:space="preserve"> </w:t>
            </w:r>
            <w:r w:rsidR="00A16F7D" w:rsidRPr="003C2025">
              <w:rPr>
                <w:rFonts w:ascii="Verdana" w:hAnsi="Verdana"/>
                <w:sz w:val="20"/>
                <w:szCs w:val="20"/>
                <w:lang w:val="de-DE"/>
              </w:rPr>
              <w:t>IV</w:t>
            </w:r>
            <w:r w:rsidRPr="003C2025">
              <w:rPr>
                <w:rFonts w:ascii="Verdana" w:hAnsi="Verdana"/>
                <w:sz w:val="20"/>
                <w:szCs w:val="20"/>
                <w:lang w:val="de-DE"/>
              </w:rPr>
              <w:t>.</w:t>
            </w:r>
            <w:r w:rsidR="00D564D5" w:rsidRPr="003C2025">
              <w:rPr>
                <w:rFonts w:ascii="Verdana" w:hAnsi="Verdana"/>
                <w:sz w:val="20"/>
                <w:szCs w:val="20"/>
                <w:lang w:val="de-DE"/>
              </w:rPr>
              <w:t xml:space="preserve"> </w:t>
            </w:r>
            <w:r w:rsidRPr="003C2025">
              <w:rPr>
                <w:rFonts w:ascii="Verdana" w:hAnsi="Verdana"/>
                <w:sz w:val="20"/>
                <w:szCs w:val="20"/>
                <w:lang w:val="de-DE"/>
              </w:rPr>
              <w:t>20</w:t>
            </w:r>
            <w:r w:rsidR="005870EB" w:rsidRPr="003C2025">
              <w:rPr>
                <w:rFonts w:ascii="Verdana" w:hAnsi="Verdana"/>
                <w:sz w:val="20"/>
                <w:szCs w:val="20"/>
                <w:lang w:val="de-DE"/>
              </w:rPr>
              <w:t>1</w:t>
            </w:r>
            <w:r w:rsidR="00D51173" w:rsidRPr="003C2025">
              <w:rPr>
                <w:rFonts w:ascii="Verdana" w:hAnsi="Verdana"/>
                <w:sz w:val="20"/>
                <w:szCs w:val="20"/>
                <w:lang w:val="de-DE"/>
              </w:rPr>
              <w:t>6</w:t>
            </w:r>
            <w:r w:rsidRPr="003C2025">
              <w:rPr>
                <w:rFonts w:ascii="Verdana" w:hAnsi="Verdana"/>
                <w:sz w:val="20"/>
                <w:szCs w:val="20"/>
                <w:lang w:val="de-DE"/>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A16F7D">
              <w:rPr>
                <w:rFonts w:ascii="Verdana" w:hAnsi="Verdana"/>
                <w:sz w:val="20"/>
                <w:szCs w:val="20"/>
              </w:rPr>
              <w:t>9.1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0" w:name="Text1"/>
    <w:p w:rsidR="009F245F" w:rsidRPr="00F35A04" w:rsidRDefault="00A16F7D"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 Amendments to the Manual on the GTS on abbreviated headings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Amendments to the Manual on the GTS on abbreviated headings </w:t>
      </w:r>
      <w:r>
        <w:rPr>
          <w:rFonts w:ascii="Verdana" w:hAnsi="Verdana"/>
          <w:sz w:val="20"/>
          <w:szCs w:val="20"/>
        </w:rPr>
        <w:fldChar w:fldCharType="end"/>
      </w:r>
      <w:bookmarkEnd w:id="0"/>
    </w:p>
    <w:bookmarkStart w:id="1" w:name="Text2"/>
    <w:p w:rsidR="009F245F" w:rsidRPr="00F35A04" w:rsidRDefault="00A16F7D"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Data designators for aviation information in XML"/>
            </w:textInput>
          </w:ffData>
        </w:fldChar>
      </w:r>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Data designators for aviation information in XML</w:t>
      </w:r>
      <w:r>
        <w:rPr>
          <w:rFonts w:ascii="Verdana" w:hAnsi="Verdana" w:cs="Arial"/>
          <w:b/>
          <w:sz w:val="20"/>
          <w:szCs w:val="20"/>
        </w:rPr>
        <w:fldChar w:fldCharType="end"/>
      </w:r>
      <w:bookmarkEnd w:id="1"/>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bookmarkStart w:id="2" w:name="Text3"/>
      <w:r w:rsidR="00A16F7D">
        <w:rPr>
          <w:rFonts w:ascii="Verdana" w:hAnsi="Verdana"/>
          <w:i/>
          <w:sz w:val="20"/>
          <w:szCs w:val="20"/>
        </w:rPr>
        <w:fldChar w:fldCharType="begin">
          <w:ffData>
            <w:name w:val="Text3"/>
            <w:enabled/>
            <w:calcOnExit w:val="0"/>
            <w:textInput>
              <w:default w:val="Secretariat"/>
            </w:textInput>
          </w:ffData>
        </w:fldChar>
      </w:r>
      <w:r w:rsidR="00A16F7D">
        <w:rPr>
          <w:rFonts w:ascii="Verdana" w:hAnsi="Verdana"/>
          <w:i/>
          <w:sz w:val="20"/>
          <w:szCs w:val="20"/>
        </w:rPr>
        <w:instrText xml:space="preserve"> FORMTEXT </w:instrText>
      </w:r>
      <w:r w:rsidR="00A16F7D">
        <w:rPr>
          <w:rFonts w:ascii="Verdana" w:hAnsi="Verdana"/>
          <w:i/>
          <w:sz w:val="20"/>
          <w:szCs w:val="20"/>
        </w:rPr>
      </w:r>
      <w:r w:rsidR="00A16F7D">
        <w:rPr>
          <w:rFonts w:ascii="Verdana" w:hAnsi="Verdana"/>
          <w:i/>
          <w:sz w:val="20"/>
          <w:szCs w:val="20"/>
        </w:rPr>
        <w:fldChar w:fldCharType="separate"/>
      </w:r>
      <w:r w:rsidR="00A16F7D">
        <w:rPr>
          <w:rFonts w:ascii="Verdana" w:hAnsi="Verdana"/>
          <w:i/>
          <w:noProof/>
          <w:sz w:val="20"/>
          <w:szCs w:val="20"/>
        </w:rPr>
        <w:t>Secretariat</w:t>
      </w:r>
      <w:r w:rsidR="00A16F7D">
        <w:rPr>
          <w:rFonts w:ascii="Verdana" w:hAnsi="Verdana"/>
          <w:i/>
          <w:sz w:val="20"/>
          <w:szCs w:val="20"/>
        </w:rPr>
        <w:fldChar w:fldCharType="end"/>
      </w:r>
      <w:bookmarkEnd w:id="2"/>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A16F7D" w:rsidP="009F245F">
      <w:pPr>
        <w:pStyle w:val="BodyText"/>
        <w:ind w:left="770" w:right="839"/>
        <w:rPr>
          <w:rFonts w:ascii="Verdana" w:hAnsi="Verdana"/>
          <w:sz w:val="20"/>
          <w:szCs w:val="20"/>
        </w:rPr>
      </w:pPr>
      <w:r>
        <w:rPr>
          <w:rFonts w:ascii="Verdana" w:hAnsi="Verdana"/>
          <w:sz w:val="20"/>
          <w:szCs w:val="20"/>
        </w:rPr>
        <w:t xml:space="preserve">The Manual on GTS specifies data designators for use in Abbreviated Headers to facilitate </w:t>
      </w:r>
      <w:proofErr w:type="spellStart"/>
      <w:r>
        <w:rPr>
          <w:rFonts w:ascii="Verdana" w:hAnsi="Verdana"/>
          <w:sz w:val="20"/>
          <w:szCs w:val="20"/>
        </w:rPr>
        <w:t>routeing</w:t>
      </w:r>
      <w:proofErr w:type="spellEnd"/>
      <w:r>
        <w:rPr>
          <w:rFonts w:ascii="Verdana" w:hAnsi="Verdana"/>
          <w:sz w:val="20"/>
          <w:szCs w:val="20"/>
        </w:rPr>
        <w:t xml:space="preserve"> of messages on the GTS and ICAO’s AMHS distribution system. </w:t>
      </w:r>
      <w:proofErr w:type="gramStart"/>
      <w:r>
        <w:rPr>
          <w:rFonts w:ascii="Verdana" w:hAnsi="Verdana"/>
          <w:sz w:val="20"/>
          <w:szCs w:val="20"/>
        </w:rPr>
        <w:t>Amendment 78 to WMO-No.</w:t>
      </w:r>
      <w:proofErr w:type="gramEnd"/>
      <w:r>
        <w:rPr>
          <w:rFonts w:ascii="Verdana" w:hAnsi="Verdana"/>
          <w:sz w:val="20"/>
          <w:szCs w:val="20"/>
        </w:rPr>
        <w:t xml:space="preserve"> </w:t>
      </w:r>
      <w:r w:rsidR="003C2025">
        <w:rPr>
          <w:rFonts w:ascii="Verdana" w:hAnsi="Verdana"/>
          <w:sz w:val="20"/>
          <w:szCs w:val="20"/>
        </w:rPr>
        <w:t>4</w:t>
      </w:r>
      <w:r>
        <w:rPr>
          <w:rFonts w:ascii="Verdana" w:hAnsi="Verdana"/>
          <w:sz w:val="20"/>
          <w:szCs w:val="20"/>
        </w:rPr>
        <w:t>9 Vol</w:t>
      </w:r>
      <w:r w:rsidR="003C2025">
        <w:rPr>
          <w:rFonts w:ascii="Verdana" w:hAnsi="Verdana"/>
          <w:sz w:val="20"/>
          <w:szCs w:val="20"/>
        </w:rPr>
        <w:t>.</w:t>
      </w:r>
      <w:r>
        <w:rPr>
          <w:rFonts w:ascii="Verdana" w:hAnsi="Verdana"/>
          <w:sz w:val="20"/>
          <w:szCs w:val="20"/>
        </w:rPr>
        <w:t xml:space="preserve"> 2 requires additional types of information to be distributed in XML form; new data designators are required to achieve this. This document proposes values for these new data designators.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A16F7D" w:rsidP="009F245F">
      <w:pPr>
        <w:pStyle w:val="BodyText"/>
        <w:rPr>
          <w:rFonts w:ascii="Verdana" w:hAnsi="Verdana"/>
          <w:sz w:val="20"/>
          <w:szCs w:val="20"/>
          <w:lang w:val="en-GB"/>
        </w:rPr>
      </w:pPr>
      <w:r>
        <w:rPr>
          <w:rFonts w:ascii="Verdana" w:hAnsi="Verdana"/>
          <w:sz w:val="20"/>
          <w:szCs w:val="20"/>
        </w:rPr>
        <w:t>1. Recommend the change to WMO-</w:t>
      </w:r>
      <w:r>
        <w:rPr>
          <w:rFonts w:ascii="Verdana" w:hAnsi="Verdana"/>
          <w:sz w:val="20"/>
          <w:szCs w:val="20"/>
          <w:lang w:val="en-GB"/>
        </w:rPr>
        <w:t xml:space="preserve">No. </w:t>
      </w:r>
      <w:proofErr w:type="gramStart"/>
      <w:r>
        <w:rPr>
          <w:rFonts w:ascii="Verdana" w:hAnsi="Verdana"/>
          <w:sz w:val="20"/>
          <w:szCs w:val="20"/>
          <w:lang w:val="en-GB"/>
        </w:rPr>
        <w:t>386 Manual on GTS that is specified in the Annex.</w:t>
      </w:r>
      <w:proofErr w:type="gramEnd"/>
    </w:p>
    <w:p w:rsidR="00A16F7D" w:rsidRDefault="00A16F7D" w:rsidP="009F245F">
      <w:pPr>
        <w:pStyle w:val="BodyText"/>
        <w:rPr>
          <w:rFonts w:ascii="Verdana" w:hAnsi="Verdana"/>
          <w:sz w:val="20"/>
          <w:szCs w:val="20"/>
          <w:lang w:val="en-GB"/>
        </w:rPr>
      </w:pPr>
      <w:r>
        <w:rPr>
          <w:rFonts w:ascii="Verdana" w:hAnsi="Verdana"/>
          <w:sz w:val="20"/>
          <w:szCs w:val="20"/>
          <w:lang w:val="en-GB"/>
        </w:rPr>
        <w:t>2. Recommend whether the change should use the “in session” procedure or the “simple (fast track)” procedure that is expected to be permitted for that manual following EC-68.</w:t>
      </w:r>
    </w:p>
    <w:p w:rsidR="00A16F7D" w:rsidRDefault="00A16F7D" w:rsidP="009F245F">
      <w:pPr>
        <w:pStyle w:val="BodyText"/>
        <w:rPr>
          <w:rFonts w:ascii="Verdana" w:hAnsi="Verdana"/>
          <w:sz w:val="20"/>
          <w:szCs w:val="20"/>
          <w:lang w:val="en-GB"/>
        </w:rPr>
      </w:pPr>
    </w:p>
    <w:p w:rsidR="00A16F7D" w:rsidRPr="00A16F7D" w:rsidRDefault="00A16F7D" w:rsidP="009F245F">
      <w:pPr>
        <w:pStyle w:val="BodyText"/>
        <w:rPr>
          <w:rFonts w:ascii="Verdana" w:hAnsi="Verdana"/>
          <w:sz w:val="20"/>
          <w:szCs w:val="20"/>
          <w:lang w:val="en-GB"/>
        </w:rPr>
      </w:pP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3" w:name="Text6"/>
      <w:r w:rsidR="00A16F7D">
        <w:rPr>
          <w:rFonts w:ascii="Verdana" w:hAnsi="Verdana"/>
          <w:sz w:val="20"/>
          <w:szCs w:val="20"/>
        </w:rPr>
        <w:fldChar w:fldCharType="begin">
          <w:ffData>
            <w:name w:val="Text6"/>
            <w:enabled/>
            <w:calcOnExit w:val="0"/>
            <w:textInput>
              <w:default w:val="Proposed data designators for aviation information"/>
            </w:textInput>
          </w:ffData>
        </w:fldChar>
      </w:r>
      <w:r w:rsidR="00A16F7D">
        <w:rPr>
          <w:rFonts w:ascii="Verdana" w:hAnsi="Verdana"/>
          <w:sz w:val="20"/>
          <w:szCs w:val="20"/>
        </w:rPr>
        <w:instrText xml:space="preserve"> FORMTEXT </w:instrText>
      </w:r>
      <w:r w:rsidR="00A16F7D">
        <w:rPr>
          <w:rFonts w:ascii="Verdana" w:hAnsi="Verdana"/>
          <w:sz w:val="20"/>
          <w:szCs w:val="20"/>
        </w:rPr>
      </w:r>
      <w:r w:rsidR="00A16F7D">
        <w:rPr>
          <w:rFonts w:ascii="Verdana" w:hAnsi="Verdana"/>
          <w:sz w:val="20"/>
          <w:szCs w:val="20"/>
        </w:rPr>
        <w:fldChar w:fldCharType="separate"/>
      </w:r>
      <w:r w:rsidR="00A16F7D">
        <w:rPr>
          <w:rFonts w:ascii="Verdana" w:hAnsi="Verdana"/>
          <w:noProof/>
          <w:sz w:val="20"/>
          <w:szCs w:val="20"/>
        </w:rPr>
        <w:t>Proposed data designators for aviation information</w:t>
      </w:r>
      <w:r w:rsidR="00A16F7D">
        <w:rPr>
          <w:rFonts w:ascii="Verdana" w:hAnsi="Verdana"/>
          <w:sz w:val="20"/>
          <w:szCs w:val="20"/>
        </w:rPr>
        <w:fldChar w:fldCharType="end"/>
      </w:r>
      <w:bookmarkEnd w:id="3"/>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A16F7D" w:rsidRDefault="00A16F7D" w:rsidP="009F245F">
      <w:pPr>
        <w:jc w:val="both"/>
        <w:rPr>
          <w:rFonts w:ascii="Verdana" w:hAnsi="Verdana"/>
          <w:sz w:val="20"/>
          <w:szCs w:val="20"/>
        </w:rPr>
      </w:pPr>
      <w:proofErr w:type="gramStart"/>
      <w:r>
        <w:rPr>
          <w:rFonts w:ascii="Verdana" w:hAnsi="Verdana"/>
          <w:sz w:val="20"/>
          <w:szCs w:val="20"/>
        </w:rPr>
        <w:t>Amendment 78 to WMO-No.</w:t>
      </w:r>
      <w:proofErr w:type="gramEnd"/>
      <w:r>
        <w:rPr>
          <w:rFonts w:ascii="Verdana" w:hAnsi="Verdana"/>
          <w:sz w:val="20"/>
          <w:szCs w:val="20"/>
        </w:rPr>
        <w:t xml:space="preserve"> 49 Technical Regulations Volume II </w:t>
      </w:r>
      <w:r w:rsidRPr="00A16F7D">
        <w:rPr>
          <w:rFonts w:ascii="Verdana" w:hAnsi="Verdana"/>
          <w:sz w:val="20"/>
          <w:szCs w:val="20"/>
        </w:rPr>
        <w:t>Meteorological Service for International Air Navigation</w:t>
      </w:r>
      <w:r>
        <w:rPr>
          <w:rFonts w:ascii="Verdana" w:hAnsi="Verdana"/>
          <w:sz w:val="20"/>
          <w:szCs w:val="20"/>
        </w:rPr>
        <w:t xml:space="preserve"> will introduce a requirement to exchange additional information in XML in support of international civil aviation.</w:t>
      </w:r>
    </w:p>
    <w:p w:rsidR="00A16F7D" w:rsidRDefault="00A16F7D" w:rsidP="009F245F">
      <w:pPr>
        <w:jc w:val="both"/>
        <w:rPr>
          <w:rFonts w:ascii="Verdana" w:hAnsi="Verdana"/>
          <w:sz w:val="20"/>
          <w:szCs w:val="20"/>
        </w:rPr>
      </w:pPr>
    </w:p>
    <w:p w:rsidR="009F245F" w:rsidRPr="00F35A04" w:rsidRDefault="00A16F7D" w:rsidP="009F245F">
      <w:pPr>
        <w:jc w:val="both"/>
        <w:rPr>
          <w:rFonts w:ascii="Verdana" w:hAnsi="Verdana"/>
          <w:sz w:val="20"/>
          <w:szCs w:val="20"/>
        </w:rPr>
      </w:pPr>
      <w:r>
        <w:rPr>
          <w:rFonts w:ascii="Verdana" w:hAnsi="Verdana"/>
          <w:sz w:val="20"/>
          <w:szCs w:val="20"/>
        </w:rPr>
        <w:t>Eight types of aviation report currently have data designators specified in Att. II</w:t>
      </w:r>
      <w:r>
        <w:rPr>
          <w:rFonts w:ascii="Verdana" w:hAnsi="Verdana"/>
          <w:sz w:val="20"/>
          <w:szCs w:val="20"/>
        </w:rPr>
        <w:noBreakHyphen/>
        <w:t>5 of WMO</w:t>
      </w:r>
      <w:r>
        <w:rPr>
          <w:rFonts w:ascii="Verdana" w:hAnsi="Verdana"/>
          <w:sz w:val="20"/>
          <w:szCs w:val="20"/>
        </w:rPr>
        <w:noBreakHyphen/>
        <w:t xml:space="preserve">No. </w:t>
      </w:r>
      <w:proofErr w:type="gramStart"/>
      <w:r>
        <w:rPr>
          <w:rFonts w:ascii="Verdana" w:hAnsi="Verdana"/>
          <w:sz w:val="20"/>
          <w:szCs w:val="20"/>
        </w:rPr>
        <w:t>386 Manual on GTS.</w:t>
      </w:r>
      <w:proofErr w:type="gramEnd"/>
      <w:r>
        <w:rPr>
          <w:rFonts w:ascii="Verdana" w:hAnsi="Verdana"/>
          <w:sz w:val="20"/>
          <w:szCs w:val="20"/>
        </w:rPr>
        <w:t xml:space="preserve"> The data designator is of the form T</w:t>
      </w:r>
      <w:r w:rsidRPr="00A16F7D">
        <w:rPr>
          <w:rFonts w:ascii="Verdana" w:hAnsi="Verdana"/>
          <w:sz w:val="20"/>
          <w:szCs w:val="20"/>
          <w:vertAlign w:val="subscript"/>
        </w:rPr>
        <w:t>1</w:t>
      </w:r>
      <w:r>
        <w:rPr>
          <w:rFonts w:ascii="Verdana" w:hAnsi="Verdana"/>
          <w:sz w:val="20"/>
          <w:szCs w:val="20"/>
        </w:rPr>
        <w:t>T</w:t>
      </w:r>
      <w:r w:rsidRPr="00A16F7D">
        <w:rPr>
          <w:rFonts w:ascii="Verdana" w:hAnsi="Verdana"/>
          <w:sz w:val="20"/>
          <w:szCs w:val="20"/>
          <w:vertAlign w:val="subscript"/>
        </w:rPr>
        <w:t>2</w:t>
      </w:r>
      <w:r>
        <w:rPr>
          <w:rFonts w:ascii="Verdana" w:hAnsi="Verdana"/>
          <w:sz w:val="20"/>
          <w:szCs w:val="20"/>
        </w:rPr>
        <w:t>. T</w:t>
      </w:r>
      <w:r w:rsidRPr="00A16F7D">
        <w:rPr>
          <w:rFonts w:ascii="Verdana" w:hAnsi="Verdana"/>
          <w:sz w:val="20"/>
          <w:szCs w:val="20"/>
          <w:vertAlign w:val="subscript"/>
        </w:rPr>
        <w:t>1</w:t>
      </w:r>
      <w:r>
        <w:rPr>
          <w:rFonts w:ascii="Verdana" w:hAnsi="Verdana"/>
          <w:sz w:val="20"/>
          <w:szCs w:val="20"/>
        </w:rPr>
        <w:t xml:space="preserve"> = L corresponds to aviation information in XML. Values for T</w:t>
      </w:r>
      <w:r w:rsidRPr="00A16F7D">
        <w:rPr>
          <w:rFonts w:ascii="Verdana" w:hAnsi="Verdana"/>
          <w:sz w:val="20"/>
          <w:szCs w:val="20"/>
          <w:vertAlign w:val="subscript"/>
        </w:rPr>
        <w:t>2</w:t>
      </w:r>
      <w:r>
        <w:rPr>
          <w:rFonts w:ascii="Verdana" w:hAnsi="Verdana"/>
          <w:sz w:val="20"/>
          <w:szCs w:val="20"/>
        </w:rPr>
        <w:t xml:space="preserve"> that are currently allocated are: A, C, P, S, T, V, Y. these were chosen so that in most cases the T</w:t>
      </w:r>
      <w:r w:rsidRPr="00A16F7D">
        <w:rPr>
          <w:rFonts w:ascii="Verdana" w:hAnsi="Verdana"/>
          <w:sz w:val="20"/>
          <w:szCs w:val="20"/>
          <w:vertAlign w:val="subscript"/>
        </w:rPr>
        <w:t>2</w:t>
      </w:r>
      <w:r>
        <w:rPr>
          <w:rFonts w:ascii="Verdana" w:hAnsi="Verdana"/>
          <w:sz w:val="20"/>
          <w:szCs w:val="20"/>
        </w:rPr>
        <w:t xml:space="preserve"> associated with information represented in XML was the same as that for information represented in traditional alphanumeric representations. This was not always possible as different types of alphanumeric messages were associated with different values of T</w:t>
      </w:r>
      <w:r w:rsidRPr="00A16F7D">
        <w:rPr>
          <w:rFonts w:ascii="Verdana" w:hAnsi="Verdana"/>
          <w:sz w:val="20"/>
          <w:szCs w:val="20"/>
          <w:vertAlign w:val="subscript"/>
        </w:rPr>
        <w:t>1</w:t>
      </w:r>
      <w:r>
        <w:rPr>
          <w:rFonts w:ascii="Verdana" w:hAnsi="Verdana"/>
          <w:sz w:val="20"/>
          <w:szCs w:val="20"/>
        </w:rPr>
        <w:t>.</w:t>
      </w:r>
    </w:p>
    <w:p w:rsidR="009F245F" w:rsidRPr="00F35A04" w:rsidRDefault="009F245F" w:rsidP="009F245F">
      <w:pPr>
        <w:rPr>
          <w:rFonts w:ascii="Verdana" w:hAnsi="Verdana"/>
          <w:sz w:val="20"/>
          <w:szCs w:val="20"/>
        </w:rPr>
      </w:pPr>
    </w:p>
    <w:p w:rsidR="00202193" w:rsidRDefault="00A16F7D" w:rsidP="009F245F">
      <w:pPr>
        <w:rPr>
          <w:rFonts w:ascii="Verdana" w:hAnsi="Verdana"/>
          <w:sz w:val="20"/>
          <w:szCs w:val="20"/>
        </w:rPr>
      </w:pPr>
      <w:r>
        <w:rPr>
          <w:rFonts w:ascii="Verdana" w:hAnsi="Verdana"/>
          <w:sz w:val="20"/>
          <w:szCs w:val="20"/>
        </w:rPr>
        <w:t>Amendment 78 allows for the representation of information in XML of the equivalent of AIRMET, Volcanic Ash Advisory and Tropical Cyclone Advisory messages. IPET-MDRD (TT-</w:t>
      </w:r>
      <w:proofErr w:type="spellStart"/>
      <w:r>
        <w:rPr>
          <w:rFonts w:ascii="Verdana" w:hAnsi="Verdana"/>
          <w:sz w:val="20"/>
          <w:szCs w:val="20"/>
        </w:rPr>
        <w:t>AvXML</w:t>
      </w:r>
      <w:proofErr w:type="spellEnd"/>
      <w:r>
        <w:rPr>
          <w:rFonts w:ascii="Verdana" w:hAnsi="Verdana"/>
          <w:sz w:val="20"/>
          <w:szCs w:val="20"/>
        </w:rPr>
        <w:t>) is developing the XML representations for these types of information and will propose standards to CBS-16.</w:t>
      </w:r>
    </w:p>
    <w:p w:rsidR="00A16F7D" w:rsidRPr="00F35A04" w:rsidRDefault="00A16F7D"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FC7FE8" w:rsidRDefault="00A16F7D" w:rsidP="009F245F">
      <w:pPr>
        <w:jc w:val="both"/>
        <w:rPr>
          <w:rFonts w:ascii="Verdana" w:hAnsi="Verdana"/>
          <w:sz w:val="20"/>
          <w:szCs w:val="20"/>
        </w:rPr>
      </w:pPr>
      <w:r>
        <w:rPr>
          <w:rFonts w:ascii="Verdana" w:hAnsi="Verdana"/>
          <w:sz w:val="20"/>
          <w:szCs w:val="20"/>
        </w:rPr>
        <w:t>1. Data designators for XML representations of AIRMET, Volcanic Ash Advisory and Tropical Cyclone Advisory shall have T</w:t>
      </w:r>
      <w:r w:rsidRPr="00A16F7D">
        <w:rPr>
          <w:rFonts w:ascii="Verdana" w:hAnsi="Verdana"/>
          <w:sz w:val="20"/>
          <w:szCs w:val="20"/>
          <w:vertAlign w:val="subscript"/>
        </w:rPr>
        <w:t>1</w:t>
      </w:r>
      <w:r>
        <w:rPr>
          <w:rFonts w:ascii="Verdana" w:hAnsi="Verdana"/>
          <w:sz w:val="20"/>
          <w:szCs w:val="20"/>
        </w:rPr>
        <w:t xml:space="preserve"> = L and have the value of T</w:t>
      </w:r>
      <w:r w:rsidRPr="00A16F7D">
        <w:rPr>
          <w:rFonts w:ascii="Verdana" w:hAnsi="Verdana"/>
          <w:sz w:val="20"/>
          <w:szCs w:val="20"/>
          <w:vertAlign w:val="subscript"/>
        </w:rPr>
        <w:t>2</w:t>
      </w:r>
      <w:r>
        <w:rPr>
          <w:rFonts w:ascii="Verdana" w:hAnsi="Verdana"/>
          <w:sz w:val="20"/>
          <w:szCs w:val="20"/>
        </w:rPr>
        <w:t xml:space="preserve"> specified in the Annex.</w:t>
      </w:r>
    </w:p>
    <w:p w:rsidR="00A16F7D" w:rsidRPr="00F35A04" w:rsidRDefault="00A16F7D" w:rsidP="009F245F">
      <w:pPr>
        <w:jc w:val="both"/>
        <w:rPr>
          <w:rFonts w:ascii="Verdana" w:hAnsi="Verdana"/>
          <w:sz w:val="20"/>
          <w:szCs w:val="20"/>
        </w:rPr>
      </w:pPr>
      <w:r>
        <w:rPr>
          <w:rFonts w:ascii="Verdana" w:hAnsi="Verdana"/>
          <w:sz w:val="20"/>
          <w:szCs w:val="20"/>
        </w:rPr>
        <w:t>2. In order to ensure consistency with the definition of the XML representations, the change to the Manual on GTS to implement this should be proposed to CBS-16 through the “in session” procedure.</w:t>
      </w:r>
      <w:bookmarkStart w:id="4" w:name="_GoBack"/>
      <w:bookmarkEnd w:id="4"/>
    </w:p>
    <w:p w:rsidR="00FC7FE8" w:rsidRPr="00F35A04" w:rsidRDefault="00FC7FE8" w:rsidP="009F245F">
      <w:pPr>
        <w:jc w:val="both"/>
        <w:rPr>
          <w:rFonts w:ascii="Verdana" w:hAnsi="Verdana"/>
          <w:sz w:val="20"/>
          <w:szCs w:val="20"/>
        </w:rPr>
      </w:pPr>
    </w:p>
    <w:p w:rsidR="00D51173" w:rsidRPr="00A16F7D" w:rsidRDefault="00A16F7D" w:rsidP="00A16F7D">
      <w:pPr>
        <w:rPr>
          <w:rFonts w:ascii="Verdana" w:hAnsi="Verdana"/>
          <w:b/>
          <w:sz w:val="20"/>
          <w:szCs w:val="20"/>
        </w:rPr>
      </w:pPr>
      <w:r w:rsidRPr="00A16F7D">
        <w:rPr>
          <w:rFonts w:ascii="Verdana" w:hAnsi="Verdana"/>
          <w:b/>
          <w:sz w:val="20"/>
          <w:szCs w:val="20"/>
        </w:rPr>
        <w:t>Annex</w:t>
      </w:r>
      <w:r>
        <w:rPr>
          <w:rFonts w:ascii="Verdana" w:hAnsi="Verdana"/>
          <w:b/>
          <w:sz w:val="20"/>
          <w:szCs w:val="20"/>
        </w:rPr>
        <w:t xml:space="preserve">: </w:t>
      </w:r>
      <w:r w:rsidRPr="00A16F7D">
        <w:rPr>
          <w:rFonts w:ascii="Verdana" w:hAnsi="Verdana"/>
          <w:b/>
          <w:sz w:val="20"/>
          <w:szCs w:val="20"/>
        </w:rPr>
        <w:t>Proposed data designators for aviation information</w:t>
      </w:r>
    </w:p>
    <w:p w:rsidR="00A16F7D" w:rsidRDefault="00A16F7D">
      <w:pPr>
        <w:jc w:val="both"/>
        <w:rPr>
          <w:rFonts w:ascii="Verdana" w:hAnsi="Verdana"/>
          <w:sz w:val="20"/>
          <w:szCs w:val="20"/>
          <w:lang w:val="en-US"/>
        </w:rPr>
      </w:pPr>
      <w:r>
        <w:rPr>
          <w:rFonts w:ascii="Verdana" w:hAnsi="Verdana"/>
          <w:sz w:val="20"/>
          <w:szCs w:val="20"/>
          <w:lang w:val="en-US"/>
        </w:rPr>
        <w:t>Amend table B7 of WMO-No. </w:t>
      </w:r>
      <w:proofErr w:type="gramStart"/>
      <w:r>
        <w:rPr>
          <w:rFonts w:ascii="Verdana" w:hAnsi="Verdana"/>
          <w:sz w:val="20"/>
          <w:szCs w:val="20"/>
          <w:lang w:val="en-US"/>
        </w:rPr>
        <w:t>386 Manual on the Global Telecommunication System as shown in the Table.</w:t>
      </w:r>
      <w:proofErr w:type="gramEnd"/>
      <w:r>
        <w:rPr>
          <w:rFonts w:ascii="Verdana" w:hAnsi="Verdana"/>
          <w:sz w:val="20"/>
          <w:szCs w:val="20"/>
          <w:lang w:val="en-US"/>
        </w:rPr>
        <w:t xml:space="preserve"> Added text is shown in </w:t>
      </w:r>
      <w:r w:rsidRPr="00A16F7D">
        <w:rPr>
          <w:rFonts w:ascii="Verdana" w:hAnsi="Verdana"/>
          <w:color w:val="00B050"/>
          <w:sz w:val="20"/>
          <w:szCs w:val="20"/>
          <w:u w:val="dash"/>
          <w:lang w:val="en-US"/>
        </w:rPr>
        <w:t>green dashed underline</w:t>
      </w:r>
      <w:r w:rsidRPr="00A16F7D">
        <w:rPr>
          <w:rFonts w:ascii="Verdana" w:hAnsi="Verdana"/>
          <w:color w:val="76923C" w:themeColor="accent3" w:themeShade="BF"/>
          <w:sz w:val="20"/>
          <w:szCs w:val="20"/>
          <w:lang w:val="en-US"/>
        </w:rPr>
        <w:t xml:space="preserve"> </w:t>
      </w:r>
      <w:r>
        <w:rPr>
          <w:rFonts w:ascii="Verdana" w:hAnsi="Verdana"/>
          <w:sz w:val="20"/>
          <w:szCs w:val="20"/>
          <w:lang w:val="en-US"/>
        </w:rPr>
        <w:t>font.</w:t>
      </w:r>
    </w:p>
    <w:p w:rsidR="00A16F7D" w:rsidRDefault="00A16F7D">
      <w:pPr>
        <w:jc w:val="both"/>
        <w:rPr>
          <w:rFonts w:ascii="Verdana" w:hAnsi="Verdana"/>
          <w:sz w:val="20"/>
          <w:szCs w:val="20"/>
          <w:lang w:val="en-US"/>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245"/>
        <w:gridCol w:w="1543"/>
        <w:gridCol w:w="1543"/>
      </w:tblGrid>
      <w:tr w:rsidR="00A16F7D" w:rsidTr="00A16F7D">
        <w:tc>
          <w:tcPr>
            <w:tcW w:w="1526" w:type="dxa"/>
          </w:tcPr>
          <w:p w:rsidR="00A16F7D" w:rsidRPr="00A16F7D" w:rsidRDefault="00A16F7D">
            <w:pPr>
              <w:jc w:val="both"/>
              <w:rPr>
                <w:rFonts w:ascii="Verdana" w:hAnsi="Verdana"/>
                <w:i/>
                <w:sz w:val="20"/>
                <w:szCs w:val="20"/>
                <w:lang w:val="en-US"/>
              </w:rPr>
            </w:pPr>
            <w:r w:rsidRPr="00A16F7D">
              <w:rPr>
                <w:rFonts w:ascii="Verdana" w:hAnsi="Verdana"/>
                <w:i/>
                <w:sz w:val="20"/>
                <w:szCs w:val="20"/>
                <w:lang w:val="en-US"/>
              </w:rPr>
              <w:t>Designator</w:t>
            </w:r>
          </w:p>
        </w:tc>
        <w:tc>
          <w:tcPr>
            <w:tcW w:w="5245" w:type="dxa"/>
          </w:tcPr>
          <w:p w:rsidR="00A16F7D" w:rsidRPr="00A16F7D" w:rsidRDefault="00A16F7D">
            <w:pPr>
              <w:jc w:val="both"/>
              <w:rPr>
                <w:rFonts w:ascii="Verdana" w:hAnsi="Verdana"/>
                <w:i/>
                <w:sz w:val="20"/>
                <w:szCs w:val="20"/>
                <w:lang w:val="en-US"/>
              </w:rPr>
            </w:pPr>
            <w:r w:rsidRPr="00A16F7D">
              <w:rPr>
                <w:rFonts w:ascii="Verdana" w:hAnsi="Verdana"/>
                <w:i/>
                <w:sz w:val="20"/>
                <w:szCs w:val="20"/>
                <w:lang w:val="en-US"/>
              </w:rPr>
              <w:t>Data Type</w:t>
            </w:r>
          </w:p>
        </w:tc>
        <w:tc>
          <w:tcPr>
            <w:tcW w:w="1543" w:type="dxa"/>
          </w:tcPr>
          <w:p w:rsidR="00A16F7D" w:rsidRPr="00A16F7D" w:rsidRDefault="00A16F7D">
            <w:pPr>
              <w:jc w:val="both"/>
              <w:rPr>
                <w:rFonts w:ascii="Verdana" w:hAnsi="Verdana"/>
                <w:i/>
                <w:sz w:val="20"/>
                <w:szCs w:val="20"/>
                <w:lang w:val="en-US"/>
              </w:rPr>
            </w:pPr>
            <w:r w:rsidRPr="00A16F7D">
              <w:rPr>
                <w:rFonts w:ascii="Verdana" w:hAnsi="Verdana"/>
                <w:i/>
                <w:sz w:val="20"/>
                <w:szCs w:val="20"/>
                <w:lang w:val="en-US"/>
              </w:rPr>
              <w:t>GTS Priority</w:t>
            </w:r>
          </w:p>
        </w:tc>
        <w:tc>
          <w:tcPr>
            <w:tcW w:w="1543" w:type="dxa"/>
          </w:tcPr>
          <w:p w:rsidR="00A16F7D" w:rsidRPr="00A16F7D" w:rsidRDefault="00A16F7D">
            <w:pPr>
              <w:jc w:val="both"/>
              <w:rPr>
                <w:rFonts w:ascii="Verdana" w:hAnsi="Verdana"/>
                <w:i/>
                <w:sz w:val="20"/>
                <w:szCs w:val="20"/>
                <w:lang w:val="en-US"/>
              </w:rPr>
            </w:pPr>
            <w:r w:rsidRPr="00A16F7D">
              <w:rPr>
                <w:rFonts w:ascii="Verdana" w:hAnsi="Verdana"/>
                <w:i/>
                <w:sz w:val="20"/>
                <w:szCs w:val="20"/>
                <w:lang w:val="en-US"/>
              </w:rPr>
              <w:t>Cod</w:t>
            </w:r>
            <w:r>
              <w:rPr>
                <w:rFonts w:ascii="Verdana" w:hAnsi="Verdana"/>
                <w:i/>
                <w:sz w:val="20"/>
                <w:szCs w:val="20"/>
                <w:lang w:val="en-US"/>
              </w:rPr>
              <w:t>e</w:t>
            </w:r>
            <w:r w:rsidRPr="00A16F7D">
              <w:rPr>
                <w:rFonts w:ascii="Verdana" w:hAnsi="Verdana"/>
                <w:i/>
                <w:sz w:val="20"/>
                <w:szCs w:val="20"/>
                <w:lang w:val="en-US"/>
              </w:rPr>
              <w:t xml:space="preserve"> Form Name</w:t>
            </w: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A</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Aviation routine reports (“METAR”)</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2</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C</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Aerodrome Forecast (“TAF”) (VT&lt;12 hours)</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3</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K</w:t>
            </w:r>
          </w:p>
        </w:tc>
        <w:tc>
          <w:tcPr>
            <w:tcW w:w="5245"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Tropical cyclone advisories</w:t>
            </w:r>
          </w:p>
        </w:tc>
        <w:tc>
          <w:tcPr>
            <w:tcW w:w="1543"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3</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P</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Special aviation weather reports (“SPECI”)</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2</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S</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Aviation general warning (“SIGMET”)</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1</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T</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Aviation aerodrome forecast (“TAF”) (VT &lt;= 12hours)</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3</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U</w:t>
            </w:r>
          </w:p>
        </w:tc>
        <w:tc>
          <w:tcPr>
            <w:tcW w:w="5245"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Volcanic ash advisory</w:t>
            </w:r>
          </w:p>
        </w:tc>
        <w:tc>
          <w:tcPr>
            <w:tcW w:w="1543"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3</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V</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Aviation volcanic ash warning (”SIGMET”)</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1</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W</w:t>
            </w:r>
          </w:p>
        </w:tc>
        <w:tc>
          <w:tcPr>
            <w:tcW w:w="5245"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AIRMET</w:t>
            </w:r>
          </w:p>
        </w:tc>
        <w:tc>
          <w:tcPr>
            <w:tcW w:w="1543" w:type="dxa"/>
          </w:tcPr>
          <w:p w:rsidR="00A16F7D" w:rsidRPr="00A16F7D" w:rsidRDefault="00A16F7D">
            <w:pPr>
              <w:jc w:val="both"/>
              <w:rPr>
                <w:rFonts w:ascii="Verdana" w:hAnsi="Verdana"/>
                <w:color w:val="00B050"/>
                <w:sz w:val="20"/>
                <w:szCs w:val="20"/>
                <w:u w:val="dash"/>
                <w:lang w:val="en-US"/>
              </w:rPr>
            </w:pPr>
            <w:r w:rsidRPr="00A16F7D">
              <w:rPr>
                <w:rFonts w:ascii="Verdana" w:hAnsi="Verdana"/>
                <w:color w:val="00B050"/>
                <w:sz w:val="20"/>
                <w:szCs w:val="20"/>
                <w:u w:val="dash"/>
                <w:lang w:val="en-US"/>
              </w:rPr>
              <w:t>1</w:t>
            </w:r>
          </w:p>
        </w:tc>
        <w:tc>
          <w:tcPr>
            <w:tcW w:w="1543" w:type="dxa"/>
          </w:tcPr>
          <w:p w:rsidR="00A16F7D" w:rsidRDefault="00A16F7D">
            <w:pPr>
              <w:jc w:val="both"/>
              <w:rPr>
                <w:rFonts w:ascii="Verdana" w:hAnsi="Verdana"/>
                <w:sz w:val="20"/>
                <w:szCs w:val="20"/>
                <w:lang w:val="en-US"/>
              </w:rPr>
            </w:pPr>
          </w:p>
        </w:tc>
      </w:tr>
      <w:tr w:rsidR="00A16F7D" w:rsidTr="00A16F7D">
        <w:tc>
          <w:tcPr>
            <w:tcW w:w="1526" w:type="dxa"/>
          </w:tcPr>
          <w:p w:rsidR="00A16F7D" w:rsidRDefault="00A16F7D">
            <w:pPr>
              <w:jc w:val="both"/>
              <w:rPr>
                <w:rFonts w:ascii="Verdana" w:hAnsi="Verdana"/>
                <w:sz w:val="20"/>
                <w:szCs w:val="20"/>
                <w:lang w:val="en-US"/>
              </w:rPr>
            </w:pPr>
            <w:r>
              <w:rPr>
                <w:rFonts w:ascii="Verdana" w:hAnsi="Verdana"/>
                <w:sz w:val="20"/>
                <w:szCs w:val="20"/>
                <w:lang w:val="en-US"/>
              </w:rPr>
              <w:t>Y</w:t>
            </w:r>
          </w:p>
        </w:tc>
        <w:tc>
          <w:tcPr>
            <w:tcW w:w="5245" w:type="dxa"/>
          </w:tcPr>
          <w:p w:rsidR="00A16F7D" w:rsidRDefault="00A16F7D">
            <w:pPr>
              <w:jc w:val="both"/>
              <w:rPr>
                <w:rFonts w:ascii="Verdana" w:hAnsi="Verdana"/>
                <w:sz w:val="20"/>
                <w:szCs w:val="20"/>
                <w:lang w:val="en-US"/>
              </w:rPr>
            </w:pPr>
            <w:r>
              <w:rPr>
                <w:rFonts w:ascii="Verdana" w:hAnsi="Verdana"/>
                <w:sz w:val="20"/>
                <w:szCs w:val="20"/>
                <w:lang w:val="en-US"/>
              </w:rPr>
              <w:t>Aviation tropical cyclone warning (“SIGMET”)</w:t>
            </w:r>
          </w:p>
        </w:tc>
        <w:tc>
          <w:tcPr>
            <w:tcW w:w="1543" w:type="dxa"/>
          </w:tcPr>
          <w:p w:rsidR="00A16F7D" w:rsidRDefault="00A16F7D">
            <w:pPr>
              <w:jc w:val="both"/>
              <w:rPr>
                <w:rFonts w:ascii="Verdana" w:hAnsi="Verdana"/>
                <w:sz w:val="20"/>
                <w:szCs w:val="20"/>
                <w:lang w:val="en-US"/>
              </w:rPr>
            </w:pPr>
            <w:r>
              <w:rPr>
                <w:rFonts w:ascii="Verdana" w:hAnsi="Verdana"/>
                <w:sz w:val="20"/>
                <w:szCs w:val="20"/>
                <w:lang w:val="en-US"/>
              </w:rPr>
              <w:t>1</w:t>
            </w:r>
          </w:p>
        </w:tc>
        <w:tc>
          <w:tcPr>
            <w:tcW w:w="1543" w:type="dxa"/>
          </w:tcPr>
          <w:p w:rsidR="00A16F7D" w:rsidRDefault="00A16F7D">
            <w:pPr>
              <w:jc w:val="both"/>
              <w:rPr>
                <w:rFonts w:ascii="Verdana" w:hAnsi="Verdana"/>
                <w:sz w:val="20"/>
                <w:szCs w:val="20"/>
                <w:lang w:val="en-US"/>
              </w:rPr>
            </w:pPr>
          </w:p>
        </w:tc>
      </w:tr>
    </w:tbl>
    <w:p w:rsidR="00A16F7D" w:rsidRPr="00F35A04" w:rsidRDefault="00A16F7D">
      <w:pPr>
        <w:jc w:val="both"/>
        <w:rPr>
          <w:rFonts w:ascii="Verdana" w:hAnsi="Verdana"/>
          <w:sz w:val="20"/>
          <w:szCs w:val="20"/>
          <w:lang w:val="en-US"/>
        </w:rPr>
      </w:pPr>
    </w:p>
    <w:sectPr w:rsidR="00A16F7D"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2174A"/>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025"/>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6F7D"/>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A16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A16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CBD3EBC5.dotm</Template>
  <TotalTime>13</TotalTime>
  <Pages>2</Pages>
  <Words>519</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2016-04-12T13:28:00Z</dcterms:created>
  <dcterms:modified xsi:type="dcterms:W3CDTF">2016-04-12T13:40:00Z</dcterms:modified>
</cp:coreProperties>
</file>