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E22889">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E22889">
              <w:rPr>
                <w:rFonts w:ascii="Verdana" w:hAnsi="Verdana"/>
                <w:sz w:val="20"/>
                <w:szCs w:val="20"/>
              </w:rPr>
              <w:t>3</w:t>
            </w:r>
            <w:r w:rsidR="00160129" w:rsidRPr="00F35A04">
              <w:rPr>
                <w:rFonts w:ascii="Verdana" w:hAnsi="Verdana"/>
                <w:sz w:val="20"/>
                <w:szCs w:val="20"/>
              </w:rPr>
              <w:t>.</w:t>
            </w:r>
            <w:r w:rsidR="00E22889">
              <w:rPr>
                <w:rFonts w:ascii="Verdana" w:hAnsi="Verdana"/>
                <w:sz w:val="20"/>
                <w:szCs w:val="20"/>
              </w:rPr>
              <w:t>3</w:t>
            </w:r>
            <w:r w:rsidR="00484AEF" w:rsidRPr="00F35A04">
              <w:rPr>
                <w:rFonts w:ascii="Verdana" w:hAnsi="Verdana"/>
                <w:sz w:val="20"/>
                <w:szCs w:val="20"/>
              </w:rPr>
              <w:t xml:space="preserve"> </w:t>
            </w:r>
            <w:r w:rsidR="00160129" w:rsidRPr="00F35A04">
              <w:rPr>
                <w:rFonts w:ascii="Verdana" w:hAnsi="Verdana"/>
                <w:sz w:val="20"/>
                <w:szCs w:val="20"/>
              </w:rPr>
              <w:t>(</w:t>
            </w:r>
            <w:r w:rsidR="00E22889">
              <w:rPr>
                <w:rFonts w:ascii="Verdana" w:hAnsi="Verdana"/>
                <w:sz w:val="20"/>
                <w:szCs w:val="20"/>
              </w:rPr>
              <w:t>1</w:t>
            </w:r>
            <w:r w:rsidRPr="00F35A04">
              <w:rPr>
                <w:rFonts w:ascii="Verdana" w:hAnsi="Verdana"/>
                <w:sz w:val="20"/>
                <w:szCs w:val="20"/>
              </w:rPr>
              <w:t>)</w:t>
            </w:r>
          </w:p>
          <w:p w:rsidR="005554A5" w:rsidRPr="00F35A04" w:rsidRDefault="005554A5" w:rsidP="00E22889">
            <w:pPr>
              <w:rPr>
                <w:rFonts w:ascii="Verdana" w:hAnsi="Verdana"/>
                <w:sz w:val="20"/>
                <w:szCs w:val="20"/>
              </w:rPr>
            </w:pPr>
            <w:r w:rsidRPr="00F35A04">
              <w:rPr>
                <w:rFonts w:ascii="Verdana" w:hAnsi="Verdana"/>
                <w:sz w:val="20"/>
                <w:szCs w:val="20"/>
              </w:rPr>
              <w:t>(</w:t>
            </w:r>
            <w:r w:rsidR="00E22889">
              <w:rPr>
                <w:rFonts w:ascii="Verdana" w:hAnsi="Verdana"/>
                <w:sz w:val="20"/>
                <w:szCs w:val="20"/>
              </w:rPr>
              <w:t>17</w:t>
            </w:r>
            <w:r w:rsidRPr="00F35A04">
              <w:rPr>
                <w:rFonts w:ascii="Verdana" w:hAnsi="Verdana"/>
                <w:sz w:val="20"/>
                <w:szCs w:val="20"/>
              </w:rPr>
              <w:t>.</w:t>
            </w:r>
            <w:r w:rsidR="00D564D5" w:rsidRPr="00F35A04">
              <w:rPr>
                <w:rFonts w:ascii="Verdana" w:hAnsi="Verdana"/>
                <w:sz w:val="20"/>
                <w:szCs w:val="20"/>
              </w:rPr>
              <w:t xml:space="preserve"> </w:t>
            </w:r>
            <w:r w:rsidR="00E22889">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E22889">
            <w:pPr>
              <w:rPr>
                <w:rFonts w:ascii="Verdana" w:hAnsi="Verdana"/>
                <w:sz w:val="20"/>
                <w:szCs w:val="20"/>
              </w:rPr>
            </w:pPr>
            <w:r w:rsidRPr="00F35A04">
              <w:rPr>
                <w:rFonts w:ascii="Verdana" w:hAnsi="Verdana"/>
                <w:sz w:val="20"/>
                <w:szCs w:val="20"/>
              </w:rPr>
              <w:t xml:space="preserve">ITEM </w:t>
            </w:r>
            <w:r w:rsidR="00E22889">
              <w:rPr>
                <w:rFonts w:ascii="Verdana" w:hAnsi="Verdana"/>
                <w:sz w:val="20"/>
                <w:szCs w:val="20"/>
              </w:rPr>
              <w:t>3</w:t>
            </w:r>
            <w:r w:rsidRPr="00F35A04">
              <w:rPr>
                <w:rFonts w:ascii="Verdana" w:hAnsi="Verdana"/>
                <w:sz w:val="20"/>
                <w:szCs w:val="20"/>
              </w:rPr>
              <w:t>.</w:t>
            </w:r>
            <w:r w:rsidR="00E22889">
              <w:rPr>
                <w:rFonts w:ascii="Verdana" w:hAnsi="Verdana"/>
                <w:sz w:val="20"/>
                <w:szCs w:val="20"/>
              </w:rPr>
              <w:t>3</w:t>
            </w:r>
            <w:bookmarkStart w:id="0" w:name="_GoBack"/>
            <w:bookmarkEnd w:id="0"/>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6D7D8F"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BUFR AND CREX"/>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BUFR AND CREX</w:t>
      </w:r>
      <w:r>
        <w:rPr>
          <w:rFonts w:ascii="Verdana" w:hAnsi="Verdana"/>
          <w:sz w:val="20"/>
          <w:szCs w:val="20"/>
        </w:rPr>
        <w:fldChar w:fldCharType="end"/>
      </w:r>
      <w:bookmarkEnd w:id="1"/>
    </w:p>
    <w:p w:rsidR="009F245F" w:rsidRPr="00F35A04" w:rsidRDefault="00AE0F5A"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Proposed feature selection for  BUFR Edition 5"/>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Proposed feature selection for  BUFR Edition 5</w:t>
      </w:r>
      <w:r>
        <w:rPr>
          <w:rFonts w:ascii="Verdana" w:hAnsi="Verdana" w:cs="Arial"/>
          <w:b/>
          <w:sz w:val="20"/>
          <w:szCs w:val="20"/>
        </w:rPr>
        <w:fldChar w:fldCharType="end"/>
      </w:r>
      <w:bookmarkEnd w:id="2"/>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6D7D8F">
        <w:rPr>
          <w:rFonts w:ascii="Verdana" w:hAnsi="Verdana"/>
          <w:i/>
          <w:sz w:val="20"/>
          <w:szCs w:val="20"/>
        </w:rPr>
        <w:fldChar w:fldCharType="begin">
          <w:ffData>
            <w:name w:val="Text3"/>
            <w:enabled/>
            <w:calcOnExit w:val="0"/>
            <w:textInput>
              <w:default w:val="Yves PELLETIER (Canada)"/>
            </w:textInput>
          </w:ffData>
        </w:fldChar>
      </w:r>
      <w:bookmarkStart w:id="3" w:name="Text3"/>
      <w:r w:rsidR="006D7D8F">
        <w:rPr>
          <w:rFonts w:ascii="Verdana" w:hAnsi="Verdana"/>
          <w:i/>
          <w:sz w:val="20"/>
          <w:szCs w:val="20"/>
        </w:rPr>
        <w:instrText xml:space="preserve"> FORMTEXT </w:instrText>
      </w:r>
      <w:r w:rsidR="006D7D8F">
        <w:rPr>
          <w:rFonts w:ascii="Verdana" w:hAnsi="Verdana"/>
          <w:i/>
          <w:sz w:val="20"/>
          <w:szCs w:val="20"/>
        </w:rPr>
      </w:r>
      <w:r w:rsidR="006D7D8F">
        <w:rPr>
          <w:rFonts w:ascii="Verdana" w:hAnsi="Verdana"/>
          <w:i/>
          <w:sz w:val="20"/>
          <w:szCs w:val="20"/>
        </w:rPr>
        <w:fldChar w:fldCharType="separate"/>
      </w:r>
      <w:r w:rsidR="006D7D8F">
        <w:rPr>
          <w:rFonts w:ascii="Verdana" w:hAnsi="Verdana"/>
          <w:i/>
          <w:noProof/>
          <w:sz w:val="20"/>
          <w:szCs w:val="20"/>
        </w:rPr>
        <w:t>Yves PELLETIER (Canada)</w:t>
      </w:r>
      <w:r w:rsidR="006D7D8F">
        <w:rPr>
          <w:rFonts w:ascii="Verdana" w:hAnsi="Verdana"/>
          <w:i/>
          <w:sz w:val="20"/>
          <w:szCs w:val="20"/>
        </w:rPr>
        <w:fldChar w:fldCharType="end"/>
      </w:r>
      <w:bookmarkEnd w:id="3"/>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6D7D8F" w:rsidP="009F245F">
      <w:pPr>
        <w:pStyle w:val="BodyText"/>
        <w:ind w:left="770" w:right="839"/>
        <w:rPr>
          <w:rFonts w:ascii="Verdana" w:hAnsi="Verdana"/>
          <w:sz w:val="20"/>
          <w:szCs w:val="20"/>
        </w:rPr>
      </w:pPr>
      <w:r>
        <w:rPr>
          <w:rFonts w:ascii="Verdana" w:hAnsi="Verdana"/>
          <w:sz w:val="20"/>
          <w:szCs w:val="20"/>
        </w:rPr>
        <w:fldChar w:fldCharType="begin">
          <w:ffData>
            <w:name w:val="Text4"/>
            <w:enabled/>
            <w:calcOnExit w:val="0"/>
            <w:textInput>
              <w:default w:val="This document and the spreadsheet in annex summarize the requirements gathered for BUFR Edition 5. A triage of the requirements is proposed, as well as ways forward for the selected requirements."/>
            </w:textInput>
          </w:ffData>
        </w:fldChar>
      </w:r>
      <w:bookmarkStart w:id="4"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This document and the spreadsheet in annex summarize the requirements gathered for BUFR Edition 5. A triage of the requirements is proposed, as well as ways forward for the selected requirements.</w:t>
      </w:r>
      <w:r>
        <w:rPr>
          <w:rFonts w:ascii="Verdana" w:hAnsi="Verdana"/>
          <w:sz w:val="20"/>
          <w:szCs w:val="20"/>
        </w:rPr>
        <w:fldChar w:fldCharType="end"/>
      </w:r>
      <w:bookmarkEnd w:id="4"/>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CC02C3" w:rsidP="009F245F">
      <w:pPr>
        <w:pStyle w:val="BodyText"/>
        <w:rPr>
          <w:rFonts w:ascii="Verdana" w:hAnsi="Verdana"/>
          <w:sz w:val="20"/>
          <w:szCs w:val="20"/>
        </w:rPr>
      </w:pPr>
      <w:r>
        <w:rPr>
          <w:rFonts w:ascii="Verdana" w:hAnsi="Verdana"/>
          <w:sz w:val="20"/>
          <w:szCs w:val="20"/>
        </w:rPr>
        <w:fldChar w:fldCharType="begin">
          <w:ffData>
            <w:name w:val="Text5"/>
            <w:enabled/>
            <w:calcOnExit w:val="0"/>
            <w:textInput>
              <w:default w:val="The meeting is requested to consider the documents and proposals, and issue recommendations regarding their implementation in BUFR Edition 5."/>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 meeting is requested to consider the documents and proposals, and issue recommendations regarding their implementation in BUFR Edition 5.</w:t>
      </w:r>
      <w:r>
        <w:rPr>
          <w:rFonts w:ascii="Verdana" w:hAnsi="Verdana"/>
          <w:sz w:val="20"/>
          <w:szCs w:val="20"/>
        </w:rPr>
        <w:fldChar w:fldCharType="end"/>
      </w:r>
      <w:bookmarkEnd w:id="5"/>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6D7D8F">
        <w:rPr>
          <w:rFonts w:ascii="Verdana" w:hAnsi="Verdana"/>
          <w:sz w:val="20"/>
          <w:szCs w:val="20"/>
        </w:rPr>
        <w:fldChar w:fldCharType="begin">
          <w:ffData>
            <w:name w:val="Text6"/>
            <w:enabled/>
            <w:calcOnExit w:val="0"/>
            <w:textInput>
              <w:default w:val="See accompanying electronic spreadsheet"/>
            </w:textInput>
          </w:ffData>
        </w:fldChar>
      </w:r>
      <w:bookmarkStart w:id="6" w:name="Text6"/>
      <w:r w:rsidR="006D7D8F">
        <w:rPr>
          <w:rFonts w:ascii="Verdana" w:hAnsi="Verdana"/>
          <w:sz w:val="20"/>
          <w:szCs w:val="20"/>
        </w:rPr>
        <w:instrText xml:space="preserve"> FORMTEXT </w:instrText>
      </w:r>
      <w:r w:rsidR="006D7D8F">
        <w:rPr>
          <w:rFonts w:ascii="Verdana" w:hAnsi="Verdana"/>
          <w:sz w:val="20"/>
          <w:szCs w:val="20"/>
        </w:rPr>
      </w:r>
      <w:r w:rsidR="006D7D8F">
        <w:rPr>
          <w:rFonts w:ascii="Verdana" w:hAnsi="Verdana"/>
          <w:sz w:val="20"/>
          <w:szCs w:val="20"/>
        </w:rPr>
        <w:fldChar w:fldCharType="separate"/>
      </w:r>
      <w:r w:rsidR="006D7D8F">
        <w:rPr>
          <w:rFonts w:ascii="Verdana" w:hAnsi="Verdana"/>
          <w:noProof/>
          <w:sz w:val="20"/>
          <w:szCs w:val="20"/>
        </w:rPr>
        <w:t>See accompanying electronic spreadsheet</w:t>
      </w:r>
      <w:r w:rsidR="006D7D8F">
        <w:rPr>
          <w:rFonts w:ascii="Verdana" w:hAnsi="Verdana"/>
          <w:sz w:val="20"/>
          <w:szCs w:val="20"/>
        </w:rPr>
        <w:fldChar w:fldCharType="end"/>
      </w:r>
      <w:bookmarkEnd w:id="6"/>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A708CA" w:rsidRPr="00A104F1" w:rsidRDefault="009F245F" w:rsidP="00A708CA">
      <w:pPr>
        <w:spacing w:before="100" w:beforeAutospacing="1" w:after="100" w:afterAutospacing="1"/>
        <w:rPr>
          <w:rFonts w:eastAsia="Times New Roman"/>
          <w:lang w:val="en-CA" w:eastAsia="fr-CA"/>
        </w:rPr>
      </w:pPr>
      <w:r w:rsidRPr="00F35A04">
        <w:rPr>
          <w:rFonts w:ascii="Verdana" w:hAnsi="Verdana"/>
          <w:b/>
          <w:sz w:val="20"/>
          <w:szCs w:val="20"/>
        </w:rPr>
        <w:br w:type="page"/>
      </w:r>
      <w:r w:rsidR="00A708CA" w:rsidRPr="00A104F1">
        <w:rPr>
          <w:rFonts w:eastAsia="Times New Roman"/>
          <w:b/>
          <w:bCs/>
          <w:lang w:val="en-CA" w:eastAsia="fr-CA"/>
        </w:rPr>
        <w:lastRenderedPageBreak/>
        <w:t>Context</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 xml:space="preserve">The IPET-DRMM III meeting in Beijing discussed BUFR Edition 5 and how to proceed with the list of requirements that has been gathered in recent years. One important issue was whether to include the following requirement, as per recommendations of the joint IPET-DRC and IPET-MDI </w:t>
      </w:r>
      <w:r w:rsidR="00A26738">
        <w:rPr>
          <w:rFonts w:eastAsia="Times New Roman"/>
          <w:lang w:val="en-CA" w:eastAsia="fr-CA"/>
        </w:rPr>
        <w:t xml:space="preserve">meeting </w:t>
      </w:r>
      <w:r w:rsidRPr="00A104F1">
        <w:rPr>
          <w:rFonts w:eastAsia="Times New Roman"/>
          <w:lang w:val="en-CA" w:eastAsia="fr-CA"/>
        </w:rPr>
        <w:t>in Exeter</w:t>
      </w:r>
      <w:r w:rsidR="00A26738">
        <w:rPr>
          <w:rFonts w:eastAsia="Times New Roman"/>
          <w:lang w:val="en-CA" w:eastAsia="fr-CA"/>
        </w:rPr>
        <w:t xml:space="preserve"> (2012)</w:t>
      </w:r>
      <w:r w:rsidRPr="00A104F1">
        <w:rPr>
          <w:rFonts w:eastAsia="Times New Roman"/>
          <w:lang w:val="en-CA" w:eastAsia="fr-CA"/>
        </w:rPr>
        <w:t>:</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“A consistent approach to the handling of generalized coordinates and polymorphism [is required]. The regulations for BUFR Edition 5 must stipulate that all Table D sequences used must be opened and closed by the occurrences of the same Generalized Coordinate and/or Significance Qualif</w:t>
      </w:r>
      <w:r w:rsidR="00F9575D">
        <w:rPr>
          <w:rFonts w:eastAsia="Times New Roman"/>
          <w:lang w:val="en-CA" w:eastAsia="fr-CA"/>
        </w:rPr>
        <w:t>ier.”  (We will refer to this henceforth</w:t>
      </w:r>
      <w:r w:rsidRPr="00A104F1">
        <w:rPr>
          <w:rFonts w:eastAsia="Times New Roman"/>
          <w:lang w:val="en-CA" w:eastAsia="fr-CA"/>
        </w:rPr>
        <w:t xml:space="preserve"> as “scoping”).</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While highly desirable in principle, the above would require the rewriting of many, if not most, current Table D sequences. It may also not be possible to apply scoping to all combinations of descriptors allowable by the current Data Syntax regulations. Thus, attempts to resolve the ripple effects of scoping could require the review and modification of certain existing regulations and practices in the use of the BUFR Data Syntax. In light of this, and of the short time left to propose BUFR Edition 5 for the upcoming CBS, the guidanc</w:t>
      </w:r>
      <w:r>
        <w:rPr>
          <w:rFonts w:eastAsia="Times New Roman"/>
          <w:lang w:val="en-CA" w:eastAsia="fr-CA"/>
        </w:rPr>
        <w:t xml:space="preserve">e resulting from IPET-DRMM III </w:t>
      </w:r>
      <w:r w:rsidRPr="00A104F1">
        <w:rPr>
          <w:rFonts w:eastAsia="Times New Roman"/>
          <w:lang w:val="en-CA" w:eastAsia="fr-CA"/>
        </w:rPr>
        <w:t>discussions was to focus on feature requests that would provide improvements with lesser impacts.  This is what we will now endeavour to do.</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b/>
          <w:bCs/>
          <w:lang w:val="en-CA" w:eastAsia="fr-CA"/>
        </w:rPr>
        <w:t>Documentation</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An Excel table has been in existence for the past few years which documents the feature requests that have been received over time for BUFR Edition 5. The latest version of this file is attached herewith. This new version contains three sheets. The first sheet contains the proposed reduced set of Feature Requests that we propose for implementation. The second sheet contains the full list of Feature Requests before triage; and the third one documents the impact scale that was used for the purpose of triage.</w:t>
      </w:r>
    </w:p>
    <w:p w:rsidR="00A708CA" w:rsidRPr="00A104F1" w:rsidRDefault="00A708CA" w:rsidP="00A708CA">
      <w:pPr>
        <w:spacing w:before="100" w:beforeAutospacing="1" w:after="240"/>
        <w:rPr>
          <w:rFonts w:eastAsia="Times New Roman"/>
          <w:lang w:val="en-CA" w:eastAsia="fr-CA"/>
        </w:rPr>
      </w:pPr>
      <w:r w:rsidRPr="00A104F1">
        <w:rPr>
          <w:rFonts w:eastAsia="Times New Roman"/>
          <w:lang w:val="en-CA" w:eastAsia="fr-CA"/>
        </w:rPr>
        <w:t>In the full list, the Feature Requests are sorted in accordance to the following themes:</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1.       Metadata interoperability</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2.       Other functional enhancements to the code form itself</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 xml:space="preserve">3.       Procedural enhancements, usually meaning improvement requests to the management infrastructure surrounding the Tables </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In addition to this classification by theme, the proposals were triaged in accordance with an impact scale. The impact is quantified as nil, light, medium or major, as described in more detail within the Excel file, in the sheet entitled “Impact scale”.</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lastRenderedPageBreak/>
        <w:t>Finally, some triage deci</w:t>
      </w:r>
      <w:r>
        <w:rPr>
          <w:rFonts w:eastAsia="Times New Roman"/>
          <w:lang w:val="en-CA" w:eastAsia="fr-CA"/>
        </w:rPr>
        <w:t>sions were based on judgment</w:t>
      </w:r>
      <w:r w:rsidRPr="00A104F1">
        <w:rPr>
          <w:rFonts w:eastAsia="Times New Roman"/>
          <w:lang w:val="en-CA" w:eastAsia="fr-CA"/>
        </w:rPr>
        <w:t>.  In these cases, the considerations were mainly of cost/benefit, and whether a sufficiently clear and compelling use case existed according to our best judgment and knowledge, given the context described above.</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Following this process, we retained those proposals from the Joint Meeting in Exeter that remained achievable given those restrictions. Regretfully, we felt we had to rule out some of the most meaningful proposals due to the complexity and ramifications of their implementation in light of the context discussed above.</w:t>
      </w:r>
    </w:p>
    <w:p w:rsidR="00A708CA" w:rsidRPr="002D2E75" w:rsidRDefault="00A708CA" w:rsidP="00A708CA">
      <w:pPr>
        <w:spacing w:before="100" w:beforeAutospacing="1" w:after="100" w:afterAutospacing="1"/>
        <w:rPr>
          <w:rFonts w:eastAsia="Times New Roman"/>
          <w:lang w:val="en-CA" w:eastAsia="fr-CA"/>
        </w:rPr>
      </w:pPr>
      <w:r w:rsidRPr="002D2E75">
        <w:rPr>
          <w:rFonts w:eastAsia="Times New Roman"/>
          <w:b/>
          <w:bCs/>
          <w:lang w:val="en-CA" w:eastAsia="fr-CA"/>
        </w:rPr>
        <w:t>Software implementation</w:t>
      </w:r>
      <w:r w:rsidR="00F03346">
        <w:rPr>
          <w:rFonts w:eastAsia="Times New Roman"/>
          <w:b/>
          <w:bCs/>
          <w:lang w:val="en-CA" w:eastAsia="fr-CA"/>
        </w:rPr>
        <w:t>,</w:t>
      </w:r>
      <w:r w:rsidR="00717DB5">
        <w:rPr>
          <w:rFonts w:eastAsia="Times New Roman"/>
          <w:b/>
          <w:bCs/>
          <w:lang w:val="en-CA" w:eastAsia="fr-CA"/>
        </w:rPr>
        <w:t xml:space="preserve"> </w:t>
      </w:r>
      <w:r w:rsidR="00F03346">
        <w:rPr>
          <w:rFonts w:eastAsia="Times New Roman"/>
          <w:b/>
          <w:bCs/>
          <w:lang w:val="en-CA" w:eastAsia="fr-CA"/>
        </w:rPr>
        <w:t>testing and eventual deployment</w:t>
      </w:r>
    </w:p>
    <w:p w:rsidR="00717DB5"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It is proposed to achieve the software implementation</w:t>
      </w:r>
      <w:r w:rsidR="005C7725">
        <w:rPr>
          <w:rFonts w:eastAsia="Times New Roman"/>
          <w:lang w:val="en-CA" w:eastAsia="fr-CA"/>
        </w:rPr>
        <w:t xml:space="preserve"> </w:t>
      </w:r>
      <w:r w:rsidRPr="00A104F1">
        <w:rPr>
          <w:rFonts w:eastAsia="Times New Roman"/>
          <w:lang w:val="en-CA" w:eastAsia="fr-CA"/>
        </w:rPr>
        <w:t xml:space="preserve">of </w:t>
      </w:r>
      <w:r>
        <w:rPr>
          <w:rFonts w:eastAsia="Times New Roman"/>
          <w:lang w:val="en-CA" w:eastAsia="fr-CA"/>
        </w:rPr>
        <w:t xml:space="preserve">BUFR Edition 5 </w:t>
      </w:r>
      <w:r w:rsidRPr="00A104F1">
        <w:rPr>
          <w:rFonts w:eastAsia="Times New Roman"/>
          <w:lang w:val="en-CA" w:eastAsia="fr-CA"/>
        </w:rPr>
        <w:t>by means of relatively incremental changes to the existing source code of existing encod</w:t>
      </w:r>
      <w:r w:rsidR="00717DB5">
        <w:rPr>
          <w:rFonts w:eastAsia="Times New Roman"/>
          <w:lang w:val="en-CA" w:eastAsia="fr-CA"/>
        </w:rPr>
        <w:t>er/decoders for BUFR Edition 4.</w:t>
      </w:r>
    </w:p>
    <w:p w:rsidR="00A708CA" w:rsidRPr="002D2E75"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There is currently no concrete software implementation of the proposed BUFR Edition 5.</w:t>
      </w:r>
      <w:r>
        <w:rPr>
          <w:rFonts w:eastAsia="Times New Roman"/>
          <w:lang w:val="en-CA" w:eastAsia="fr-CA"/>
        </w:rPr>
        <w:t xml:space="preserve"> </w:t>
      </w:r>
      <w:r w:rsidR="00717DB5">
        <w:rPr>
          <w:rFonts w:eastAsia="Times New Roman"/>
          <w:lang w:val="en-CA" w:eastAsia="fr-CA"/>
        </w:rPr>
        <w:t>It is proposed that interested Centres should devise a development plan that would include the implementation, testing and validation of the proposed new features.</w:t>
      </w:r>
      <w:r w:rsidR="00F03346">
        <w:rPr>
          <w:rFonts w:eastAsia="Times New Roman"/>
          <w:lang w:val="en-CA" w:eastAsia="fr-CA"/>
        </w:rPr>
        <w:t xml:space="preserve"> The eventual operational migration to BUFR Edition 5 is </w:t>
      </w:r>
      <w:r w:rsidR="002F44AA">
        <w:rPr>
          <w:rFonts w:eastAsia="Times New Roman"/>
          <w:lang w:val="en-CA" w:eastAsia="fr-CA"/>
        </w:rPr>
        <w:t>envisioned as a gradual process, driven in part by the introduction of new data products. It is recommended that BUFR Edition 4 remain</w:t>
      </w:r>
      <w:r w:rsidR="00F03346">
        <w:rPr>
          <w:rFonts w:eastAsia="Times New Roman"/>
          <w:lang w:val="en-CA" w:eastAsia="fr-CA"/>
        </w:rPr>
        <w:t xml:space="preserve"> in operational use for a significant amount of time in the future.</w:t>
      </w:r>
    </w:p>
    <w:p w:rsidR="00A708CA" w:rsidRPr="00A104F1" w:rsidRDefault="00A708CA" w:rsidP="00A708CA">
      <w:pPr>
        <w:spacing w:before="100" w:beforeAutospacing="1" w:after="100" w:afterAutospacing="1"/>
        <w:rPr>
          <w:rFonts w:eastAsia="Times New Roman"/>
          <w:lang w:val="en-CA" w:eastAsia="fr-CA"/>
        </w:rPr>
      </w:pPr>
      <w:r w:rsidRPr="00A104F1">
        <w:rPr>
          <w:rFonts w:eastAsia="Times New Roman"/>
          <w:b/>
          <w:bCs/>
          <w:lang w:val="en-CA" w:eastAsia="fr-CA"/>
        </w:rPr>
        <w:t>Summary of proposed changes for BUFR Ed. 5</w:t>
      </w:r>
    </w:p>
    <w:p w:rsidR="00A708CA" w:rsidRPr="000D5BC5" w:rsidRDefault="00A708CA" w:rsidP="00A708CA">
      <w:pPr>
        <w:spacing w:before="100" w:beforeAutospacing="1" w:after="100" w:afterAutospacing="1"/>
        <w:rPr>
          <w:rFonts w:eastAsia="Times New Roman"/>
          <w:lang w:val="en-CA" w:eastAsia="fr-CA"/>
        </w:rPr>
      </w:pPr>
      <w:r w:rsidRPr="00A104F1">
        <w:rPr>
          <w:rFonts w:eastAsia="Times New Roman"/>
          <w:lang w:val="en-CA" w:eastAsia="fr-CA"/>
        </w:rPr>
        <w:t>What follows is a li</w:t>
      </w:r>
      <w:r>
        <w:rPr>
          <w:rFonts w:eastAsia="Times New Roman"/>
          <w:lang w:val="en-CA" w:eastAsia="fr-CA"/>
        </w:rPr>
        <w:t>st of the proposals that were selected</w:t>
      </w:r>
      <w:r w:rsidRPr="00A104F1">
        <w:rPr>
          <w:rFonts w:eastAsia="Times New Roman"/>
          <w:lang w:val="en-CA" w:eastAsia="fr-CA"/>
        </w:rPr>
        <w:t xml:space="preserve">, with associated proposals for further discussion. </w:t>
      </w:r>
      <w:r w:rsidRPr="000D5BC5">
        <w:rPr>
          <w:rFonts w:eastAsia="Times New Roman"/>
          <w:lang w:val="en-CA" w:eastAsia="fr-CA"/>
        </w:rPr>
        <w:t>For full d</w:t>
      </w:r>
      <w:r w:rsidR="0047647D">
        <w:rPr>
          <w:rFonts w:eastAsia="Times New Roman"/>
          <w:lang w:val="en-CA" w:eastAsia="fr-CA"/>
        </w:rPr>
        <w:t xml:space="preserve">etails, please see the </w:t>
      </w:r>
      <w:r w:rsidRPr="000D5BC5">
        <w:rPr>
          <w:rFonts w:eastAsia="Times New Roman"/>
          <w:lang w:val="en-CA" w:eastAsia="fr-CA"/>
        </w:rPr>
        <w:t>spreadsheet</w:t>
      </w:r>
      <w:r w:rsidR="0047647D">
        <w:rPr>
          <w:rFonts w:eastAsia="Times New Roman"/>
          <w:lang w:val="en-CA" w:eastAsia="fr-CA"/>
        </w:rPr>
        <w:t xml:space="preserve"> in annex to this document</w:t>
      </w:r>
      <w:r w:rsidRPr="000D5BC5">
        <w:rPr>
          <w:rFonts w:eastAsia="Times New Roman"/>
          <w:lang w:val="en-CA" w:eastAsia="fr-CA"/>
        </w:rPr>
        <w:t>.</w:t>
      </w:r>
    </w:p>
    <w:p w:rsidR="00A708CA" w:rsidRPr="000D5BC5" w:rsidRDefault="00A708CA" w:rsidP="00A708CA">
      <w:pPr>
        <w:rPr>
          <w:lang w:val="en-CA"/>
        </w:rPr>
      </w:pPr>
    </w:p>
    <w:tbl>
      <w:tblPr>
        <w:tblW w:w="8642" w:type="dxa"/>
        <w:tblCellMar>
          <w:left w:w="70" w:type="dxa"/>
          <w:right w:w="70" w:type="dxa"/>
        </w:tblCellMar>
        <w:tblLook w:val="04A0" w:firstRow="1" w:lastRow="0" w:firstColumn="1" w:lastColumn="0" w:noHBand="0" w:noVBand="1"/>
      </w:tblPr>
      <w:tblGrid>
        <w:gridCol w:w="2263"/>
        <w:gridCol w:w="6379"/>
      </w:tblGrid>
      <w:tr w:rsidR="00A708CA" w:rsidRPr="00A104F1" w:rsidTr="00914F6B">
        <w:trPr>
          <w:trHeight w:val="657"/>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b/>
                <w:bCs/>
                <w:color w:val="00000A"/>
                <w:lang w:eastAsia="fr-CA"/>
              </w:rPr>
            </w:pPr>
            <w:r w:rsidRPr="00A104F1">
              <w:rPr>
                <w:rFonts w:eastAsia="Times New Roman" w:cs="Arial"/>
                <w:b/>
                <w:bCs/>
                <w:color w:val="00000A"/>
                <w:lang w:eastAsia="fr-CA"/>
              </w:rPr>
              <w:t>Proposed Requirement</w:t>
            </w:r>
          </w:p>
        </w:tc>
        <w:tc>
          <w:tcPr>
            <w:tcW w:w="6379" w:type="dxa"/>
            <w:tcBorders>
              <w:top w:val="single" w:sz="4" w:space="0" w:color="000000"/>
              <w:left w:val="nil"/>
              <w:bottom w:val="nil"/>
              <w:right w:val="single" w:sz="4" w:space="0" w:color="000000"/>
            </w:tcBorders>
            <w:shd w:val="clear" w:color="000000" w:fill="000000"/>
            <w:vAlign w:val="bottom"/>
            <w:hideMark/>
          </w:tcPr>
          <w:p w:rsidR="00A708CA" w:rsidRPr="00A104F1" w:rsidRDefault="00A708CA" w:rsidP="00914F6B">
            <w:pPr>
              <w:rPr>
                <w:rFonts w:eastAsia="Times New Roman" w:cs="Arial"/>
                <w:b/>
                <w:bCs/>
                <w:color w:val="FFFFFF"/>
                <w:lang w:eastAsia="fr-CA"/>
              </w:rPr>
            </w:pPr>
            <w:r w:rsidRPr="00A104F1">
              <w:rPr>
                <w:rFonts w:eastAsia="Times New Roman" w:cs="Arial"/>
                <w:b/>
                <w:bCs/>
                <w:color w:val="FFFFFF"/>
                <w:lang w:eastAsia="fr-CA"/>
              </w:rPr>
              <w:t>Proposed for further discussion</w:t>
            </w:r>
          </w:p>
        </w:tc>
      </w:tr>
      <w:tr w:rsidR="00A708CA" w:rsidRPr="002D2E75" w:rsidTr="00914F6B">
        <w:trPr>
          <w:trHeight w:val="2339"/>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The development of a Logical Data Model (Application Schema) should be the initial activity in developing a new data exchange requirement.</w:t>
            </w:r>
          </w:p>
        </w:tc>
        <w:tc>
          <w:tcPr>
            <w:tcW w:w="6379" w:type="dxa"/>
            <w:tcBorders>
              <w:top w:val="single" w:sz="4" w:space="0" w:color="000000"/>
              <w:left w:val="single" w:sz="4" w:space="0" w:color="00000A"/>
              <w:bottom w:val="nil"/>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It is proposed to issue a recommendation encouraging the use of LDM in developing new data exchange requirements. Even in the eventuality of this becoming mandatory, this is an overarching statement that should not be part of the BUFR regulations as such. A suitable location should be found for this recommendation in the WMO Technical Regulations.</w:t>
            </w:r>
          </w:p>
        </w:tc>
      </w:tr>
      <w:tr w:rsidR="00A708CA" w:rsidRPr="002D2E75" w:rsidTr="00914F6B">
        <w:trPr>
          <w:trHeight w:val="1833"/>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Enforced use of templates in product development</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It is proposed to make the use of templates for new BUFR data products mandatory in the case where they are intended for exchange in the WMO framework. This is an overarching requirement that should not be part of the BUFR regulations as such. Therefore, a suitable location should be found to state this requirement in the WMO Technical Regulations.</w:t>
            </w:r>
          </w:p>
        </w:tc>
      </w:tr>
      <w:tr w:rsidR="00A708CA" w:rsidRPr="00984BE5" w:rsidTr="00914F6B">
        <w:trPr>
          <w:trHeight w:val="1405"/>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lastRenderedPageBreak/>
              <w:t>Short and long names for Table B &amp; D entries</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It is proposed to add a "long name" column to Table B entries, and make the use o</w:t>
            </w:r>
            <w:r>
              <w:rPr>
                <w:rFonts w:eastAsia="Times New Roman" w:cs="Arial"/>
                <w:color w:val="000000"/>
                <w:lang w:val="en-CA" w:eastAsia="fr-CA"/>
              </w:rPr>
              <w:t xml:space="preserve">f "short name" and "long name" </w:t>
            </w:r>
            <w:r w:rsidRPr="00A104F1">
              <w:rPr>
                <w:rFonts w:eastAsia="Times New Roman" w:cs="Arial"/>
                <w:color w:val="000000"/>
                <w:lang w:val="en-CA" w:eastAsia="fr-CA"/>
              </w:rPr>
              <w:t>mandatory in naming Table D sequences.</w:t>
            </w:r>
            <w:r>
              <w:rPr>
                <w:rFonts w:eastAsia="Times New Roman" w:cs="Arial"/>
                <w:color w:val="000000"/>
                <w:lang w:val="en-CA" w:eastAsia="fr-CA"/>
              </w:rPr>
              <w:t xml:space="preserve"> Thought should be given to mechanisms ensuring backward compatibility of the Tables for the encoding and decoding of BUFR Edition 4. </w:t>
            </w:r>
          </w:p>
        </w:tc>
      </w:tr>
      <w:tr w:rsidR="00A708CA" w:rsidRPr="002D2E75" w:rsidTr="00914F6B">
        <w:trPr>
          <w:trHeight w:val="1128"/>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Representation of values over extremely large dynamic range</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A workable solution exists in BUFR Edition 4, and further debate on this matter would be unlikely to be fruitful.</w:t>
            </w:r>
          </w:p>
        </w:tc>
      </w:tr>
      <w:tr w:rsidR="00A708CA" w:rsidRPr="002D2E75" w:rsidTr="00914F6B">
        <w:trPr>
          <w:trHeight w:val="765"/>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Explicit separation of data types from units</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This is relatively easy to implement in the tables. Some debate is required to hash out whether the pros outweigh the cons.</w:t>
            </w:r>
          </w:p>
        </w:tc>
      </w:tr>
      <w:tr w:rsidR="00A708CA" w:rsidRPr="002D2E75" w:rsidTr="00914F6B">
        <w:trPr>
          <w:trHeight w:val="1275"/>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Multilingual support for character strings</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The specifics of the implementation are yet to be determined, as well as whether the pros outweigh the cons. But if this is deemed desirable, the current window of opportunity would seem like a good one.</w:t>
            </w:r>
          </w:p>
        </w:tc>
      </w:tr>
      <w:tr w:rsidR="00A708CA" w:rsidRPr="002D2E75" w:rsidTr="00914F6B">
        <w:trPr>
          <w:trHeight w:val="3825"/>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eastAsia="fr-CA"/>
              </w:rPr>
            </w:pPr>
            <w:r w:rsidRPr="00A104F1">
              <w:rPr>
                <w:rFonts w:eastAsia="Times New Roman" w:cs="Arial"/>
                <w:color w:val="00000A"/>
                <w:lang w:eastAsia="fr-CA"/>
              </w:rPr>
              <w:t>Delayed sequence definition</w:t>
            </w:r>
          </w:p>
        </w:tc>
        <w:tc>
          <w:tcPr>
            <w:tcW w:w="6379" w:type="dxa"/>
            <w:tcBorders>
              <w:top w:val="single" w:sz="4" w:space="0" w:color="00000A"/>
              <w:left w:val="nil"/>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1. Create new type of descriptor with F=4 (this is</w:t>
            </w:r>
            <w:r>
              <w:rPr>
                <w:rFonts w:eastAsia="Times New Roman" w:cs="Arial"/>
                <w:color w:val="00000A"/>
                <w:lang w:val="en-CA" w:eastAsia="fr-CA"/>
              </w:rPr>
              <w:t xml:space="preserve"> made possible with the proposal immediately</w:t>
            </w:r>
            <w:r w:rsidRPr="00A104F1">
              <w:rPr>
                <w:rFonts w:eastAsia="Times New Roman" w:cs="Arial"/>
                <w:color w:val="00000A"/>
                <w:lang w:val="en-CA" w:eastAsia="fr-CA"/>
              </w:rPr>
              <w:t xml:space="preserve"> below).</w:t>
            </w:r>
            <w:r w:rsidRPr="00A104F1">
              <w:rPr>
                <w:rFonts w:eastAsia="Times New Roman" w:cs="Arial"/>
                <w:color w:val="00000A"/>
                <w:lang w:val="en-CA" w:eastAsia="fr-CA"/>
              </w:rPr>
              <w:br/>
            </w:r>
            <w:r w:rsidRPr="00A104F1">
              <w:rPr>
                <w:rFonts w:eastAsia="Times New Roman" w:cs="Arial"/>
                <w:color w:val="00000A"/>
                <w:lang w:val="en-CA" w:eastAsia="fr-CA"/>
              </w:rPr>
              <w:br/>
              <w:t xml:space="preserve">2. Use a delayed mechanism similar to F=1 to indicate the number of descriptors to be retrieved from section 4 (in a similar manner to the existing delayed replication of descriptors). </w:t>
            </w:r>
            <w:r w:rsidRPr="00A104F1">
              <w:rPr>
                <w:rFonts w:eastAsia="Times New Roman" w:cs="Arial"/>
                <w:color w:val="00000A"/>
                <w:lang w:val="en-CA" w:eastAsia="fr-CA"/>
              </w:rPr>
              <w:br/>
            </w:r>
            <w:r w:rsidRPr="00A104F1">
              <w:rPr>
                <w:rFonts w:eastAsia="Times New Roman" w:cs="Arial"/>
                <w:color w:val="00000A"/>
                <w:lang w:val="en-CA" w:eastAsia="fr-CA"/>
              </w:rPr>
              <w:br/>
              <w:t>3. The data associated with the delayed sequence would follow immediately in Section 4.</w:t>
            </w:r>
            <w:r w:rsidRPr="00A104F1">
              <w:rPr>
                <w:rFonts w:eastAsia="Times New Roman" w:cs="Arial"/>
                <w:color w:val="00000A"/>
                <w:lang w:val="en-CA" w:eastAsia="fr-CA"/>
              </w:rPr>
              <w:br/>
            </w:r>
            <w:r w:rsidRPr="00A104F1">
              <w:rPr>
                <w:rFonts w:eastAsia="Times New Roman" w:cs="Arial"/>
                <w:color w:val="00000A"/>
                <w:lang w:val="en-CA" w:eastAsia="fr-CA"/>
              </w:rPr>
              <w:br/>
              <w:t xml:space="preserve">Whether there is a strong use case for this is open for discussion. One </w:t>
            </w:r>
            <w:r>
              <w:rPr>
                <w:rFonts w:eastAsia="Times New Roman" w:cs="Arial"/>
                <w:color w:val="00000A"/>
                <w:lang w:val="en-CA" w:eastAsia="fr-CA"/>
              </w:rPr>
              <w:t xml:space="preserve">possibly compelling </w:t>
            </w:r>
            <w:r w:rsidRPr="00A104F1">
              <w:rPr>
                <w:rFonts w:eastAsia="Times New Roman" w:cs="Arial"/>
                <w:color w:val="00000A"/>
                <w:lang w:val="en-CA" w:eastAsia="fr-CA"/>
              </w:rPr>
              <w:t>example is that it could replace the curre</w:t>
            </w:r>
            <w:r>
              <w:rPr>
                <w:rFonts w:eastAsia="Times New Roman" w:cs="Arial"/>
                <w:color w:val="00000A"/>
                <w:lang w:val="en-CA" w:eastAsia="fr-CA"/>
              </w:rPr>
              <w:t>ntly existing Data Present Bitmap</w:t>
            </w:r>
            <w:r w:rsidRPr="00A104F1">
              <w:rPr>
                <w:rFonts w:eastAsia="Times New Roman" w:cs="Arial"/>
                <w:color w:val="00000A"/>
                <w:lang w:val="en-CA" w:eastAsia="fr-CA"/>
              </w:rPr>
              <w:t xml:space="preserve"> mechanism in</w:t>
            </w:r>
            <w:r>
              <w:rPr>
                <w:rFonts w:eastAsia="Times New Roman" w:cs="Arial"/>
                <w:color w:val="00000A"/>
                <w:lang w:val="en-CA" w:eastAsia="fr-CA"/>
              </w:rPr>
              <w:t xml:space="preserve"> a manner that could seem better integrated with the Data Syntax as a whole.</w:t>
            </w:r>
          </w:p>
        </w:tc>
      </w:tr>
      <w:tr w:rsidR="00A708CA" w:rsidRPr="002D2E75" w:rsidTr="00914F6B">
        <w:trPr>
          <w:trHeight w:val="3251"/>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Increase name-space size for descriptor classes and descriptor numbers (XX and YYY in F-XX-YYY)</w:t>
            </w:r>
          </w:p>
        </w:tc>
        <w:tc>
          <w:tcPr>
            <w:tcW w:w="6379" w:type="dxa"/>
            <w:tcBorders>
              <w:top w:val="single" w:sz="4" w:space="0" w:color="000000"/>
              <w:left w:val="nil"/>
              <w:bottom w:val="nil"/>
              <w:right w:val="single" w:sz="4" w:space="0" w:color="000000"/>
            </w:tcBorders>
            <w:shd w:val="clear" w:color="auto" w:fill="auto"/>
            <w:vAlign w:val="bottom"/>
            <w:hideMark/>
          </w:tcPr>
          <w:p w:rsidR="00A708CA" w:rsidRDefault="00A708CA" w:rsidP="00914F6B">
            <w:pPr>
              <w:spacing w:after="240"/>
              <w:rPr>
                <w:rFonts w:eastAsia="Times New Roman" w:cs="Arial"/>
                <w:color w:val="000000"/>
                <w:lang w:val="en-CA" w:eastAsia="fr-CA"/>
              </w:rPr>
            </w:pPr>
            <w:r w:rsidRPr="00A104F1">
              <w:rPr>
                <w:rFonts w:eastAsia="Times New Roman" w:cs="Arial"/>
                <w:color w:val="000000"/>
                <w:lang w:val="en-CA" w:eastAsia="fr-CA"/>
              </w:rPr>
              <w:t>Increase d</w:t>
            </w:r>
            <w:r>
              <w:rPr>
                <w:rFonts w:eastAsia="Times New Roman" w:cs="Arial"/>
                <w:color w:val="000000"/>
                <w:lang w:val="en-CA" w:eastAsia="fr-CA"/>
              </w:rPr>
              <w:t xml:space="preserve">escriptor size to 24 bits. </w:t>
            </w:r>
            <w:r>
              <w:rPr>
                <w:rFonts w:eastAsia="Times New Roman" w:cs="Arial"/>
                <w:color w:val="000000"/>
                <w:lang w:val="en-CA" w:eastAsia="fr-CA"/>
              </w:rPr>
              <w:br/>
            </w:r>
            <w:r>
              <w:rPr>
                <w:rFonts w:eastAsia="Times New Roman" w:cs="Arial"/>
                <w:color w:val="000000"/>
                <w:lang w:val="en-CA" w:eastAsia="fr-CA"/>
              </w:rPr>
              <w:br/>
            </w:r>
            <w:r w:rsidRPr="00A104F1">
              <w:rPr>
                <w:rFonts w:eastAsia="Times New Roman" w:cs="Arial"/>
                <w:color w:val="000000"/>
                <w:lang w:val="en-CA" w:eastAsia="fr-CA"/>
              </w:rPr>
              <w:t>F-</w:t>
            </w:r>
            <w:r>
              <w:rPr>
                <w:rFonts w:eastAsia="Times New Roman" w:cs="Arial"/>
                <w:color w:val="000000"/>
                <w:lang w:val="en-CA" w:eastAsia="fr-CA"/>
              </w:rPr>
              <w:t xml:space="preserve">X-Y structure to be extended to </w:t>
            </w:r>
            <w:r w:rsidRPr="00A104F1">
              <w:rPr>
                <w:rFonts w:eastAsia="Times New Roman" w:cs="Arial"/>
                <w:color w:val="000000"/>
                <w:lang w:val="en-CA" w:eastAsia="fr-CA"/>
              </w:rPr>
              <w:t>3-9-12 bits. Maintain nu</w:t>
            </w:r>
            <w:r>
              <w:rPr>
                <w:rFonts w:eastAsia="Times New Roman" w:cs="Arial"/>
                <w:color w:val="000000"/>
                <w:lang w:val="en-CA" w:eastAsia="fr-CA"/>
              </w:rPr>
              <w:t>merical backward compatibility. T</w:t>
            </w:r>
            <w:r w:rsidRPr="00A104F1">
              <w:rPr>
                <w:rFonts w:eastAsia="Times New Roman" w:cs="Arial"/>
                <w:color w:val="000000"/>
                <w:lang w:val="en-CA" w:eastAsia="fr-CA"/>
              </w:rPr>
              <w:t xml:space="preserve">hat is to say: the meaning and interpretation of current Table B and D descriptors as per the numerical value of X and Y are unchanged. Table C descriptors need to be re-implemented in accordance with the new descriptor size. </w:t>
            </w:r>
            <w:r>
              <w:rPr>
                <w:rFonts w:eastAsia="Times New Roman" w:cs="Arial"/>
                <w:color w:val="000000"/>
                <w:lang w:val="en-CA" w:eastAsia="fr-CA"/>
              </w:rPr>
              <w:t>Maintain the current numerical ranges for local descriptors, while considering extending it by a reasonable extent.</w:t>
            </w:r>
          </w:p>
          <w:p w:rsidR="00A708CA" w:rsidRPr="00A104F1" w:rsidRDefault="00A708CA" w:rsidP="00914F6B">
            <w:pPr>
              <w:spacing w:after="240"/>
              <w:rPr>
                <w:rFonts w:eastAsia="Times New Roman" w:cs="Arial"/>
                <w:color w:val="000000"/>
                <w:lang w:val="en-CA" w:eastAsia="fr-CA"/>
              </w:rPr>
            </w:pPr>
            <w:r w:rsidRPr="00A104F1">
              <w:rPr>
                <w:rFonts w:eastAsia="Times New Roman" w:cs="Arial"/>
                <w:color w:val="000000"/>
                <w:lang w:val="en-CA" w:eastAsia="fr-CA"/>
              </w:rPr>
              <w:t>The extension of F to 3 bits opens the possibility of new types of descriptors in BUFR edition 5 or beyond.</w:t>
            </w:r>
            <w:r w:rsidRPr="00A104F1">
              <w:rPr>
                <w:rFonts w:eastAsia="Times New Roman" w:cs="Arial"/>
                <w:color w:val="000000"/>
                <w:lang w:val="en-CA" w:eastAsia="fr-CA"/>
              </w:rPr>
              <w:br/>
            </w:r>
            <w:r w:rsidRPr="00A104F1">
              <w:rPr>
                <w:rFonts w:eastAsia="Times New Roman" w:cs="Arial"/>
                <w:color w:val="000000"/>
                <w:lang w:val="en-CA" w:eastAsia="fr-CA"/>
              </w:rPr>
              <w:br/>
            </w:r>
          </w:p>
        </w:tc>
      </w:tr>
      <w:tr w:rsidR="00A708CA" w:rsidRPr="002D2E75" w:rsidTr="00914F6B">
        <w:trPr>
          <w:trHeight w:val="3330"/>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lastRenderedPageBreak/>
              <w:t>Allow for the description of the object of statistical (or other) operations when multiple possibilities exist. Example use case: specify which fields are the subject of correlation calculations in radar data.</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Two possible options:</w:t>
            </w:r>
            <w:r w:rsidRPr="00A104F1">
              <w:rPr>
                <w:rFonts w:eastAsia="Times New Roman" w:cs="Arial"/>
                <w:color w:val="000000"/>
                <w:lang w:val="en-CA" w:eastAsia="fr-CA"/>
              </w:rPr>
              <w:br/>
            </w:r>
            <w:r w:rsidRPr="00A104F1">
              <w:rPr>
                <w:rFonts w:eastAsia="Times New Roman" w:cs="Arial"/>
                <w:color w:val="000000"/>
                <w:lang w:val="en-CA" w:eastAsia="fr-CA"/>
              </w:rPr>
              <w:br/>
              <w:t>1. Add the</w:t>
            </w:r>
            <w:r>
              <w:rPr>
                <w:rFonts w:eastAsia="Times New Roman" w:cs="Arial"/>
                <w:color w:val="000000"/>
                <w:lang w:val="en-CA" w:eastAsia="fr-CA"/>
              </w:rPr>
              <w:t xml:space="preserve"> required</w:t>
            </w:r>
            <w:r w:rsidRPr="00A104F1">
              <w:rPr>
                <w:rFonts w:eastAsia="Times New Roman" w:cs="Arial"/>
                <w:color w:val="000000"/>
                <w:lang w:val="en-CA" w:eastAsia="fr-CA"/>
              </w:rPr>
              <w:t xml:space="preserve"> functionality as another variant of the Data Present Indicator (DPI) mechanism.  This may be possible in BUFR Edition 4 without going to another edition if no new Table C descriptor is required.</w:t>
            </w:r>
            <w:r w:rsidRPr="00A104F1">
              <w:rPr>
                <w:rFonts w:eastAsia="Times New Roman" w:cs="Arial"/>
                <w:color w:val="000000"/>
                <w:lang w:val="en-CA" w:eastAsia="fr-CA"/>
              </w:rPr>
              <w:br/>
            </w:r>
            <w:r w:rsidRPr="00A104F1">
              <w:rPr>
                <w:rFonts w:eastAsia="Times New Roman" w:cs="Arial"/>
                <w:color w:val="000000"/>
                <w:lang w:val="en-CA" w:eastAsia="fr-CA"/>
              </w:rPr>
              <w:br/>
              <w:t>2. Use the proposed Delayed Sequence as a means to indicate the fields which as subject to the correlation (or other operation).  This would follow a similar</w:t>
            </w:r>
            <w:r>
              <w:rPr>
                <w:rFonts w:eastAsia="Times New Roman" w:cs="Arial"/>
                <w:color w:val="000000"/>
                <w:lang w:val="en-CA" w:eastAsia="fr-CA"/>
              </w:rPr>
              <w:t xml:space="preserve"> pattern of operation as the DPB</w:t>
            </w:r>
            <w:r w:rsidRPr="00A104F1">
              <w:rPr>
                <w:rFonts w:eastAsia="Times New Roman" w:cs="Arial"/>
                <w:color w:val="000000"/>
                <w:lang w:val="en-CA" w:eastAsia="fr-CA"/>
              </w:rPr>
              <w:t xml:space="preserve"> but without the need for at Table C operator.</w:t>
            </w:r>
          </w:p>
        </w:tc>
      </w:tr>
      <w:tr w:rsidR="00A708CA" w:rsidRPr="002D2E75" w:rsidTr="00914F6B">
        <w:trPr>
          <w:trHeight w:val="841"/>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Use industry standard bit order</w:t>
            </w:r>
          </w:p>
        </w:tc>
        <w:tc>
          <w:tcPr>
            <w:tcW w:w="6379" w:type="dxa"/>
            <w:tcBorders>
              <w:top w:val="single" w:sz="4" w:space="0" w:color="000000"/>
              <w:left w:val="nil"/>
              <w:bottom w:val="nil"/>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 xml:space="preserve">Reverse the current order of bits ordained in note (2) of the section entitled "SPECIFICATIONS OF OCTET CONTENTS". </w:t>
            </w:r>
          </w:p>
        </w:tc>
      </w:tr>
      <w:tr w:rsidR="00A708CA" w:rsidRPr="002D2E75" w:rsidTr="00914F6B">
        <w:trPr>
          <w:trHeight w:val="5375"/>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Versioning and life-cycle of Table B and D entries</w:t>
            </w:r>
          </w:p>
        </w:tc>
        <w:tc>
          <w:tcPr>
            <w:tcW w:w="6379" w:type="dxa"/>
            <w:tcBorders>
              <w:top w:val="single" w:sz="4" w:space="0" w:color="000000"/>
              <w:left w:val="nil"/>
              <w:bottom w:val="nil"/>
              <w:right w:val="single" w:sz="4" w:space="0" w:color="000000"/>
            </w:tcBorders>
            <w:shd w:val="clear" w:color="auto" w:fill="auto"/>
            <w:vAlign w:val="bottom"/>
            <w:hideMark/>
          </w:tcPr>
          <w:p w:rsidR="001932AE" w:rsidRDefault="00DD64C1" w:rsidP="001932AE">
            <w:pPr>
              <w:rPr>
                <w:rFonts w:eastAsia="Times New Roman" w:cs="Arial"/>
                <w:color w:val="000000"/>
                <w:lang w:val="en-CA" w:eastAsia="fr-CA"/>
              </w:rPr>
            </w:pPr>
            <w:r>
              <w:rPr>
                <w:rFonts w:eastAsia="Times New Roman" w:cs="Arial"/>
                <w:color w:val="000000"/>
                <w:lang w:val="en-CA" w:eastAsia="fr-CA"/>
              </w:rPr>
              <w:t>For the effective application of versioning information, t</w:t>
            </w:r>
            <w:r w:rsidR="00A708CA" w:rsidRPr="00A104F1">
              <w:rPr>
                <w:rFonts w:eastAsia="Times New Roman" w:cs="Arial"/>
                <w:color w:val="000000"/>
                <w:lang w:val="en-CA" w:eastAsia="fr-CA"/>
              </w:rPr>
              <w:t xml:space="preserve">wo conditions have to be met: messages have to be encoded with accurate version information (of Master Table Version, </w:t>
            </w:r>
            <w:proofErr w:type="spellStart"/>
            <w:r w:rsidR="00A708CA" w:rsidRPr="00A104F1">
              <w:rPr>
                <w:rFonts w:eastAsia="Times New Roman" w:cs="Arial"/>
                <w:color w:val="000000"/>
                <w:lang w:val="en-CA" w:eastAsia="fr-CA"/>
              </w:rPr>
              <w:t>etc</w:t>
            </w:r>
            <w:proofErr w:type="spellEnd"/>
            <w:r w:rsidR="00A708CA" w:rsidRPr="00A104F1">
              <w:rPr>
                <w:rFonts w:eastAsia="Times New Roman" w:cs="Arial"/>
                <w:color w:val="000000"/>
                <w:lang w:val="en-CA" w:eastAsia="fr-CA"/>
              </w:rPr>
              <w:t xml:space="preserve">). AND the decoder and its downstream processes have to make proper use of the information. </w:t>
            </w:r>
            <w:r w:rsidR="007E1E83">
              <w:rPr>
                <w:rFonts w:eastAsia="Times New Roman" w:cs="Arial"/>
                <w:color w:val="000000"/>
                <w:lang w:val="en-CA" w:eastAsia="fr-CA"/>
              </w:rPr>
              <w:t>For instance, in cases where the bit width of some Table B descriptors changed from one version to the next, having the correct version number is essential to fully decode the BUFR message.</w:t>
            </w:r>
            <w:r w:rsidR="00605DDB">
              <w:rPr>
                <w:rFonts w:eastAsia="Times New Roman" w:cs="Arial"/>
                <w:color w:val="000000"/>
                <w:lang w:val="en-CA" w:eastAsia="fr-CA"/>
              </w:rPr>
              <w:t xml:space="preserve"> </w:t>
            </w:r>
          </w:p>
          <w:p w:rsidR="001932AE" w:rsidRDefault="001932AE" w:rsidP="001932AE">
            <w:pPr>
              <w:rPr>
                <w:rFonts w:eastAsia="Times New Roman" w:cs="Arial"/>
                <w:color w:val="000000"/>
                <w:lang w:val="en-CA" w:eastAsia="fr-CA"/>
              </w:rPr>
            </w:pPr>
          </w:p>
          <w:p w:rsidR="00A708CA" w:rsidRPr="00A104F1" w:rsidRDefault="00A708CA" w:rsidP="001932AE">
            <w:pPr>
              <w:rPr>
                <w:rFonts w:eastAsia="Times New Roman" w:cs="Arial"/>
                <w:color w:val="000000"/>
                <w:lang w:val="en-CA" w:eastAsia="fr-CA"/>
              </w:rPr>
            </w:pPr>
            <w:r w:rsidRPr="00A104F1">
              <w:rPr>
                <w:rFonts w:eastAsia="Times New Roman" w:cs="Arial"/>
                <w:color w:val="000000"/>
                <w:lang w:val="en-CA" w:eastAsia="fr-CA"/>
              </w:rPr>
              <w:t>There are Code Form regulations specifying how to convey the requisite information, but each Centre is ultimately responsible for its own actions in this regard. QA/QC processes, whether the Centre's own or in the WIGOS framework, should be concerned with a capacity for identifying and reporting various encoding issues, including issues of versioning. Thus, regulations concerning the application of versioning made possible in the BUFR Code Form would perhaps carry mo</w:t>
            </w:r>
            <w:r w:rsidR="0071155F">
              <w:rPr>
                <w:rFonts w:eastAsia="Times New Roman" w:cs="Arial"/>
                <w:color w:val="000000"/>
                <w:lang w:val="en-CA" w:eastAsia="fr-CA"/>
              </w:rPr>
              <w:t>re weight if they were referred to</w:t>
            </w:r>
            <w:r w:rsidRPr="00A104F1">
              <w:rPr>
                <w:rFonts w:eastAsia="Times New Roman" w:cs="Arial"/>
                <w:color w:val="000000"/>
                <w:lang w:val="en-CA" w:eastAsia="fr-CA"/>
              </w:rPr>
              <w:t xml:space="preserve"> in the Technical Regulations governing the production and transmission of messages.</w:t>
            </w:r>
            <w:r w:rsidRPr="00A104F1">
              <w:rPr>
                <w:rFonts w:eastAsia="Times New Roman" w:cs="Arial"/>
                <w:color w:val="000000"/>
                <w:lang w:val="en-CA" w:eastAsia="fr-CA"/>
              </w:rPr>
              <w:br/>
            </w:r>
            <w:r w:rsidRPr="00A104F1">
              <w:rPr>
                <w:rFonts w:eastAsia="Times New Roman" w:cs="Arial"/>
                <w:color w:val="000000"/>
                <w:lang w:val="en-CA" w:eastAsia="fr-CA"/>
              </w:rPr>
              <w:br/>
              <w:t>With r</w:t>
            </w:r>
            <w:r>
              <w:rPr>
                <w:rFonts w:eastAsia="Times New Roman" w:cs="Arial"/>
                <w:color w:val="000000"/>
                <w:lang w:val="en-CA" w:eastAsia="fr-CA"/>
              </w:rPr>
              <w:t>egard to the life-cycle of entri</w:t>
            </w:r>
            <w:r w:rsidRPr="00A104F1">
              <w:rPr>
                <w:rFonts w:eastAsia="Times New Roman" w:cs="Arial"/>
                <w:color w:val="000000"/>
                <w:lang w:val="en-CA" w:eastAsia="fr-CA"/>
              </w:rPr>
              <w:t>es in Tables B/D, or more concretely a clean-up of flawed or obsolete entries, this is beyond the scope given to BUFR Ed. 5 by the discussions at the Beijing meeting.</w:t>
            </w:r>
          </w:p>
        </w:tc>
      </w:tr>
      <w:tr w:rsidR="00A708CA" w:rsidRPr="002D2E75" w:rsidTr="00914F6B">
        <w:trPr>
          <w:trHeight w:val="1785"/>
        </w:trPr>
        <w:tc>
          <w:tcPr>
            <w:tcW w:w="2263" w:type="dxa"/>
            <w:tcBorders>
              <w:top w:val="single" w:sz="4" w:space="0" w:color="00000A"/>
              <w:left w:val="single" w:sz="4" w:space="0" w:color="00000A"/>
              <w:bottom w:val="single" w:sz="4" w:space="0" w:color="00000A"/>
              <w:right w:val="single" w:sz="4" w:space="0" w:color="00000A"/>
            </w:tcBorders>
            <w:shd w:val="clear" w:color="FFFFCC" w:fill="FFFFFF"/>
            <w:vAlign w:val="bottom"/>
            <w:hideMark/>
          </w:tcPr>
          <w:p w:rsidR="00A708CA" w:rsidRPr="00A104F1" w:rsidRDefault="00A708CA" w:rsidP="00914F6B">
            <w:pPr>
              <w:rPr>
                <w:rFonts w:eastAsia="Times New Roman" w:cs="Arial"/>
                <w:color w:val="00000A"/>
                <w:lang w:val="en-CA" w:eastAsia="fr-CA"/>
              </w:rPr>
            </w:pPr>
            <w:r w:rsidRPr="00A104F1">
              <w:rPr>
                <w:rFonts w:eastAsia="Times New Roman" w:cs="Arial"/>
                <w:color w:val="00000A"/>
                <w:lang w:val="en-CA" w:eastAsia="fr-CA"/>
              </w:rPr>
              <w:t>A new methodology is needed in the new editions of BUFR and GRIB to ensure that decoders are always using the exact same table information as encoders.</w:t>
            </w:r>
          </w:p>
        </w:tc>
        <w:tc>
          <w:tcPr>
            <w:tcW w:w="6379" w:type="dxa"/>
            <w:tcBorders>
              <w:top w:val="single" w:sz="4" w:space="0" w:color="000000"/>
              <w:left w:val="nil"/>
              <w:bottom w:val="single" w:sz="4" w:space="0" w:color="000000"/>
              <w:right w:val="single" w:sz="4" w:space="0" w:color="000000"/>
            </w:tcBorders>
            <w:shd w:val="clear" w:color="auto" w:fill="auto"/>
            <w:vAlign w:val="bottom"/>
            <w:hideMark/>
          </w:tcPr>
          <w:p w:rsidR="00A708CA" w:rsidRPr="00A104F1" w:rsidRDefault="00A708CA" w:rsidP="00914F6B">
            <w:pPr>
              <w:rPr>
                <w:rFonts w:eastAsia="Times New Roman" w:cs="Arial"/>
                <w:color w:val="000000"/>
                <w:lang w:val="en-CA" w:eastAsia="fr-CA"/>
              </w:rPr>
            </w:pPr>
            <w:r w:rsidRPr="00A104F1">
              <w:rPr>
                <w:rFonts w:eastAsia="Times New Roman" w:cs="Arial"/>
                <w:color w:val="000000"/>
                <w:lang w:val="en-CA" w:eastAsia="fr-CA"/>
              </w:rPr>
              <w:t>A mechanism for real-time authoritative table validation would alleviate or perhaps solve this issue. This could be developed outside the direct scope of BUFR Edition 5, since it does not necessarily have to involve a change in the encoding /decoding process.</w:t>
            </w:r>
          </w:p>
        </w:tc>
      </w:tr>
    </w:tbl>
    <w:p w:rsidR="00A708CA" w:rsidRPr="00A104F1" w:rsidRDefault="00A708CA" w:rsidP="00A708CA">
      <w:pPr>
        <w:rPr>
          <w:lang w:val="en-CA"/>
        </w:rPr>
      </w:pPr>
    </w:p>
    <w:p w:rsidR="00A708CA" w:rsidRPr="00F35A04" w:rsidRDefault="00A708CA" w:rsidP="00A708CA">
      <w:pPr>
        <w:rPr>
          <w:rFonts w:ascii="Verdana" w:hAnsi="Verdana"/>
          <w:sz w:val="20"/>
          <w:szCs w:val="20"/>
        </w:rPr>
      </w:pPr>
      <w:r w:rsidRPr="00F35A04">
        <w:rPr>
          <w:rFonts w:ascii="Verdana" w:hAnsi="Verdana"/>
          <w:sz w:val="20"/>
          <w:szCs w:val="20"/>
        </w:rPr>
        <w:t xml:space="preserve"> </w:t>
      </w:r>
    </w:p>
    <w:p w:rsidR="00FC7FE8" w:rsidRPr="00F35A04" w:rsidRDefault="00FC7FE8" w:rsidP="009F245F">
      <w:pPr>
        <w:jc w:val="both"/>
        <w:rPr>
          <w:rFonts w:ascii="Verdana" w:hAnsi="Verdana"/>
          <w:sz w:val="20"/>
          <w:szCs w:val="20"/>
        </w:rPr>
      </w:pPr>
    </w:p>
    <w:p w:rsidR="00FC7FE8" w:rsidRPr="00F35A04" w:rsidRDefault="00FC7FE8" w:rsidP="009F245F">
      <w:pPr>
        <w:jc w:val="both"/>
        <w:rPr>
          <w:rFonts w:ascii="Verdana" w:hAnsi="Verdana"/>
          <w:sz w:val="20"/>
          <w:szCs w:val="20"/>
        </w:rPr>
      </w:pPr>
    </w:p>
    <w:p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30298"/>
    <w:rsid w:val="00152600"/>
    <w:rsid w:val="00154663"/>
    <w:rsid w:val="0015739E"/>
    <w:rsid w:val="00160129"/>
    <w:rsid w:val="0017015C"/>
    <w:rsid w:val="00174D5A"/>
    <w:rsid w:val="00175E86"/>
    <w:rsid w:val="00183272"/>
    <w:rsid w:val="001932AE"/>
    <w:rsid w:val="001A1400"/>
    <w:rsid w:val="001A1B97"/>
    <w:rsid w:val="001A5791"/>
    <w:rsid w:val="001B6D4A"/>
    <w:rsid w:val="001B74EA"/>
    <w:rsid w:val="001C6D52"/>
    <w:rsid w:val="001D7F50"/>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2F44AA"/>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090D"/>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7647D"/>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C7725"/>
    <w:rsid w:val="005D39D4"/>
    <w:rsid w:val="005D5A4C"/>
    <w:rsid w:val="00605DDB"/>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D7D8F"/>
    <w:rsid w:val="006E0205"/>
    <w:rsid w:val="006E38F3"/>
    <w:rsid w:val="006E50C0"/>
    <w:rsid w:val="006F3CE0"/>
    <w:rsid w:val="006F7096"/>
    <w:rsid w:val="006F7540"/>
    <w:rsid w:val="007028AF"/>
    <w:rsid w:val="0070557F"/>
    <w:rsid w:val="0071155F"/>
    <w:rsid w:val="00717DB5"/>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E1E83"/>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26738"/>
    <w:rsid w:val="00A35997"/>
    <w:rsid w:val="00A64379"/>
    <w:rsid w:val="00A6536B"/>
    <w:rsid w:val="00A70764"/>
    <w:rsid w:val="00A708CA"/>
    <w:rsid w:val="00A710FD"/>
    <w:rsid w:val="00A8078C"/>
    <w:rsid w:val="00A83665"/>
    <w:rsid w:val="00AC098E"/>
    <w:rsid w:val="00AD5FD8"/>
    <w:rsid w:val="00AE0F5A"/>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C02C3"/>
    <w:rsid w:val="00CD3FA6"/>
    <w:rsid w:val="00CE2D9D"/>
    <w:rsid w:val="00D02230"/>
    <w:rsid w:val="00D078E7"/>
    <w:rsid w:val="00D2274D"/>
    <w:rsid w:val="00D47603"/>
    <w:rsid w:val="00D478AD"/>
    <w:rsid w:val="00D51173"/>
    <w:rsid w:val="00D564D5"/>
    <w:rsid w:val="00D571DE"/>
    <w:rsid w:val="00D632E9"/>
    <w:rsid w:val="00D64CE3"/>
    <w:rsid w:val="00D67C84"/>
    <w:rsid w:val="00D726C7"/>
    <w:rsid w:val="00D87EBC"/>
    <w:rsid w:val="00D96433"/>
    <w:rsid w:val="00DA14BC"/>
    <w:rsid w:val="00DC3E1A"/>
    <w:rsid w:val="00DD64C1"/>
    <w:rsid w:val="00DF744B"/>
    <w:rsid w:val="00E118FA"/>
    <w:rsid w:val="00E22889"/>
    <w:rsid w:val="00E263EC"/>
    <w:rsid w:val="00E467A6"/>
    <w:rsid w:val="00E65F3F"/>
    <w:rsid w:val="00E740BE"/>
    <w:rsid w:val="00E743BB"/>
    <w:rsid w:val="00E75B6E"/>
    <w:rsid w:val="00EA0729"/>
    <w:rsid w:val="00EA132C"/>
    <w:rsid w:val="00EE6561"/>
    <w:rsid w:val="00EF54F0"/>
    <w:rsid w:val="00F018F3"/>
    <w:rsid w:val="00F03346"/>
    <w:rsid w:val="00F04F34"/>
    <w:rsid w:val="00F2595D"/>
    <w:rsid w:val="00F35A04"/>
    <w:rsid w:val="00F40B9C"/>
    <w:rsid w:val="00F4589C"/>
    <w:rsid w:val="00F45978"/>
    <w:rsid w:val="00F5434C"/>
    <w:rsid w:val="00F9575D"/>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1691</Words>
  <Characters>9227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selection of features for BUFR Edition 5</dc:title>
  <dc:creator>Yves Pelletier</dc:creator>
  <cp:keywords>BUFR;Edition 5</cp:keywords>
  <cp:lastModifiedBy>AS</cp:lastModifiedBy>
  <cp:revision>2</cp:revision>
  <cp:lastPrinted>2008-08-15T16:03:00Z</cp:lastPrinted>
  <dcterms:created xsi:type="dcterms:W3CDTF">2016-05-18T12:51:00Z</dcterms:created>
  <dcterms:modified xsi:type="dcterms:W3CDTF">2016-05-18T12:51:00Z</dcterms:modified>
</cp:coreProperties>
</file>