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nil"/>
          <w:left w:val="nil"/>
          <w:bottom w:val="nil"/>
          <w:right w:val="nil"/>
          <w:insideH w:val="nil"/>
          <w:insideV w:val="nil"/>
        </w:tblBorders>
        <w:tblLook w:val="04A0" w:firstRow="1" w:lastRow="0" w:firstColumn="1" w:lastColumn="0" w:noHBand="0" w:noVBand="1"/>
      </w:tblPr>
      <w:tblGrid>
        <w:gridCol w:w="5827"/>
        <w:gridCol w:w="276"/>
        <w:gridCol w:w="3751"/>
      </w:tblGrid>
      <w:tr w:rsidR="00260BF1">
        <w:trPr>
          <w:jc w:val="center"/>
        </w:trPr>
        <w:tc>
          <w:tcPr>
            <w:tcW w:w="6159" w:type="dxa"/>
            <w:tcBorders>
              <w:top w:val="nil"/>
              <w:left w:val="nil"/>
              <w:bottom w:val="nil"/>
              <w:right w:val="nil"/>
            </w:tcBorders>
            <w:shd w:val="clear" w:color="auto" w:fill="FFFFFF"/>
          </w:tcPr>
          <w:p w:rsidR="00260BF1" w:rsidRDefault="000A7F50">
            <w:pPr>
              <w:jc w:val="center"/>
              <w:rPr>
                <w:rFonts w:ascii="Verdana" w:hAnsi="Verdana" w:cs="Arial"/>
                <w:bCs/>
                <w:sz w:val="20"/>
                <w:szCs w:val="20"/>
              </w:rPr>
            </w:pPr>
            <w:r>
              <w:rPr>
                <w:rFonts w:ascii="Verdana" w:hAnsi="Verdana" w:cs="Arial"/>
                <w:bCs/>
                <w:sz w:val="20"/>
                <w:szCs w:val="20"/>
              </w:rPr>
              <w:t>WORLD METEOROLOGICAL ORGANIZATION</w:t>
            </w:r>
          </w:p>
          <w:p w:rsidR="00260BF1" w:rsidRDefault="000A7F50">
            <w:pPr>
              <w:jc w:val="center"/>
              <w:rPr>
                <w:rFonts w:ascii="Verdana" w:hAnsi="Verdana" w:cs="Arial"/>
                <w:sz w:val="20"/>
                <w:szCs w:val="20"/>
              </w:rPr>
            </w:pPr>
            <w:r>
              <w:rPr>
                <w:rFonts w:ascii="Verdana" w:hAnsi="Verdana" w:cs="Arial"/>
                <w:sz w:val="20"/>
                <w:szCs w:val="20"/>
              </w:rPr>
              <w:t>COMMISSION FOR BASIC SYSTEMS</w:t>
            </w:r>
          </w:p>
          <w:p w:rsidR="00260BF1" w:rsidRDefault="000A7F50">
            <w:pPr>
              <w:jc w:val="center"/>
              <w:rPr>
                <w:rFonts w:ascii="Verdana" w:hAnsi="Verdana" w:cs="Arial"/>
                <w:sz w:val="20"/>
                <w:szCs w:val="20"/>
              </w:rPr>
            </w:pPr>
            <w:r>
              <w:rPr>
                <w:rFonts w:ascii="Verdana" w:hAnsi="Verdana" w:cs="Arial"/>
                <w:sz w:val="20"/>
                <w:szCs w:val="20"/>
              </w:rPr>
              <w:t>-----------------------------</w:t>
            </w:r>
          </w:p>
          <w:p w:rsidR="00260BF1" w:rsidRDefault="000A7F50">
            <w:pPr>
              <w:jc w:val="center"/>
              <w:rPr>
                <w:rFonts w:ascii="Verdana" w:hAnsi="Verdana" w:cs="Arial"/>
                <w:sz w:val="20"/>
                <w:szCs w:val="20"/>
              </w:rPr>
            </w:pPr>
            <w:r>
              <w:rPr>
                <w:rFonts w:ascii="Verdana" w:hAnsi="Verdana" w:cs="Arial"/>
                <w:sz w:val="20"/>
                <w:szCs w:val="20"/>
              </w:rPr>
              <w:t>FOURTH MEETING OF</w:t>
            </w:r>
          </w:p>
          <w:p w:rsidR="00260BF1" w:rsidRDefault="000A7F50">
            <w:pPr>
              <w:jc w:val="center"/>
              <w:rPr>
                <w:rFonts w:ascii="Verdana" w:hAnsi="Verdana" w:cs="Arial"/>
                <w:sz w:val="20"/>
                <w:szCs w:val="20"/>
              </w:rPr>
            </w:pPr>
            <w:r>
              <w:rPr>
                <w:rFonts w:ascii="Verdana" w:hAnsi="Verdana" w:cs="Arial"/>
                <w:sz w:val="20"/>
                <w:szCs w:val="20"/>
              </w:rPr>
              <w:t xml:space="preserve"> INTER-PROGRAMME EXPERT TEAM ON</w:t>
            </w:r>
            <w:r>
              <w:rPr>
                <w:rFonts w:ascii="Verdana" w:hAnsi="Verdana" w:cs="Arial"/>
                <w:sz w:val="20"/>
                <w:szCs w:val="20"/>
              </w:rPr>
              <w:br/>
              <w:t>DATA REPRESENTATION MAINTENANCE AND MONITORING</w:t>
            </w:r>
          </w:p>
          <w:p w:rsidR="00260BF1" w:rsidRDefault="00260BF1">
            <w:pPr>
              <w:jc w:val="center"/>
              <w:rPr>
                <w:rFonts w:ascii="Verdana" w:hAnsi="Verdana" w:cs="Arial"/>
                <w:sz w:val="20"/>
                <w:szCs w:val="20"/>
              </w:rPr>
            </w:pPr>
          </w:p>
          <w:p w:rsidR="00260BF1" w:rsidRDefault="000A7F50">
            <w:pPr>
              <w:widowControl w:val="0"/>
              <w:jc w:val="center"/>
              <w:rPr>
                <w:rFonts w:ascii="Verdana" w:hAnsi="Verdana" w:cs="Arial"/>
                <w:sz w:val="20"/>
                <w:szCs w:val="20"/>
              </w:rPr>
            </w:pPr>
            <w:r>
              <w:rPr>
                <w:rFonts w:ascii="Verdana" w:hAnsi="Verdana" w:cs="Arial"/>
                <w:sz w:val="20"/>
                <w:szCs w:val="20"/>
              </w:rPr>
              <w:t>GENEVA, SWITZERLAND, 30 MAY - 3 JUNE 2016</w:t>
            </w:r>
          </w:p>
        </w:tc>
        <w:tc>
          <w:tcPr>
            <w:tcW w:w="282" w:type="dxa"/>
            <w:tcBorders>
              <w:top w:val="nil"/>
              <w:left w:val="nil"/>
              <w:bottom w:val="nil"/>
              <w:right w:val="nil"/>
            </w:tcBorders>
            <w:shd w:val="clear" w:color="auto" w:fill="FFFFFF"/>
          </w:tcPr>
          <w:p w:rsidR="00260BF1" w:rsidRDefault="00260BF1">
            <w:pPr>
              <w:widowControl w:val="0"/>
              <w:rPr>
                <w:rFonts w:ascii="Verdana" w:hAnsi="Verdana"/>
                <w:sz w:val="20"/>
                <w:szCs w:val="20"/>
              </w:rPr>
            </w:pPr>
          </w:p>
        </w:tc>
        <w:tc>
          <w:tcPr>
            <w:tcW w:w="3892" w:type="dxa"/>
            <w:tcBorders>
              <w:top w:val="nil"/>
              <w:left w:val="nil"/>
              <w:bottom w:val="nil"/>
              <w:right w:val="nil"/>
            </w:tcBorders>
            <w:shd w:val="clear" w:color="auto" w:fill="FFFFFF"/>
          </w:tcPr>
          <w:p w:rsidR="00260BF1" w:rsidRDefault="000A7F50" w:rsidP="006D617D">
            <w:pPr>
              <w:tabs>
                <w:tab w:val="left" w:pos="601"/>
              </w:tabs>
              <w:rPr>
                <w:rFonts w:ascii="Verdana" w:hAnsi="Verdana"/>
                <w:sz w:val="20"/>
                <w:szCs w:val="20"/>
              </w:rPr>
            </w:pPr>
            <w:r>
              <w:rPr>
                <w:rFonts w:ascii="Verdana" w:hAnsi="Verdana" w:cs="Arial"/>
                <w:sz w:val="20"/>
                <w:szCs w:val="20"/>
                <w:lang w:val="en-US"/>
              </w:rPr>
              <w:t xml:space="preserve">IPET-DRMM-IV / </w:t>
            </w:r>
            <w:r>
              <w:rPr>
                <w:rFonts w:ascii="Verdana" w:hAnsi="Verdana"/>
                <w:sz w:val="20"/>
                <w:szCs w:val="20"/>
              </w:rPr>
              <w:t xml:space="preserve">Doc. </w:t>
            </w:r>
            <w:r w:rsidR="006D617D">
              <w:rPr>
                <w:rFonts w:ascii="Verdana" w:hAnsi="Verdana"/>
                <w:sz w:val="20"/>
                <w:szCs w:val="20"/>
              </w:rPr>
              <w:t>3</w:t>
            </w:r>
            <w:r>
              <w:rPr>
                <w:rFonts w:ascii="Verdana" w:hAnsi="Verdana"/>
                <w:sz w:val="20"/>
                <w:szCs w:val="20"/>
              </w:rPr>
              <w:t>.</w:t>
            </w:r>
            <w:r w:rsidR="006D617D">
              <w:rPr>
                <w:rFonts w:ascii="Verdana" w:hAnsi="Verdana"/>
                <w:sz w:val="20"/>
                <w:szCs w:val="20"/>
              </w:rPr>
              <w:t>2</w:t>
            </w:r>
            <w:r>
              <w:rPr>
                <w:rFonts w:ascii="Verdana" w:hAnsi="Verdana"/>
                <w:sz w:val="20"/>
                <w:szCs w:val="20"/>
              </w:rPr>
              <w:t xml:space="preserve"> (</w:t>
            </w:r>
            <w:r w:rsidR="006D617D">
              <w:rPr>
                <w:rFonts w:ascii="Verdana" w:hAnsi="Verdana"/>
                <w:sz w:val="20"/>
                <w:szCs w:val="20"/>
              </w:rPr>
              <w:t>11</w:t>
            </w:r>
            <w:r>
              <w:rPr>
                <w:rFonts w:ascii="Verdana" w:hAnsi="Verdana"/>
                <w:sz w:val="20"/>
                <w:szCs w:val="20"/>
              </w:rPr>
              <w:t>)</w:t>
            </w:r>
          </w:p>
          <w:p w:rsidR="00260BF1" w:rsidRDefault="000A7F50" w:rsidP="006D617D">
            <w:pPr>
              <w:rPr>
                <w:rFonts w:ascii="Verdana" w:hAnsi="Verdana"/>
                <w:sz w:val="20"/>
                <w:szCs w:val="20"/>
              </w:rPr>
            </w:pPr>
            <w:r>
              <w:rPr>
                <w:rFonts w:ascii="Verdana" w:hAnsi="Verdana"/>
                <w:sz w:val="20"/>
                <w:szCs w:val="20"/>
              </w:rPr>
              <w:t>(</w:t>
            </w:r>
            <w:r w:rsidR="006D617D">
              <w:rPr>
                <w:rFonts w:ascii="Verdana" w:hAnsi="Verdana"/>
                <w:sz w:val="20"/>
                <w:szCs w:val="20"/>
              </w:rPr>
              <w:t>26</w:t>
            </w:r>
            <w:r>
              <w:rPr>
                <w:rFonts w:ascii="Verdana" w:hAnsi="Verdana"/>
                <w:sz w:val="20"/>
                <w:szCs w:val="20"/>
              </w:rPr>
              <w:t xml:space="preserve">. </w:t>
            </w:r>
            <w:r w:rsidR="006D617D">
              <w:rPr>
                <w:rFonts w:ascii="Verdana" w:hAnsi="Verdana"/>
                <w:sz w:val="20"/>
                <w:szCs w:val="20"/>
              </w:rPr>
              <w:t>5</w:t>
            </w:r>
            <w:r>
              <w:rPr>
                <w:rFonts w:ascii="Verdana" w:hAnsi="Verdana"/>
                <w:sz w:val="20"/>
                <w:szCs w:val="20"/>
              </w:rPr>
              <w:t>. 2016)</w:t>
            </w:r>
          </w:p>
          <w:p w:rsidR="00260BF1" w:rsidRDefault="000A7F50">
            <w:pPr>
              <w:rPr>
                <w:rFonts w:ascii="Verdana" w:hAnsi="Verdana" w:cs="Arial"/>
                <w:sz w:val="20"/>
                <w:szCs w:val="20"/>
              </w:rPr>
            </w:pPr>
            <w:r>
              <w:rPr>
                <w:rFonts w:ascii="Verdana" w:hAnsi="Verdana" w:cs="Arial"/>
                <w:sz w:val="20"/>
                <w:szCs w:val="20"/>
              </w:rPr>
              <w:t>-------------------------</w:t>
            </w:r>
          </w:p>
          <w:p w:rsidR="00260BF1" w:rsidRDefault="00260BF1">
            <w:pPr>
              <w:rPr>
                <w:rFonts w:ascii="Verdana" w:hAnsi="Verdana"/>
                <w:sz w:val="20"/>
                <w:szCs w:val="20"/>
              </w:rPr>
            </w:pPr>
          </w:p>
          <w:p w:rsidR="00260BF1" w:rsidRDefault="000A7F50" w:rsidP="006D617D">
            <w:pPr>
              <w:rPr>
                <w:rFonts w:ascii="Verdana" w:hAnsi="Verdana"/>
                <w:sz w:val="20"/>
                <w:szCs w:val="20"/>
              </w:rPr>
            </w:pPr>
            <w:r>
              <w:rPr>
                <w:rFonts w:ascii="Verdana" w:hAnsi="Verdana"/>
                <w:sz w:val="20"/>
                <w:szCs w:val="20"/>
              </w:rPr>
              <w:t xml:space="preserve">ITEM </w:t>
            </w:r>
            <w:r w:rsidR="006D617D">
              <w:rPr>
                <w:rFonts w:ascii="Verdana" w:hAnsi="Verdana"/>
                <w:sz w:val="20"/>
                <w:szCs w:val="20"/>
              </w:rPr>
              <w:t>3</w:t>
            </w:r>
            <w:r>
              <w:rPr>
                <w:rFonts w:ascii="Verdana" w:hAnsi="Verdana"/>
                <w:sz w:val="20"/>
                <w:szCs w:val="20"/>
              </w:rPr>
              <w:t>.</w:t>
            </w:r>
            <w:r w:rsidR="006D617D">
              <w:rPr>
                <w:rFonts w:ascii="Verdana" w:hAnsi="Verdana"/>
                <w:sz w:val="20"/>
                <w:szCs w:val="20"/>
              </w:rPr>
              <w:t>2</w:t>
            </w:r>
            <w:bookmarkStart w:id="0" w:name="_GoBack"/>
            <w:bookmarkEnd w:id="0"/>
          </w:p>
          <w:p w:rsidR="00260BF1" w:rsidRDefault="00260BF1">
            <w:pPr>
              <w:rPr>
                <w:rFonts w:ascii="Verdana" w:hAnsi="Verdana"/>
                <w:sz w:val="20"/>
                <w:szCs w:val="20"/>
              </w:rPr>
            </w:pPr>
          </w:p>
          <w:p w:rsidR="00260BF1" w:rsidRDefault="000A7F50">
            <w:pPr>
              <w:widowControl w:val="0"/>
              <w:rPr>
                <w:rFonts w:ascii="Verdana" w:hAnsi="Verdana"/>
                <w:sz w:val="20"/>
                <w:szCs w:val="20"/>
              </w:rPr>
            </w:pPr>
            <w:r>
              <w:rPr>
                <w:rFonts w:ascii="Verdana" w:hAnsi="Verdana"/>
                <w:sz w:val="20"/>
                <w:szCs w:val="20"/>
              </w:rPr>
              <w:t>ENGLISH ONLY</w:t>
            </w:r>
          </w:p>
        </w:tc>
      </w:tr>
    </w:tbl>
    <w:p w:rsidR="00260BF1" w:rsidRDefault="00260BF1">
      <w:pPr>
        <w:rPr>
          <w:rFonts w:ascii="Verdana" w:hAnsi="Verdana" w:cs="Arial"/>
          <w:color w:val="000000"/>
          <w:sz w:val="20"/>
          <w:szCs w:val="20"/>
          <w:lang w:val="en-US"/>
        </w:rPr>
      </w:pPr>
    </w:p>
    <w:p w:rsidR="00260BF1" w:rsidRDefault="00260BF1">
      <w:pPr>
        <w:rPr>
          <w:rFonts w:ascii="Verdana" w:hAnsi="Verdana" w:cs="Arial"/>
          <w:color w:val="000000"/>
          <w:sz w:val="20"/>
          <w:szCs w:val="20"/>
          <w:lang w:val="en-US"/>
        </w:rPr>
      </w:pPr>
    </w:p>
    <w:p w:rsidR="00260BF1" w:rsidRDefault="00260BF1">
      <w:pPr>
        <w:rPr>
          <w:rFonts w:ascii="Verdana" w:hAnsi="Verdana" w:cs="Arial"/>
          <w:color w:val="000000"/>
          <w:sz w:val="20"/>
          <w:szCs w:val="20"/>
          <w:lang w:val="en-US"/>
        </w:rPr>
      </w:pPr>
    </w:p>
    <w:p w:rsidR="00260BF1" w:rsidRDefault="000A7F50">
      <w:pPr>
        <w:jc w:val="center"/>
        <w:rPr>
          <w:rFonts w:ascii="Verdana" w:hAnsi="Verdana"/>
          <w:sz w:val="20"/>
          <w:szCs w:val="20"/>
        </w:rPr>
      </w:pPr>
      <w:r>
        <w:rPr>
          <w:rFonts w:ascii="Verdana" w:hAnsi="Verdana"/>
          <w:sz w:val="20"/>
          <w:szCs w:val="20"/>
        </w:rPr>
        <w:t>BUFR &amp; CREX</w:t>
      </w:r>
    </w:p>
    <w:p w:rsidR="00260BF1" w:rsidRDefault="00C81FD9">
      <w:pPr>
        <w:spacing w:before="240"/>
        <w:ind w:left="1208" w:right="1389"/>
        <w:jc w:val="center"/>
        <w:rPr>
          <w:rFonts w:ascii="Verdana" w:hAnsi="Verdana" w:cs="Arial"/>
          <w:b/>
          <w:sz w:val="20"/>
          <w:szCs w:val="20"/>
        </w:rPr>
      </w:pPr>
      <w:r>
        <w:t>Development of a LIDAR &amp; Ceilometer Table D Sequence</w:t>
      </w:r>
    </w:p>
    <w:p w:rsidR="00E6047A" w:rsidRDefault="000A7F50">
      <w:pPr>
        <w:spacing w:before="240"/>
        <w:jc w:val="center"/>
        <w:rPr>
          <w:rFonts w:ascii="Verdana" w:hAnsi="Verdana"/>
          <w:i/>
          <w:sz w:val="20"/>
          <w:szCs w:val="20"/>
        </w:rPr>
      </w:pPr>
      <w:r>
        <w:rPr>
          <w:rFonts w:ascii="Verdana" w:hAnsi="Verdana"/>
          <w:i/>
          <w:sz w:val="20"/>
          <w:szCs w:val="20"/>
        </w:rPr>
        <w:t>Submitted by</w:t>
      </w:r>
    </w:p>
    <w:p w:rsidR="00260BF1" w:rsidRDefault="000A7F50">
      <w:pPr>
        <w:spacing w:before="240"/>
        <w:jc w:val="center"/>
      </w:pPr>
      <w:r>
        <w:rPr>
          <w:rFonts w:ascii="Verdana" w:hAnsi="Verdana"/>
          <w:i/>
          <w:sz w:val="20"/>
          <w:szCs w:val="20"/>
        </w:rPr>
        <w:t xml:space="preserve"> </w:t>
      </w:r>
      <w:r w:rsidR="00E6047A">
        <w:t>Richard Weedon UK Met Office</w:t>
      </w:r>
    </w:p>
    <w:p w:rsidR="00E6047A" w:rsidRDefault="00E6047A">
      <w:pPr>
        <w:spacing w:before="240"/>
        <w:jc w:val="center"/>
      </w:pPr>
      <w:r>
        <w:t>Myles Turp UK Met Office</w:t>
      </w:r>
    </w:p>
    <w:p w:rsidR="000B3E11" w:rsidRPr="000B3E11" w:rsidRDefault="000B3E11">
      <w:pPr>
        <w:spacing w:before="240"/>
        <w:jc w:val="center"/>
      </w:pPr>
      <w:r w:rsidRPr="000B3E11">
        <w:t>Alexander Haefele, Maxime Hervo (MeteoSwiss)</w:t>
      </w:r>
    </w:p>
    <w:p w:rsidR="000B3E11" w:rsidRPr="000B3E11" w:rsidRDefault="000B3E11">
      <w:pPr>
        <w:spacing w:before="240"/>
        <w:jc w:val="center"/>
        <w:rPr>
          <w:rFonts w:ascii="Verdana" w:hAnsi="Verdana"/>
          <w:sz w:val="20"/>
          <w:szCs w:val="20"/>
        </w:rPr>
      </w:pPr>
      <w:r w:rsidRPr="000B3E11">
        <w:t>Volker Lehmann (DWD)</w:t>
      </w:r>
    </w:p>
    <w:p w:rsidR="00260BF1" w:rsidRDefault="00260BF1">
      <w:pPr>
        <w:jc w:val="center"/>
        <w:rPr>
          <w:rFonts w:ascii="Verdana" w:hAnsi="Verdana"/>
          <w:sz w:val="20"/>
          <w:szCs w:val="20"/>
        </w:rPr>
      </w:pPr>
    </w:p>
    <w:p w:rsidR="00260BF1" w:rsidRDefault="000A7F50">
      <w:pPr>
        <w:tabs>
          <w:tab w:val="center" w:pos="4680"/>
        </w:tabs>
        <w:jc w:val="center"/>
        <w:rPr>
          <w:rFonts w:ascii="Verdana" w:hAnsi="Verdana"/>
          <w:sz w:val="20"/>
          <w:szCs w:val="20"/>
        </w:rPr>
      </w:pPr>
      <w:r>
        <w:rPr>
          <w:rFonts w:ascii="Verdana" w:hAnsi="Verdana"/>
          <w:sz w:val="20"/>
          <w:szCs w:val="20"/>
        </w:rPr>
        <w:t>_______________________________________________________________________</w:t>
      </w:r>
    </w:p>
    <w:p w:rsidR="00260BF1" w:rsidRDefault="00260BF1">
      <w:pPr>
        <w:tabs>
          <w:tab w:val="center" w:pos="4680"/>
        </w:tabs>
        <w:ind w:left="440" w:right="399"/>
        <w:jc w:val="center"/>
        <w:rPr>
          <w:rFonts w:ascii="Verdana" w:hAnsi="Verdana"/>
          <w:sz w:val="20"/>
          <w:szCs w:val="20"/>
        </w:rPr>
      </w:pPr>
    </w:p>
    <w:p w:rsidR="00260BF1" w:rsidRDefault="000A7F50">
      <w:pPr>
        <w:tabs>
          <w:tab w:val="center" w:pos="4680"/>
        </w:tabs>
        <w:ind w:left="440" w:right="399"/>
        <w:jc w:val="center"/>
        <w:rPr>
          <w:rFonts w:ascii="Verdana" w:hAnsi="Verdana"/>
          <w:b/>
          <w:sz w:val="20"/>
          <w:szCs w:val="20"/>
        </w:rPr>
      </w:pPr>
      <w:r>
        <w:rPr>
          <w:rFonts w:ascii="Verdana" w:hAnsi="Verdana"/>
          <w:b/>
          <w:sz w:val="20"/>
          <w:szCs w:val="20"/>
        </w:rPr>
        <w:t>Summary and Purpose of Document</w:t>
      </w:r>
    </w:p>
    <w:p w:rsidR="00260BF1" w:rsidRDefault="00260BF1">
      <w:pPr>
        <w:ind w:left="440" w:right="399"/>
        <w:jc w:val="center"/>
        <w:rPr>
          <w:rFonts w:ascii="Verdana" w:hAnsi="Verdana"/>
          <w:sz w:val="20"/>
          <w:szCs w:val="20"/>
        </w:rPr>
      </w:pPr>
    </w:p>
    <w:p w:rsidR="00260BF1" w:rsidRDefault="000A7F50" w:rsidP="0095074F">
      <w:pPr>
        <w:ind w:left="440" w:right="399"/>
        <w:rPr>
          <w:rFonts w:ascii="Verdana" w:hAnsi="Verdana"/>
          <w:sz w:val="20"/>
          <w:szCs w:val="20"/>
          <w:lang w:val="en-US"/>
        </w:rPr>
      </w:pPr>
      <w:r>
        <w:t xml:space="preserve">As part of the COST action ES0702 EG-CLIMET </w:t>
      </w:r>
      <w:hyperlink r:id="rId8" w:history="1">
        <w:r w:rsidRPr="00A80A6B">
          <w:rPr>
            <w:rStyle w:val="Hyperlink"/>
          </w:rPr>
          <w:t>http://www.eg-climet.org</w:t>
        </w:r>
      </w:hyperlink>
      <w:r>
        <w:t xml:space="preserve"> , a special working group was formed to look at the “Harmonisation of European automatic Lidar and Ceilometer Network, Calibrations , recording formats and archiving protocols”</w:t>
      </w:r>
      <w:r w:rsidR="0095074F">
        <w:t xml:space="preserve">. As part of these activities it was agreed that a common BUFR template should be agreed upon for this data. After an extensive review the following Table D sequence has been agreed upon by the LIDAR community. </w:t>
      </w:r>
    </w:p>
    <w:p w:rsidR="00260BF1" w:rsidRDefault="000A7F50">
      <w:pPr>
        <w:tabs>
          <w:tab w:val="center" w:pos="4680"/>
        </w:tabs>
        <w:jc w:val="center"/>
        <w:rPr>
          <w:rFonts w:ascii="Verdana" w:hAnsi="Verdana"/>
          <w:sz w:val="20"/>
          <w:szCs w:val="20"/>
        </w:rPr>
      </w:pPr>
      <w:r>
        <w:rPr>
          <w:rFonts w:ascii="Verdana" w:hAnsi="Verdana"/>
          <w:sz w:val="20"/>
          <w:szCs w:val="20"/>
        </w:rPr>
        <w:t>_______________________________________________________________________</w:t>
      </w:r>
    </w:p>
    <w:p w:rsidR="00260BF1" w:rsidRDefault="00260BF1">
      <w:pPr>
        <w:jc w:val="center"/>
        <w:rPr>
          <w:rFonts w:ascii="Verdana" w:hAnsi="Verdana"/>
          <w:sz w:val="20"/>
          <w:szCs w:val="20"/>
        </w:rPr>
      </w:pPr>
    </w:p>
    <w:p w:rsidR="00260BF1" w:rsidRDefault="000A7F50">
      <w:pPr>
        <w:tabs>
          <w:tab w:val="center" w:pos="4680"/>
        </w:tabs>
        <w:jc w:val="center"/>
        <w:rPr>
          <w:rFonts w:ascii="Verdana" w:hAnsi="Verdana"/>
          <w:b/>
          <w:sz w:val="20"/>
          <w:szCs w:val="20"/>
        </w:rPr>
      </w:pPr>
      <w:r>
        <w:rPr>
          <w:rFonts w:ascii="Verdana" w:hAnsi="Verdana"/>
          <w:b/>
          <w:sz w:val="20"/>
          <w:szCs w:val="20"/>
        </w:rPr>
        <w:t>ACTION PROPOSED</w:t>
      </w:r>
    </w:p>
    <w:p w:rsidR="00260BF1" w:rsidRDefault="00260BF1">
      <w:pPr>
        <w:rPr>
          <w:rFonts w:ascii="Verdana" w:hAnsi="Verdana"/>
          <w:sz w:val="20"/>
          <w:szCs w:val="20"/>
        </w:rPr>
      </w:pPr>
    </w:p>
    <w:p w:rsidR="0095074F" w:rsidRDefault="0095074F" w:rsidP="0095074F">
      <w:pPr>
        <w:pStyle w:val="TextBody"/>
        <w:jc w:val="center"/>
      </w:pPr>
      <w:r>
        <w:t xml:space="preserve">The meeting is requested to review the proposal and if in agreement grant </w:t>
      </w:r>
    </w:p>
    <w:p w:rsidR="00260BF1" w:rsidRDefault="0095074F" w:rsidP="0095074F">
      <w:pPr>
        <w:pStyle w:val="TextBody"/>
        <w:jc w:val="center"/>
        <w:rPr>
          <w:rFonts w:ascii="Verdana" w:hAnsi="Verdana"/>
          <w:sz w:val="20"/>
          <w:szCs w:val="20"/>
        </w:rPr>
      </w:pPr>
      <w:r>
        <w:t xml:space="preserve">validation status to the proposed D sequence. </w:t>
      </w:r>
    </w:p>
    <w:p w:rsidR="00260BF1" w:rsidRDefault="00260BF1">
      <w:pPr>
        <w:pStyle w:val="TextBody"/>
        <w:rPr>
          <w:rFonts w:ascii="Verdana" w:hAnsi="Verdana"/>
          <w:sz w:val="20"/>
          <w:szCs w:val="20"/>
        </w:rPr>
      </w:pPr>
    </w:p>
    <w:p w:rsidR="00260BF1" w:rsidRDefault="00260BF1">
      <w:pPr>
        <w:jc w:val="center"/>
        <w:rPr>
          <w:rFonts w:ascii="Verdana" w:hAnsi="Verdana"/>
          <w:sz w:val="20"/>
          <w:szCs w:val="20"/>
        </w:rPr>
      </w:pPr>
    </w:p>
    <w:p w:rsidR="00260BF1" w:rsidRDefault="00260BF1">
      <w:pPr>
        <w:jc w:val="both"/>
        <w:rPr>
          <w:rFonts w:ascii="Verdana" w:hAnsi="Verdana"/>
          <w:sz w:val="20"/>
          <w:szCs w:val="20"/>
        </w:rPr>
      </w:pPr>
    </w:p>
    <w:p w:rsidR="00260BF1" w:rsidRDefault="00260BF1">
      <w:pPr>
        <w:spacing w:after="40"/>
        <w:jc w:val="both"/>
        <w:rPr>
          <w:rFonts w:ascii="Verdana" w:hAnsi="Verdana"/>
          <w:sz w:val="20"/>
          <w:szCs w:val="20"/>
        </w:rPr>
      </w:pPr>
    </w:p>
    <w:p w:rsidR="00260BF1" w:rsidRDefault="000A7F50">
      <w:pPr>
        <w:jc w:val="both"/>
        <w:rPr>
          <w:rFonts w:ascii="Verdana" w:hAnsi="Verdana"/>
          <w:b/>
          <w:sz w:val="20"/>
          <w:szCs w:val="20"/>
        </w:rPr>
      </w:pPr>
      <w:r>
        <w:rPr>
          <w:rFonts w:ascii="Verdana" w:hAnsi="Verdana"/>
          <w:b/>
          <w:sz w:val="20"/>
          <w:szCs w:val="20"/>
        </w:rPr>
        <w:t>ANNEXES:</w:t>
      </w:r>
    </w:p>
    <w:p w:rsidR="00DE68AB" w:rsidRPr="006A76FC" w:rsidRDefault="00DE68AB" w:rsidP="006A76FC">
      <w:pPr>
        <w:pStyle w:val="ListParagraph"/>
        <w:numPr>
          <w:ilvl w:val="0"/>
          <w:numId w:val="3"/>
        </w:numPr>
        <w:jc w:val="both"/>
        <w:rPr>
          <w:rFonts w:ascii="Verdana" w:hAnsi="Verdana"/>
          <w:sz w:val="20"/>
          <w:szCs w:val="20"/>
        </w:rPr>
      </w:pPr>
      <w:r w:rsidRPr="006A76FC">
        <w:rPr>
          <w:rFonts w:ascii="Verdana" w:hAnsi="Verdana"/>
          <w:sz w:val="20"/>
          <w:szCs w:val="20"/>
        </w:rPr>
        <w:t>B descriptors proposed as part of the D sequence development.</w:t>
      </w:r>
    </w:p>
    <w:p w:rsidR="006A76FC" w:rsidRPr="006A76FC" w:rsidRDefault="006A76FC" w:rsidP="006A76FC">
      <w:pPr>
        <w:pStyle w:val="ListParagraph"/>
        <w:numPr>
          <w:ilvl w:val="0"/>
          <w:numId w:val="3"/>
        </w:numPr>
        <w:jc w:val="both"/>
        <w:rPr>
          <w:rFonts w:ascii="Verdana" w:hAnsi="Verdana"/>
          <w:sz w:val="20"/>
          <w:szCs w:val="20"/>
        </w:rPr>
      </w:pPr>
      <w:r>
        <w:rPr>
          <w:rFonts w:ascii="Verdana" w:hAnsi="Verdana"/>
          <w:sz w:val="20"/>
          <w:szCs w:val="20"/>
        </w:rPr>
        <w:t>Additional information concerning the data.</w:t>
      </w:r>
    </w:p>
    <w:p w:rsidR="00260BF1" w:rsidRDefault="00260BF1">
      <w:pPr>
        <w:ind w:left="880" w:hanging="660"/>
        <w:rPr>
          <w:rFonts w:ascii="Verdana" w:hAnsi="Verdana"/>
          <w:sz w:val="20"/>
          <w:szCs w:val="20"/>
        </w:rPr>
      </w:pPr>
    </w:p>
    <w:p w:rsidR="00260BF1" w:rsidRDefault="00260BF1">
      <w:pPr>
        <w:spacing w:after="40"/>
        <w:ind w:left="284"/>
        <w:jc w:val="both"/>
        <w:rPr>
          <w:rFonts w:ascii="Verdana" w:hAnsi="Verdana"/>
          <w:b/>
          <w:sz w:val="20"/>
          <w:szCs w:val="20"/>
        </w:rPr>
      </w:pPr>
    </w:p>
    <w:p w:rsidR="00260BF1" w:rsidRDefault="00260BF1">
      <w:pPr>
        <w:spacing w:after="40"/>
        <w:ind w:left="284"/>
        <w:jc w:val="both"/>
        <w:rPr>
          <w:rFonts w:ascii="Verdana" w:hAnsi="Verdana"/>
          <w:sz w:val="20"/>
          <w:szCs w:val="20"/>
        </w:rPr>
      </w:pPr>
    </w:p>
    <w:p w:rsidR="00260BF1" w:rsidRDefault="000A7F50">
      <w:pPr>
        <w:pageBreakBefore/>
        <w:rPr>
          <w:rFonts w:ascii="Verdana" w:hAnsi="Verdana"/>
          <w:b/>
          <w:sz w:val="20"/>
          <w:szCs w:val="20"/>
        </w:rPr>
      </w:pPr>
      <w:r>
        <w:rPr>
          <w:rFonts w:ascii="Verdana" w:hAnsi="Verdana"/>
          <w:b/>
          <w:sz w:val="20"/>
          <w:szCs w:val="20"/>
        </w:rPr>
        <w:lastRenderedPageBreak/>
        <w:t>DISCUSSIONS</w:t>
      </w:r>
    </w:p>
    <w:p w:rsidR="00D703CF" w:rsidRDefault="00D703CF" w:rsidP="005F0788">
      <w:pPr>
        <w:tabs>
          <w:tab w:val="left" w:pos="9214"/>
        </w:tabs>
        <w:spacing w:before="120"/>
        <w:ind w:right="424"/>
        <w:rPr>
          <w:rFonts w:ascii="Verdana" w:hAnsi="Verdana"/>
          <w:sz w:val="20"/>
          <w:szCs w:val="20"/>
        </w:rPr>
      </w:pPr>
      <w:r w:rsidRPr="005F0788">
        <w:t xml:space="preserve">The sequence outlined in this proposal has been developed in parallel with the </w:t>
      </w:r>
      <w:r w:rsidR="005F0788" w:rsidRPr="005F0788">
        <w:t>p</w:t>
      </w:r>
      <w:r w:rsidRPr="005F0788">
        <w:t xml:space="preserve">roposal previously submitted by the UK Met Office and MetEO </w:t>
      </w:r>
      <w:r w:rsidR="00DE68AB" w:rsidRPr="005F0788">
        <w:t>Swiss</w:t>
      </w:r>
      <w:r w:rsidRPr="005F0788">
        <w:t xml:space="preserve"> to IPET-DRMM I (Tokyo 2013) for a “</w:t>
      </w:r>
      <w:r w:rsidRPr="005F0788">
        <w:rPr>
          <w:rFonts w:cs="Arial"/>
          <w:b/>
          <w:color w:val="000000"/>
        </w:rPr>
        <w:t>BUFR template for radar wind profiler</w:t>
      </w:r>
      <w:r w:rsidR="005F0788" w:rsidRPr="005F0788">
        <w:rPr>
          <w:rFonts w:cs="Arial"/>
          <w:color w:val="000000"/>
        </w:rPr>
        <w:t>”. As such the</w:t>
      </w:r>
      <w:r w:rsidR="005F0788" w:rsidRPr="005F0788">
        <w:rPr>
          <w:rFonts w:ascii="Verdana" w:hAnsi="Verdana"/>
          <w:sz w:val="20"/>
          <w:szCs w:val="20"/>
        </w:rPr>
        <w:t xml:space="preserve"> </w:t>
      </w:r>
      <w:r w:rsidR="005F0788">
        <w:rPr>
          <w:rFonts w:ascii="Verdana" w:hAnsi="Verdana"/>
          <w:sz w:val="20"/>
          <w:szCs w:val="20"/>
        </w:rPr>
        <w:t>two sequences utilise the same sequence of descriptors in the header section.</w:t>
      </w:r>
    </w:p>
    <w:p w:rsidR="005F0788" w:rsidRPr="005F0788" w:rsidRDefault="005F0788" w:rsidP="005F0788">
      <w:pPr>
        <w:tabs>
          <w:tab w:val="left" w:pos="9214"/>
        </w:tabs>
        <w:spacing w:before="120"/>
        <w:ind w:right="424"/>
        <w:rPr>
          <w:rFonts w:ascii="Verdana" w:hAnsi="Verdana"/>
          <w:sz w:val="20"/>
          <w:szCs w:val="20"/>
        </w:rPr>
      </w:pPr>
      <w:r>
        <w:rPr>
          <w:rFonts w:ascii="Verdana" w:hAnsi="Verdana"/>
          <w:sz w:val="20"/>
          <w:szCs w:val="20"/>
        </w:rPr>
        <w:t xml:space="preserve">In developing the sequence a number of new descriptors have been </w:t>
      </w:r>
      <w:r w:rsidR="00DE68AB">
        <w:rPr>
          <w:rFonts w:ascii="Verdana" w:hAnsi="Verdana"/>
          <w:sz w:val="20"/>
          <w:szCs w:val="20"/>
        </w:rPr>
        <w:t>proposed</w:t>
      </w:r>
      <w:r>
        <w:rPr>
          <w:rFonts w:ascii="Verdana" w:hAnsi="Verdana"/>
          <w:sz w:val="20"/>
          <w:szCs w:val="20"/>
        </w:rPr>
        <w:t xml:space="preserve"> which are listed in annex 1.</w:t>
      </w:r>
    </w:p>
    <w:p w:rsidR="00260BF1" w:rsidRDefault="00260BF1">
      <w:pPr>
        <w:jc w:val="both"/>
        <w:rPr>
          <w:rFonts w:ascii="Verdana" w:hAnsi="Verdana"/>
          <w:sz w:val="20"/>
          <w:szCs w:val="20"/>
        </w:rPr>
      </w:pPr>
    </w:p>
    <w:p w:rsidR="00260BF1" w:rsidRDefault="00260BF1">
      <w:pPr>
        <w:rPr>
          <w:rFonts w:ascii="Verdana" w:hAnsi="Verdana"/>
          <w:sz w:val="20"/>
          <w:szCs w:val="20"/>
        </w:rPr>
      </w:pPr>
    </w:p>
    <w:p w:rsidR="00260BF1" w:rsidRDefault="000A7F50">
      <w:pPr>
        <w:rPr>
          <w:rFonts w:ascii="Verdana" w:hAnsi="Verdana"/>
          <w:b/>
          <w:sz w:val="20"/>
          <w:szCs w:val="20"/>
        </w:rPr>
      </w:pPr>
      <w:r>
        <w:rPr>
          <w:rFonts w:ascii="Verdana" w:hAnsi="Verdana"/>
          <w:b/>
          <w:sz w:val="20"/>
          <w:szCs w:val="20"/>
        </w:rPr>
        <w:t>PROPOSAL</w:t>
      </w:r>
    </w:p>
    <w:p w:rsidR="00260BF1" w:rsidRDefault="00260BF1">
      <w:pPr>
        <w:rPr>
          <w:rFonts w:ascii="Verdana" w:hAnsi="Verdana"/>
          <w:sz w:val="20"/>
          <w:szCs w:val="20"/>
        </w:rPr>
      </w:pPr>
    </w:p>
    <w:p w:rsidR="005F0788" w:rsidRDefault="005F0788">
      <w:pPr>
        <w:rPr>
          <w:rFonts w:ascii="Verdana" w:hAnsi="Verdana"/>
          <w:sz w:val="20"/>
          <w:szCs w:val="20"/>
        </w:rPr>
      </w:pPr>
      <w:r>
        <w:rPr>
          <w:rFonts w:ascii="Verdana" w:hAnsi="Verdana"/>
          <w:sz w:val="20"/>
          <w:szCs w:val="20"/>
        </w:rPr>
        <w:t>The meeting is requested to review and pass the proposed D sequence and Table B descriptors to validation status.</w:t>
      </w:r>
    </w:p>
    <w:p w:rsidR="005F0788" w:rsidRDefault="005F0788">
      <w:pPr>
        <w:rPr>
          <w:rFonts w:ascii="Verdana" w:hAnsi="Verdana"/>
          <w:sz w:val="20"/>
          <w:szCs w:val="20"/>
        </w:rPr>
      </w:pPr>
    </w:p>
    <w:p w:rsidR="005F0788" w:rsidRDefault="005F0788">
      <w:pPr>
        <w:rPr>
          <w:rFonts w:ascii="Verdana" w:hAnsi="Verdana"/>
          <w:sz w:val="20"/>
          <w:szCs w:val="20"/>
        </w:rPr>
      </w:pPr>
      <w:r>
        <w:rPr>
          <w:rFonts w:ascii="Verdana" w:hAnsi="Verdana"/>
          <w:sz w:val="20"/>
          <w:szCs w:val="20"/>
        </w:rPr>
        <w:t xml:space="preserve">  </w:t>
      </w:r>
    </w:p>
    <w:tbl>
      <w:tblPr>
        <w:tblW w:w="96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7" w:type="dxa"/>
          <w:left w:w="85" w:type="dxa"/>
          <w:bottom w:w="11" w:type="dxa"/>
          <w:right w:w="85" w:type="dxa"/>
        </w:tblCellMar>
        <w:tblLook w:val="04A0" w:firstRow="1" w:lastRow="0" w:firstColumn="1" w:lastColumn="0" w:noHBand="0" w:noVBand="1"/>
      </w:tblPr>
      <w:tblGrid>
        <w:gridCol w:w="1116"/>
        <w:gridCol w:w="2165"/>
        <w:gridCol w:w="1260"/>
        <w:gridCol w:w="1380"/>
        <w:gridCol w:w="3730"/>
      </w:tblGrid>
      <w:tr w:rsidR="005F0788" w:rsidRPr="00417B3A" w:rsidTr="000B3E11">
        <w:trPr>
          <w:trHeight w:val="399"/>
          <w:jc w:val="center"/>
        </w:trPr>
        <w:tc>
          <w:tcPr>
            <w:tcW w:w="9651" w:type="dxa"/>
            <w:gridSpan w:val="5"/>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jc w:val="center"/>
              <w:rPr>
                <w:rFonts w:ascii="Calibri" w:hAnsi="Calibri" w:cs="Arial"/>
                <w:b/>
                <w:sz w:val="20"/>
                <w:szCs w:val="20"/>
              </w:rPr>
            </w:pPr>
            <w:r>
              <w:rPr>
                <w:rFonts w:ascii="Calibri" w:hAnsi="Calibri" w:cs="Arial"/>
                <w:b/>
                <w:sz w:val="20"/>
                <w:szCs w:val="20"/>
              </w:rPr>
              <w:t>LIDAR Sequence</w:t>
            </w:r>
          </w:p>
        </w:tc>
      </w:tr>
      <w:tr w:rsidR="005F0788" w:rsidRPr="00417B3A" w:rsidTr="000B3E11">
        <w:trPr>
          <w:trHeight w:val="958"/>
          <w:jc w:val="center"/>
        </w:trPr>
        <w:tc>
          <w:tcPr>
            <w:tcW w:w="1116"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spacing w:before="60"/>
              <w:jc w:val="center"/>
              <w:rPr>
                <w:rFonts w:ascii="Calibri" w:hAnsi="Calibri" w:cs="Arial"/>
                <w:b/>
                <w:sz w:val="20"/>
                <w:szCs w:val="20"/>
              </w:rPr>
            </w:pPr>
            <w:r w:rsidRPr="00417B3A">
              <w:rPr>
                <w:rFonts w:ascii="Calibri" w:hAnsi="Calibri" w:cs="Arial"/>
                <w:b/>
                <w:sz w:val="20"/>
                <w:szCs w:val="20"/>
              </w:rPr>
              <w:t>TABLE</w:t>
            </w:r>
          </w:p>
          <w:p w:rsidR="005F0788" w:rsidRPr="00417B3A" w:rsidRDefault="005F0788" w:rsidP="005F0788">
            <w:pPr>
              <w:widowControl w:val="0"/>
              <w:tabs>
                <w:tab w:val="center" w:pos="476"/>
              </w:tabs>
              <w:spacing w:after="60"/>
              <w:jc w:val="center"/>
              <w:rPr>
                <w:rFonts w:ascii="Calibri" w:hAnsi="Calibri" w:cs="Arial"/>
                <w:b/>
                <w:sz w:val="20"/>
                <w:szCs w:val="20"/>
              </w:rPr>
            </w:pPr>
            <w:r w:rsidRPr="00417B3A">
              <w:rPr>
                <w:rFonts w:ascii="Calibri" w:hAnsi="Calibri" w:cs="Arial"/>
                <w:b/>
                <w:sz w:val="20"/>
                <w:szCs w:val="20"/>
              </w:rPr>
              <w:t>REFERENCE</w:t>
            </w: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jc w:val="center"/>
              <w:rPr>
                <w:rFonts w:ascii="Calibri" w:hAnsi="Calibri" w:cs="Arial"/>
                <w:b/>
                <w:sz w:val="20"/>
                <w:szCs w:val="20"/>
              </w:rPr>
            </w:pPr>
            <w:r w:rsidRPr="00417B3A">
              <w:rPr>
                <w:rFonts w:ascii="Calibri" w:hAnsi="Calibri" w:cs="Arial"/>
                <w:b/>
                <w:sz w:val="20"/>
                <w:szCs w:val="20"/>
              </w:rPr>
              <w:t>TABLE</w:t>
            </w:r>
          </w:p>
          <w:p w:rsidR="005F0788" w:rsidRPr="00417B3A" w:rsidRDefault="005F0788" w:rsidP="005F0788">
            <w:pPr>
              <w:widowControl w:val="0"/>
              <w:tabs>
                <w:tab w:val="center" w:pos="476"/>
              </w:tabs>
              <w:spacing w:after="60"/>
              <w:jc w:val="center"/>
              <w:rPr>
                <w:rFonts w:ascii="Calibri" w:hAnsi="Calibri" w:cs="Arial"/>
                <w:b/>
                <w:sz w:val="20"/>
                <w:szCs w:val="20"/>
              </w:rPr>
            </w:pPr>
            <w:r w:rsidRPr="00417B3A">
              <w:rPr>
                <w:rFonts w:ascii="Calibri" w:hAnsi="Calibri" w:cs="Arial"/>
                <w:b/>
                <w:sz w:val="20"/>
                <w:szCs w:val="20"/>
              </w:rPr>
              <w:t>REFERENCE</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jc w:val="center"/>
              <w:rPr>
                <w:rFonts w:ascii="Calibri" w:hAnsi="Calibri" w:cs="Arial"/>
                <w:b/>
                <w:sz w:val="20"/>
                <w:szCs w:val="20"/>
              </w:rPr>
            </w:pPr>
          </w:p>
          <w:p w:rsidR="005F0788" w:rsidRPr="00417B3A" w:rsidRDefault="005F0788" w:rsidP="005F0788">
            <w:pPr>
              <w:widowControl w:val="0"/>
              <w:tabs>
                <w:tab w:val="center" w:pos="476"/>
              </w:tabs>
              <w:spacing w:before="60"/>
              <w:jc w:val="center"/>
              <w:rPr>
                <w:rFonts w:ascii="Calibri" w:hAnsi="Calibri" w:cs="Arial"/>
                <w:b/>
                <w:sz w:val="20"/>
                <w:szCs w:val="20"/>
              </w:rPr>
            </w:pPr>
            <w:r w:rsidRPr="00417B3A">
              <w:rPr>
                <w:rFonts w:ascii="Calibri" w:hAnsi="Calibri" w:cs="Arial"/>
                <w:b/>
                <w:sz w:val="20"/>
                <w:szCs w:val="20"/>
              </w:rPr>
              <w:t>TABLE</w:t>
            </w:r>
          </w:p>
          <w:p w:rsidR="005F0788" w:rsidRPr="00417B3A" w:rsidRDefault="005F0788" w:rsidP="005F0788">
            <w:pPr>
              <w:widowControl w:val="0"/>
              <w:tabs>
                <w:tab w:val="center" w:pos="476"/>
              </w:tabs>
              <w:spacing w:after="60"/>
              <w:jc w:val="center"/>
              <w:rPr>
                <w:rFonts w:ascii="Calibri" w:hAnsi="Calibri" w:cs="Arial"/>
                <w:b/>
                <w:sz w:val="20"/>
                <w:szCs w:val="20"/>
              </w:rPr>
            </w:pPr>
            <w:r w:rsidRPr="00417B3A">
              <w:rPr>
                <w:rFonts w:ascii="Calibri" w:hAnsi="Calibri" w:cs="Arial"/>
                <w:b/>
                <w:sz w:val="20"/>
                <w:szCs w:val="20"/>
              </w:rPr>
              <w:t>REFERENCE</w:t>
            </w:r>
          </w:p>
          <w:p w:rsidR="005F0788" w:rsidRPr="00417B3A" w:rsidRDefault="005F0788" w:rsidP="005F0788">
            <w:pPr>
              <w:widowControl w:val="0"/>
              <w:tabs>
                <w:tab w:val="center" w:pos="476"/>
              </w:tabs>
              <w:spacing w:after="60"/>
              <w:jc w:val="center"/>
              <w:rPr>
                <w:rFonts w:ascii="Calibri" w:hAnsi="Calibri" w:cs="Arial"/>
                <w:b/>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b/>
                <w:sz w:val="20"/>
                <w:szCs w:val="20"/>
              </w:rPr>
            </w:pPr>
            <w:r w:rsidRPr="00417B3A">
              <w:rPr>
                <w:rFonts w:ascii="Calibri" w:hAnsi="Calibri" w:cs="Arial"/>
                <w:b/>
                <w:sz w:val="20"/>
                <w:szCs w:val="20"/>
              </w:rPr>
              <w:t>TABLE</w:t>
            </w:r>
          </w:p>
          <w:p w:rsidR="005F0788" w:rsidRPr="00417B3A" w:rsidRDefault="005F0788" w:rsidP="005F0788">
            <w:pPr>
              <w:widowControl w:val="0"/>
              <w:tabs>
                <w:tab w:val="center" w:pos="476"/>
              </w:tabs>
              <w:jc w:val="center"/>
              <w:rPr>
                <w:rFonts w:ascii="Calibri" w:hAnsi="Calibri" w:cs="Arial"/>
                <w:b/>
                <w:sz w:val="20"/>
                <w:szCs w:val="20"/>
              </w:rPr>
            </w:pPr>
            <w:r w:rsidRPr="00417B3A">
              <w:rPr>
                <w:rFonts w:ascii="Calibri" w:hAnsi="Calibri" w:cs="Arial"/>
                <w:b/>
                <w:sz w:val="20"/>
                <w:szCs w:val="20"/>
              </w:rPr>
              <w:t>REFERENCES</w:t>
            </w:r>
          </w:p>
        </w:tc>
        <w:tc>
          <w:tcPr>
            <w:tcW w:w="3730" w:type="dxa"/>
            <w:vMerge w:val="restart"/>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b/>
                <w:sz w:val="20"/>
                <w:szCs w:val="20"/>
              </w:rPr>
            </w:pPr>
            <w:r w:rsidRPr="00417B3A">
              <w:rPr>
                <w:rFonts w:ascii="Calibri" w:hAnsi="Calibri" w:cs="Arial"/>
                <w:b/>
                <w:sz w:val="20"/>
                <w:szCs w:val="20"/>
              </w:rPr>
              <w:t>ELEMENT NAME</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spacing w:before="60" w:after="60"/>
              <w:jc w:val="center"/>
              <w:rPr>
                <w:rFonts w:ascii="Calibri" w:hAnsi="Calibri" w:cs="Arial"/>
                <w:b/>
                <w:sz w:val="20"/>
                <w:szCs w:val="20"/>
              </w:rPr>
            </w:pPr>
            <w:r w:rsidRPr="00417B3A">
              <w:rPr>
                <w:rFonts w:ascii="Calibri" w:hAnsi="Calibri" w:cs="Arial"/>
                <w:b/>
                <w:sz w:val="20"/>
                <w:szCs w:val="20"/>
              </w:rPr>
              <w:t>F  X    Y</w:t>
            </w: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b/>
                <w:sz w:val="20"/>
                <w:szCs w:val="20"/>
              </w:rPr>
            </w:pPr>
            <w:r w:rsidRPr="00417B3A">
              <w:rPr>
                <w:rFonts w:ascii="Calibri" w:hAnsi="Calibri" w:cs="Arial"/>
                <w:b/>
                <w:sz w:val="20"/>
                <w:szCs w:val="20"/>
              </w:rPr>
              <w:t>F  X    Y</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b/>
                <w:sz w:val="20"/>
                <w:szCs w:val="20"/>
              </w:rPr>
            </w:pPr>
            <w:r w:rsidRPr="00417B3A">
              <w:rPr>
                <w:rFonts w:ascii="Calibri" w:hAnsi="Calibri" w:cs="Arial"/>
                <w:b/>
                <w:sz w:val="20"/>
                <w:szCs w:val="20"/>
              </w:rPr>
              <w:t>F  X    Y</w:t>
            </w: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b/>
                <w:sz w:val="20"/>
                <w:szCs w:val="20"/>
              </w:rPr>
            </w:pPr>
            <w:r w:rsidRPr="00417B3A">
              <w:rPr>
                <w:rFonts w:ascii="Calibri" w:hAnsi="Calibri" w:cs="Arial"/>
                <w:b/>
                <w:sz w:val="20"/>
                <w:szCs w:val="20"/>
              </w:rPr>
              <w:t>F  X    Y</w:t>
            </w:r>
          </w:p>
        </w:tc>
        <w:tc>
          <w:tcPr>
            <w:tcW w:w="3730" w:type="dxa"/>
            <w:vMerge/>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b/>
                <w:sz w:val="20"/>
                <w:szCs w:val="20"/>
              </w:rPr>
            </w:pPr>
          </w:p>
        </w:tc>
      </w:tr>
      <w:tr w:rsidR="005F0788" w:rsidRPr="00417B3A" w:rsidTr="000B3E11">
        <w:trPr>
          <w:jc w:val="center"/>
        </w:trPr>
        <w:tc>
          <w:tcPr>
            <w:tcW w:w="9651" w:type="dxa"/>
            <w:gridSpan w:val="5"/>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rPr>
                <w:rFonts w:ascii="Calibri" w:hAnsi="Calibri" w:cs="Arial"/>
                <w:b/>
                <w:sz w:val="20"/>
                <w:szCs w:val="20"/>
              </w:rPr>
            </w:pPr>
            <w:r w:rsidRPr="00417B3A">
              <w:rPr>
                <w:rFonts w:ascii="Calibri" w:hAnsi="Calibri" w:cs="Arial"/>
                <w:b/>
                <w:sz w:val="20"/>
                <w:szCs w:val="20"/>
              </w:rPr>
              <w:t>Header Section</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spacing w:before="60" w:after="60"/>
              <w:jc w:val="center"/>
              <w:rPr>
                <w:rFonts w:ascii="Calibri" w:hAnsi="Calibri" w:cs="Arial"/>
                <w:b/>
                <w:sz w:val="20"/>
                <w:szCs w:val="20"/>
              </w:rPr>
            </w:pPr>
            <w:r>
              <w:rPr>
                <w:rFonts w:ascii="Calibri" w:hAnsi="Calibri" w:cs="Arial"/>
                <w:b/>
                <w:sz w:val="20"/>
                <w:szCs w:val="20"/>
              </w:rPr>
              <w:t>3 09 023</w:t>
            </w: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b/>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b/>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b/>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b/>
                <w:sz w:val="20"/>
                <w:szCs w:val="20"/>
              </w:rPr>
            </w:pP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r w:rsidRPr="00417B3A">
              <w:rPr>
                <w:rFonts w:ascii="Calibri" w:hAnsi="Calibri" w:cs="Arial"/>
                <w:sz w:val="20"/>
                <w:szCs w:val="20"/>
              </w:rPr>
              <w:t>0 01 001</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r w:rsidRPr="00417B3A">
              <w:rPr>
                <w:rFonts w:ascii="Calibri" w:hAnsi="Calibri" w:cs="Arial"/>
                <w:sz w:val="20"/>
                <w:szCs w:val="20"/>
              </w:rPr>
              <w:t>WMO Block Number</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r w:rsidRPr="00417B3A">
              <w:rPr>
                <w:rFonts w:ascii="Calibri" w:hAnsi="Calibri" w:cs="Arial"/>
                <w:sz w:val="20"/>
                <w:szCs w:val="20"/>
              </w:rPr>
              <w:t>0 01 002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r w:rsidRPr="00417B3A">
              <w:rPr>
                <w:rFonts w:ascii="Calibri" w:hAnsi="Calibri" w:cs="Arial"/>
                <w:sz w:val="20"/>
                <w:szCs w:val="20"/>
              </w:rPr>
              <w:t>WMO Station Number</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r w:rsidRPr="00417B3A">
              <w:rPr>
                <w:rFonts w:ascii="Calibri" w:hAnsi="Calibri" w:cs="Arial"/>
                <w:sz w:val="20"/>
                <w:szCs w:val="20"/>
              </w:rPr>
              <w:t>0 05 001</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r>
              <w:rPr>
                <w:rFonts w:ascii="Calibri" w:hAnsi="Calibri" w:cs="Arial"/>
                <w:sz w:val="20"/>
                <w:szCs w:val="20"/>
              </w:rPr>
              <w:t>La</w:t>
            </w:r>
            <w:r w:rsidRPr="00417B3A">
              <w:rPr>
                <w:rFonts w:ascii="Calibri" w:hAnsi="Calibri" w:cs="Arial"/>
                <w:sz w:val="20"/>
                <w:szCs w:val="20"/>
              </w:rPr>
              <w:t>titude (High Accuracy)</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r w:rsidRPr="00417B3A">
              <w:rPr>
                <w:rFonts w:ascii="Calibri" w:hAnsi="Calibri" w:cs="Arial"/>
                <w:sz w:val="20"/>
                <w:szCs w:val="20"/>
              </w:rPr>
              <w:t>0 06 001</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r w:rsidRPr="00417B3A">
              <w:rPr>
                <w:rFonts w:ascii="Calibri" w:hAnsi="Calibri" w:cs="Arial"/>
                <w:sz w:val="20"/>
                <w:szCs w:val="20"/>
              </w:rPr>
              <w:t>Longitude (High Accuracy)</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r w:rsidRPr="00417B3A">
              <w:rPr>
                <w:rFonts w:ascii="Calibri" w:hAnsi="Calibri" w:cs="Arial"/>
                <w:sz w:val="20"/>
                <w:szCs w:val="20"/>
              </w:rPr>
              <w:t>0 07 001</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r w:rsidRPr="00417B3A">
              <w:rPr>
                <w:rFonts w:ascii="Calibri" w:hAnsi="Calibri" w:cs="Arial"/>
                <w:sz w:val="20"/>
                <w:szCs w:val="20"/>
              </w:rPr>
              <w:t>Height Of Station</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r w:rsidRPr="00417B3A">
              <w:rPr>
                <w:rFonts w:ascii="Calibri" w:hAnsi="Calibri" w:cs="Arial"/>
                <w:sz w:val="20"/>
                <w:szCs w:val="20"/>
              </w:rPr>
              <w:t>3</w:t>
            </w:r>
            <w:r>
              <w:rPr>
                <w:rFonts w:ascii="Calibri" w:hAnsi="Calibri" w:cs="Arial"/>
                <w:sz w:val="20"/>
                <w:szCs w:val="20"/>
              </w:rPr>
              <w:t xml:space="preserve"> </w:t>
            </w:r>
            <w:r w:rsidRPr="00417B3A">
              <w:rPr>
                <w:rFonts w:ascii="Calibri" w:hAnsi="Calibri" w:cs="Arial"/>
                <w:sz w:val="20"/>
                <w:szCs w:val="20"/>
              </w:rPr>
              <w:t>01</w:t>
            </w:r>
            <w:r>
              <w:rPr>
                <w:rFonts w:ascii="Calibri" w:hAnsi="Calibri" w:cs="Arial"/>
                <w:sz w:val="20"/>
                <w:szCs w:val="20"/>
              </w:rPr>
              <w:t xml:space="preserve"> </w:t>
            </w:r>
            <w:r w:rsidRPr="00417B3A">
              <w:rPr>
                <w:rFonts w:ascii="Calibri" w:hAnsi="Calibri" w:cs="Arial"/>
                <w:sz w:val="20"/>
                <w:szCs w:val="20"/>
              </w:rPr>
              <w:t>014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r w:rsidRPr="00417B3A">
              <w:rPr>
                <w:rFonts w:ascii="Calibri" w:hAnsi="Calibri" w:cs="Arial"/>
                <w:sz w:val="20"/>
                <w:szCs w:val="20"/>
              </w:rPr>
              <w:t>Time Period</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r w:rsidRPr="00417B3A">
              <w:rPr>
                <w:rFonts w:ascii="Calibri" w:hAnsi="Calibri" w:cs="Arial"/>
                <w:sz w:val="20"/>
                <w:szCs w:val="20"/>
              </w:rPr>
              <w:t>1 02 002</w:t>
            </w: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r w:rsidRPr="00417B3A">
              <w:rPr>
                <w:rFonts w:ascii="Calibri" w:hAnsi="Calibri" w:cs="Arial"/>
                <w:sz w:val="20"/>
                <w:szCs w:val="20"/>
              </w:rPr>
              <w:t>Repli</w:t>
            </w:r>
            <w:r>
              <w:rPr>
                <w:rFonts w:ascii="Calibri" w:hAnsi="Calibri" w:cs="Arial"/>
                <w:sz w:val="20"/>
                <w:szCs w:val="20"/>
              </w:rPr>
              <w:t>cation of 2 descriptors (3 01 011 &amp; 3  01 012</w:t>
            </w:r>
            <w:r w:rsidRPr="00417B3A">
              <w:rPr>
                <w:rFonts w:ascii="Calibri" w:hAnsi="Calibri" w:cs="Arial"/>
                <w:sz w:val="20"/>
                <w:szCs w:val="20"/>
              </w:rPr>
              <w:t xml:space="preserve">) twice </w:t>
            </w:r>
            <w:r w:rsidRPr="00417B3A">
              <w:rPr>
                <w:rStyle w:val="FootnoteReference"/>
                <w:rFonts w:ascii="Calibri" w:hAnsi="Calibri" w:cs="Arial"/>
                <w:sz w:val="20"/>
                <w:szCs w:val="20"/>
              </w:rPr>
              <w:footnoteReference w:id="1"/>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r w:rsidRPr="00417B3A">
              <w:rPr>
                <w:rFonts w:ascii="Calibri" w:hAnsi="Calibri" w:cs="Arial"/>
                <w:sz w:val="20"/>
                <w:szCs w:val="20"/>
              </w:rPr>
              <w:t>3 01 011</w:t>
            </w: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Default="005F0788" w:rsidP="005F0788">
            <w:pPr>
              <w:spacing w:line="276" w:lineRule="auto"/>
              <w:jc w:val="center"/>
              <w:rPr>
                <w:rFonts w:ascii="Calibri" w:eastAsiaTheme="minorHAnsi" w:hAnsi="Calibri"/>
                <w:sz w:val="20"/>
                <w:szCs w:val="20"/>
              </w:rPr>
            </w:pPr>
            <w:r>
              <w:rPr>
                <w:rFonts w:ascii="Calibri" w:hAnsi="Calibri"/>
                <w:sz w:val="20"/>
                <w:szCs w:val="20"/>
              </w:rPr>
              <w:t>0 04 001</w:t>
            </w: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Default="005F0788" w:rsidP="005F0788">
            <w:pPr>
              <w:spacing w:line="276" w:lineRule="auto"/>
              <w:rPr>
                <w:rFonts w:ascii="Calibri" w:eastAsiaTheme="minorHAnsi" w:hAnsi="Calibri"/>
                <w:sz w:val="20"/>
                <w:szCs w:val="20"/>
              </w:rPr>
            </w:pPr>
            <w:r>
              <w:rPr>
                <w:rFonts w:ascii="Calibri" w:hAnsi="Calibri"/>
                <w:sz w:val="20"/>
                <w:szCs w:val="20"/>
              </w:rPr>
              <w:t>Year</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r w:rsidRPr="00417B3A">
              <w:rPr>
                <w:rFonts w:ascii="Calibri" w:hAnsi="Calibri" w:cs="Arial"/>
                <w:sz w:val="20"/>
                <w:szCs w:val="20"/>
              </w:rPr>
              <w:t>0 04 00</w:t>
            </w:r>
            <w:r>
              <w:rPr>
                <w:rFonts w:ascii="Calibri" w:hAnsi="Calibri" w:cs="Arial"/>
                <w:sz w:val="20"/>
                <w:szCs w:val="20"/>
              </w:rPr>
              <w:t>2</w:t>
            </w: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r w:rsidRPr="00417B3A">
              <w:rPr>
                <w:rFonts w:ascii="Calibri" w:hAnsi="Calibri" w:cs="Arial"/>
                <w:sz w:val="20"/>
                <w:szCs w:val="20"/>
              </w:rPr>
              <w:t>Month</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r w:rsidRPr="00417B3A">
              <w:rPr>
                <w:rFonts w:ascii="Calibri" w:hAnsi="Calibri" w:cs="Arial"/>
                <w:sz w:val="20"/>
                <w:szCs w:val="20"/>
              </w:rPr>
              <w:t>0 04 003</w:t>
            </w: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r w:rsidRPr="00417B3A">
              <w:rPr>
                <w:rFonts w:ascii="Calibri" w:hAnsi="Calibri" w:cs="Arial"/>
                <w:sz w:val="20"/>
                <w:szCs w:val="20"/>
              </w:rPr>
              <w:t>Day</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r w:rsidRPr="00417B3A">
              <w:rPr>
                <w:rFonts w:ascii="Calibri" w:hAnsi="Calibri" w:cs="Arial"/>
                <w:sz w:val="20"/>
                <w:szCs w:val="20"/>
              </w:rPr>
              <w:t>3 01 012</w:t>
            </w: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r w:rsidRPr="00417B3A">
              <w:rPr>
                <w:rFonts w:ascii="Calibri" w:hAnsi="Calibri" w:cs="Arial"/>
                <w:sz w:val="20"/>
                <w:szCs w:val="20"/>
              </w:rPr>
              <w:t>0 04 004</w:t>
            </w: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r w:rsidRPr="00417B3A">
              <w:rPr>
                <w:rFonts w:ascii="Calibri" w:hAnsi="Calibri" w:cs="Arial"/>
                <w:sz w:val="20"/>
                <w:szCs w:val="20"/>
              </w:rPr>
              <w:t>Hour</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r w:rsidRPr="00417B3A">
              <w:rPr>
                <w:rFonts w:ascii="Calibri" w:hAnsi="Calibri" w:cs="Arial"/>
                <w:sz w:val="20"/>
                <w:szCs w:val="20"/>
              </w:rPr>
              <w:t>0 04 005</w:t>
            </w: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r w:rsidRPr="00417B3A">
              <w:rPr>
                <w:rFonts w:ascii="Calibri" w:hAnsi="Calibri" w:cs="Arial"/>
                <w:sz w:val="20"/>
                <w:szCs w:val="20"/>
              </w:rPr>
              <w:t>Minute</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r w:rsidRPr="00417B3A">
              <w:rPr>
                <w:rFonts w:ascii="Calibri" w:hAnsi="Calibri" w:cs="Arial"/>
                <w:sz w:val="20"/>
                <w:szCs w:val="20"/>
              </w:rPr>
              <w:t>0 02 003</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r w:rsidRPr="00417B3A">
              <w:rPr>
                <w:rFonts w:ascii="Calibri" w:hAnsi="Calibri"/>
                <w:sz w:val="20"/>
                <w:szCs w:val="20"/>
              </w:rPr>
              <w:t xml:space="preserve">Type of measuring equipment used </w:t>
            </w:r>
            <w:r w:rsidRPr="00417B3A">
              <w:rPr>
                <w:rStyle w:val="FootnoteReference"/>
                <w:rFonts w:ascii="Calibri" w:hAnsi="Calibri"/>
                <w:sz w:val="20"/>
                <w:szCs w:val="20"/>
              </w:rPr>
              <w:footnoteReference w:id="2"/>
            </w:r>
          </w:p>
        </w:tc>
      </w:tr>
      <w:tr w:rsidR="005F0788" w:rsidRPr="00417B3A" w:rsidTr="000B3E11">
        <w:trPr>
          <w:trHeight w:val="318"/>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rPr>
                <w:rFonts w:ascii="Calibri" w:hAnsi="Calibri" w:cs="Arial"/>
                <w:b/>
                <w:sz w:val="20"/>
                <w:szCs w:val="20"/>
              </w:rPr>
            </w:pPr>
          </w:p>
        </w:tc>
        <w:tc>
          <w:tcPr>
            <w:tcW w:w="8535" w:type="dxa"/>
            <w:gridSpan w:val="4"/>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b/>
                <w:sz w:val="20"/>
                <w:szCs w:val="20"/>
              </w:rPr>
            </w:pPr>
            <w:r w:rsidRPr="00417B3A">
              <w:rPr>
                <w:rFonts w:ascii="Calibri" w:hAnsi="Calibri" w:cs="Arial"/>
                <w:b/>
                <w:sz w:val="20"/>
                <w:szCs w:val="20"/>
              </w:rPr>
              <w:t>Cloud data section</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r w:rsidRPr="00417B3A">
              <w:rPr>
                <w:rFonts w:ascii="Calibri" w:hAnsi="Calibri" w:cs="Arial"/>
                <w:sz w:val="20"/>
                <w:szCs w:val="20"/>
              </w:rPr>
              <w:t>3 02 004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b/>
                <w:i/>
                <w:sz w:val="20"/>
                <w:szCs w:val="20"/>
              </w:rPr>
            </w:pPr>
            <w:r w:rsidRPr="00417B3A">
              <w:rPr>
                <w:rFonts w:ascii="Calibri" w:hAnsi="Calibri" w:cs="Arial"/>
                <w:b/>
                <w:i/>
                <w:sz w:val="20"/>
                <w:szCs w:val="20"/>
              </w:rPr>
              <w:t>General Cloud Information</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r w:rsidRPr="00417B3A">
              <w:rPr>
                <w:rFonts w:ascii="Calibri" w:hAnsi="Calibri" w:cs="Arial"/>
                <w:color w:val="000000"/>
                <w:sz w:val="20"/>
                <w:szCs w:val="20"/>
              </w:rPr>
              <w:t>0 20 010</w:t>
            </w: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r w:rsidRPr="00417B3A">
              <w:rPr>
                <w:rFonts w:ascii="Calibri" w:hAnsi="Calibri" w:cs="Arial"/>
                <w:color w:val="000000"/>
                <w:sz w:val="20"/>
                <w:szCs w:val="20"/>
              </w:rPr>
              <w:t>Cloud cover (total)</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r w:rsidRPr="00417B3A">
              <w:rPr>
                <w:rFonts w:ascii="Calibri" w:hAnsi="Calibri" w:cs="Arial"/>
                <w:sz w:val="20"/>
                <w:szCs w:val="20"/>
              </w:rPr>
              <w:t>0 08 002</w:t>
            </w: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r w:rsidRPr="00417B3A">
              <w:rPr>
                <w:rFonts w:ascii="Calibri" w:hAnsi="Calibri" w:cs="Arial"/>
                <w:sz w:val="20"/>
                <w:szCs w:val="20"/>
              </w:rPr>
              <w:t>Vertical significance (surface observations)</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r w:rsidRPr="00417B3A">
              <w:rPr>
                <w:rFonts w:ascii="Calibri" w:hAnsi="Calibri" w:cs="Arial"/>
                <w:sz w:val="20"/>
                <w:szCs w:val="20"/>
              </w:rPr>
              <w:t>0 20 011</w:t>
            </w: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r w:rsidRPr="00417B3A">
              <w:rPr>
                <w:rFonts w:ascii="Calibri" w:hAnsi="Calibri" w:cs="Arial"/>
                <w:sz w:val="20"/>
                <w:szCs w:val="20"/>
              </w:rPr>
              <w:t>Cloud amount</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r w:rsidRPr="00417B3A">
              <w:rPr>
                <w:rFonts w:ascii="Calibri" w:hAnsi="Calibri" w:cs="Arial"/>
                <w:sz w:val="20"/>
                <w:szCs w:val="20"/>
              </w:rPr>
              <w:t>0 20 013</w:t>
            </w: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r w:rsidRPr="00417B3A">
              <w:rPr>
                <w:rFonts w:ascii="Calibri" w:hAnsi="Calibri" w:cs="Arial"/>
                <w:sz w:val="20"/>
                <w:szCs w:val="20"/>
              </w:rPr>
              <w:t>Height of base of cloud</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r w:rsidRPr="00417B3A">
              <w:rPr>
                <w:rFonts w:ascii="Calibri" w:hAnsi="Calibri" w:cs="Arial"/>
                <w:sz w:val="20"/>
                <w:szCs w:val="20"/>
              </w:rPr>
              <w:t>0 20 012</w:t>
            </w: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r w:rsidRPr="00417B3A">
              <w:rPr>
                <w:rFonts w:ascii="Calibri" w:hAnsi="Calibri" w:cs="Arial"/>
                <w:sz w:val="20"/>
                <w:szCs w:val="20"/>
              </w:rPr>
              <w:t>Cloud Type</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r w:rsidRPr="00417B3A">
              <w:rPr>
                <w:rFonts w:ascii="Calibri" w:hAnsi="Calibri" w:cs="Arial"/>
                <w:sz w:val="20"/>
                <w:szCs w:val="20"/>
              </w:rPr>
              <w:t>0 20 012</w:t>
            </w: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tcPr>
          <w:p w:rsidR="005F0788" w:rsidRPr="00417B3A" w:rsidRDefault="005F0788" w:rsidP="005F0788">
            <w:pPr>
              <w:rPr>
                <w:rFonts w:ascii="Calibri" w:hAnsi="Calibri"/>
                <w:sz w:val="20"/>
                <w:szCs w:val="20"/>
              </w:rPr>
            </w:pPr>
            <w:r w:rsidRPr="00417B3A">
              <w:rPr>
                <w:rFonts w:ascii="Calibri" w:hAnsi="Calibri" w:cs="Arial"/>
                <w:sz w:val="20"/>
                <w:szCs w:val="20"/>
              </w:rPr>
              <w:t>Cloud Type</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r w:rsidRPr="00417B3A">
              <w:rPr>
                <w:rFonts w:ascii="Calibri" w:hAnsi="Calibri" w:cs="Arial"/>
                <w:sz w:val="20"/>
                <w:szCs w:val="20"/>
              </w:rPr>
              <w:t>0 20 012</w:t>
            </w: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tcPr>
          <w:p w:rsidR="005F0788" w:rsidRPr="00417B3A" w:rsidRDefault="005F0788" w:rsidP="005F0788">
            <w:pPr>
              <w:rPr>
                <w:rFonts w:ascii="Calibri" w:hAnsi="Calibri"/>
                <w:sz w:val="20"/>
                <w:szCs w:val="20"/>
              </w:rPr>
            </w:pPr>
            <w:r w:rsidRPr="00417B3A">
              <w:rPr>
                <w:rFonts w:ascii="Calibri" w:hAnsi="Calibri" w:cs="Arial"/>
                <w:sz w:val="20"/>
                <w:szCs w:val="20"/>
              </w:rPr>
              <w:t>Cloud Type</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r w:rsidRPr="00417B3A">
              <w:rPr>
                <w:rFonts w:ascii="Calibri" w:hAnsi="Calibri" w:cs="Arial"/>
                <w:sz w:val="20"/>
                <w:szCs w:val="20"/>
              </w:rPr>
              <w:t>3 02 005</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b/>
                <w:i/>
                <w:sz w:val="20"/>
                <w:szCs w:val="20"/>
              </w:rPr>
            </w:pPr>
            <w:r w:rsidRPr="00417B3A">
              <w:rPr>
                <w:rFonts w:ascii="Calibri" w:hAnsi="Calibri" w:cs="Arial"/>
                <w:b/>
                <w:i/>
                <w:sz w:val="20"/>
                <w:szCs w:val="20"/>
              </w:rPr>
              <w:t>Cloud Layer</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r w:rsidRPr="00417B3A">
              <w:rPr>
                <w:rFonts w:ascii="Calibri" w:hAnsi="Calibri" w:cs="Arial"/>
                <w:sz w:val="20"/>
                <w:szCs w:val="20"/>
              </w:rPr>
              <w:t>0 08 002</w:t>
            </w: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r w:rsidRPr="00417B3A">
              <w:rPr>
                <w:rFonts w:ascii="Calibri" w:hAnsi="Calibri" w:cs="Arial"/>
                <w:sz w:val="20"/>
                <w:szCs w:val="20"/>
              </w:rPr>
              <w:t>Vertical significance (surface observations)</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r w:rsidRPr="00417B3A">
              <w:rPr>
                <w:rFonts w:ascii="Calibri" w:hAnsi="Calibri" w:cs="Arial"/>
                <w:sz w:val="20"/>
                <w:szCs w:val="20"/>
              </w:rPr>
              <w:t>0 20 011</w:t>
            </w: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r w:rsidRPr="00417B3A">
              <w:rPr>
                <w:rFonts w:ascii="Calibri" w:hAnsi="Calibri" w:cs="Arial"/>
                <w:sz w:val="20"/>
                <w:szCs w:val="20"/>
              </w:rPr>
              <w:t>Cloud amount</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r w:rsidRPr="00417B3A">
              <w:rPr>
                <w:rFonts w:ascii="Calibri" w:hAnsi="Calibri" w:cs="Arial"/>
                <w:sz w:val="20"/>
                <w:szCs w:val="20"/>
              </w:rPr>
              <w:t>0 20 012</w:t>
            </w: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tcPr>
          <w:p w:rsidR="005F0788" w:rsidRPr="00417B3A" w:rsidRDefault="005F0788" w:rsidP="005F0788">
            <w:pPr>
              <w:rPr>
                <w:rFonts w:ascii="Calibri" w:hAnsi="Calibri"/>
                <w:sz w:val="20"/>
                <w:szCs w:val="20"/>
              </w:rPr>
            </w:pPr>
            <w:r w:rsidRPr="00417B3A">
              <w:rPr>
                <w:rFonts w:ascii="Calibri" w:hAnsi="Calibri" w:cs="Arial"/>
                <w:sz w:val="20"/>
                <w:szCs w:val="20"/>
              </w:rPr>
              <w:t>Cloud Type</w:t>
            </w:r>
          </w:p>
        </w:tc>
      </w:tr>
      <w:tr w:rsidR="005F0788" w:rsidRPr="00417B3A"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spacing w:before="60" w:after="60"/>
              <w:jc w:val="center"/>
              <w:rPr>
                <w:rFonts w:ascii="Calibri" w:hAnsi="Calibri" w:cs="Arial"/>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jc w:val="center"/>
              <w:rPr>
                <w:rFonts w:ascii="Calibri" w:hAnsi="Calibri" w:cs="Arial"/>
                <w:sz w:val="20"/>
                <w:szCs w:val="20"/>
              </w:rPr>
            </w:pPr>
            <w:r w:rsidRPr="00417B3A">
              <w:rPr>
                <w:rFonts w:ascii="Calibri" w:hAnsi="Calibri" w:cs="Arial"/>
                <w:sz w:val="20"/>
                <w:szCs w:val="20"/>
              </w:rPr>
              <w:t>0 20 013</w:t>
            </w: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417B3A" w:rsidRDefault="005F0788" w:rsidP="005F0788">
            <w:pPr>
              <w:widowControl w:val="0"/>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sz w:val="20"/>
                <w:szCs w:val="20"/>
              </w:rPr>
            </w:pPr>
            <w:r w:rsidRPr="00417B3A">
              <w:rPr>
                <w:rFonts w:ascii="Calibri" w:hAnsi="Calibri" w:cs="Arial"/>
                <w:sz w:val="20"/>
                <w:szCs w:val="20"/>
              </w:rPr>
              <w:t>Height of base of cloud</w:t>
            </w:r>
          </w:p>
        </w:tc>
      </w:tr>
      <w:tr w:rsidR="005F0788" w:rsidRPr="00417B3A" w:rsidTr="000B3E11">
        <w:trPr>
          <w:trHeight w:val="318"/>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417B3A" w:rsidRDefault="005F0788" w:rsidP="005F0788">
            <w:pPr>
              <w:widowControl w:val="0"/>
              <w:tabs>
                <w:tab w:val="center" w:pos="476"/>
              </w:tabs>
              <w:rPr>
                <w:rFonts w:ascii="Calibri" w:hAnsi="Calibri" w:cs="Arial"/>
                <w:b/>
                <w:sz w:val="20"/>
                <w:szCs w:val="20"/>
              </w:rPr>
            </w:pPr>
          </w:p>
        </w:tc>
        <w:tc>
          <w:tcPr>
            <w:tcW w:w="8535" w:type="dxa"/>
            <w:gridSpan w:val="4"/>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417B3A" w:rsidRDefault="005F0788" w:rsidP="005F0788">
            <w:pPr>
              <w:widowControl w:val="0"/>
              <w:tabs>
                <w:tab w:val="center" w:pos="476"/>
              </w:tabs>
              <w:rPr>
                <w:rFonts w:ascii="Calibri" w:hAnsi="Calibri" w:cs="Arial"/>
                <w:b/>
                <w:sz w:val="20"/>
                <w:szCs w:val="20"/>
              </w:rPr>
            </w:pPr>
            <w:r w:rsidRPr="00417B3A">
              <w:rPr>
                <w:rFonts w:ascii="Calibri" w:hAnsi="Calibri" w:cs="Arial"/>
                <w:b/>
                <w:sz w:val="20"/>
                <w:szCs w:val="20"/>
              </w:rPr>
              <w:t>Backscatter data section</w:t>
            </w:r>
          </w:p>
        </w:tc>
      </w:tr>
      <w:tr w:rsidR="005F0788" w:rsidRPr="002A0496"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2A0496" w:rsidRDefault="005F0788" w:rsidP="005F0788">
            <w:pPr>
              <w:widowControl w:val="0"/>
              <w:shd w:val="clear" w:color="auto" w:fill="FFFFFF" w:themeFill="background1"/>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2A0496" w:rsidRDefault="005F0788" w:rsidP="005F0788">
            <w:pPr>
              <w:widowControl w:val="0"/>
              <w:shd w:val="clear" w:color="auto" w:fill="FFFFFF" w:themeFill="background1"/>
              <w:tabs>
                <w:tab w:val="center" w:pos="476"/>
              </w:tabs>
              <w:spacing w:before="60" w:after="60"/>
              <w:jc w:val="center"/>
              <w:rPr>
                <w:rFonts w:ascii="Calibri" w:hAnsi="Calibri" w:cs="Arial"/>
                <w:sz w:val="20"/>
                <w:szCs w:val="20"/>
              </w:rPr>
            </w:pPr>
            <w:r w:rsidRPr="002A0496">
              <w:rPr>
                <w:rFonts w:ascii="Calibri" w:hAnsi="Calibri" w:cs="Arial"/>
                <w:sz w:val="20"/>
                <w:szCs w:val="20"/>
              </w:rPr>
              <w:t>1 14 000</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2A0496" w:rsidRDefault="005F0788" w:rsidP="005F0788">
            <w:pPr>
              <w:widowControl w:val="0"/>
              <w:shd w:val="clear" w:color="auto" w:fill="FFFFFF" w:themeFill="background1"/>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2A0496" w:rsidRDefault="005F0788" w:rsidP="005F0788">
            <w:pPr>
              <w:widowControl w:val="0"/>
              <w:shd w:val="clear" w:color="auto" w:fill="FFFFFF" w:themeFill="background1"/>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2A0496" w:rsidRDefault="005F0788" w:rsidP="005F0788">
            <w:pPr>
              <w:widowControl w:val="0"/>
              <w:shd w:val="clear" w:color="auto" w:fill="FFFFFF" w:themeFill="background1"/>
              <w:tabs>
                <w:tab w:val="center" w:pos="476"/>
              </w:tabs>
              <w:rPr>
                <w:rFonts w:ascii="Calibri" w:hAnsi="Calibri" w:cs="Arial"/>
                <w:sz w:val="20"/>
                <w:szCs w:val="20"/>
              </w:rPr>
            </w:pPr>
            <w:r w:rsidRPr="002A0496">
              <w:rPr>
                <w:rFonts w:ascii="Calibri" w:hAnsi="Calibri" w:cs="Arial"/>
                <w:sz w:val="20"/>
                <w:szCs w:val="20"/>
              </w:rPr>
              <w:t>Delayed replication of  14 descriptors</w:t>
            </w:r>
          </w:p>
        </w:tc>
      </w:tr>
      <w:tr w:rsidR="005F0788" w:rsidRPr="002A0496"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5F0788" w:rsidRPr="002A0496" w:rsidRDefault="005F0788" w:rsidP="005F0788">
            <w:pPr>
              <w:widowControl w:val="0"/>
              <w:shd w:val="clear" w:color="auto" w:fill="FFFFFF" w:themeFill="background1"/>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2A0496" w:rsidRDefault="005F0788" w:rsidP="005F0788">
            <w:pPr>
              <w:widowControl w:val="0"/>
              <w:shd w:val="clear" w:color="auto" w:fill="FFFFFF" w:themeFill="background1"/>
              <w:tabs>
                <w:tab w:val="center" w:pos="476"/>
              </w:tabs>
              <w:spacing w:before="60" w:after="60"/>
              <w:jc w:val="center"/>
              <w:rPr>
                <w:rFonts w:ascii="Calibri" w:hAnsi="Calibri" w:cs="Arial"/>
                <w:sz w:val="20"/>
                <w:szCs w:val="20"/>
              </w:rPr>
            </w:pPr>
            <w:r w:rsidRPr="002A0496">
              <w:rPr>
                <w:rFonts w:ascii="Calibri" w:hAnsi="Calibri" w:cs="Arial"/>
                <w:sz w:val="20"/>
                <w:szCs w:val="20"/>
              </w:rPr>
              <w:t>0 31 000</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2A0496" w:rsidRDefault="005F0788" w:rsidP="005F0788">
            <w:pPr>
              <w:widowControl w:val="0"/>
              <w:shd w:val="clear" w:color="auto" w:fill="FFFFFF" w:themeFill="background1"/>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5F0788" w:rsidRPr="002A0496" w:rsidRDefault="005F0788" w:rsidP="005F0788">
            <w:pPr>
              <w:widowControl w:val="0"/>
              <w:shd w:val="clear" w:color="auto" w:fill="FFFFFF" w:themeFill="background1"/>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5F0788" w:rsidRPr="002A0496" w:rsidRDefault="005F0788" w:rsidP="005F0788">
            <w:pPr>
              <w:widowControl w:val="0"/>
              <w:shd w:val="clear" w:color="auto" w:fill="FFFFFF" w:themeFill="background1"/>
              <w:tabs>
                <w:tab w:val="center" w:pos="476"/>
              </w:tabs>
              <w:rPr>
                <w:rFonts w:ascii="Calibri" w:hAnsi="Calibri" w:cs="Arial"/>
                <w:sz w:val="20"/>
                <w:szCs w:val="20"/>
              </w:rPr>
            </w:pPr>
            <w:r w:rsidRPr="002A0496">
              <w:rPr>
                <w:rFonts w:ascii="Calibri" w:hAnsi="Calibri" w:cs="Arial"/>
                <w:sz w:val="20"/>
                <w:szCs w:val="20"/>
              </w:rPr>
              <w:t xml:space="preserve">Delayed replication Factor </w:t>
            </w:r>
          </w:p>
        </w:tc>
      </w:tr>
      <w:tr w:rsidR="000B3E11" w:rsidRPr="002A0496"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tcPr>
          <w:p w:rsidR="000B3E11" w:rsidRPr="002A0496" w:rsidRDefault="000B3E11" w:rsidP="000B3E11">
            <w:pPr>
              <w:widowControl w:val="0"/>
              <w:shd w:val="clear" w:color="auto" w:fill="FFFFFF" w:themeFill="background1"/>
              <w:tabs>
                <w:tab w:val="center" w:pos="476"/>
              </w:tabs>
              <w:spacing w:before="60" w:after="60"/>
              <w:jc w:val="center"/>
              <w:rPr>
                <w:rFonts w:ascii="Calibri" w:hAnsi="Calibri" w:cs="Arial"/>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0B3E11">
            <w:pPr>
              <w:widowControl w:val="0"/>
              <w:shd w:val="clear" w:color="auto" w:fill="FFFFFF" w:themeFill="background1"/>
              <w:tabs>
                <w:tab w:val="center" w:pos="476"/>
              </w:tabs>
              <w:spacing w:before="60" w:after="60"/>
              <w:jc w:val="center"/>
              <w:rPr>
                <w:rFonts w:ascii="Calibri" w:hAnsi="Calibri" w:cs="Arial"/>
                <w:sz w:val="20"/>
                <w:szCs w:val="20"/>
              </w:rPr>
            </w:pPr>
            <w:r w:rsidRPr="002A0496">
              <w:rPr>
                <w:rFonts w:ascii="Calibri" w:hAnsi="Calibri" w:cs="Arial"/>
                <w:sz w:val="20"/>
                <w:szCs w:val="20"/>
              </w:rPr>
              <w:t>0 07 007</w:t>
            </w:r>
          </w:p>
        </w:tc>
        <w:tc>
          <w:tcPr>
            <w:tcW w:w="1380" w:type="dxa"/>
            <w:tcBorders>
              <w:top w:val="single" w:sz="4" w:space="0" w:color="00000A"/>
              <w:left w:val="single" w:sz="4" w:space="0" w:color="00000A"/>
              <w:bottom w:val="single" w:sz="4" w:space="0" w:color="00000A"/>
              <w:right w:val="single" w:sz="4" w:space="0" w:color="00000A"/>
            </w:tcBorders>
            <w:vAlign w:val="center"/>
          </w:tcPr>
          <w:p w:rsidR="000B3E11" w:rsidRPr="002A0496" w:rsidRDefault="000B3E11" w:rsidP="000B3E11">
            <w:pPr>
              <w:widowControl w:val="0"/>
              <w:shd w:val="clear" w:color="auto" w:fill="FFFFFF" w:themeFill="background1"/>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0B3E11">
            <w:pPr>
              <w:widowControl w:val="0"/>
              <w:shd w:val="clear" w:color="auto" w:fill="FFFFFF" w:themeFill="background1"/>
              <w:tabs>
                <w:tab w:val="center" w:pos="476"/>
              </w:tabs>
              <w:jc w:val="center"/>
              <w:rPr>
                <w:rFonts w:ascii="Calibri" w:hAnsi="Calibri" w:cs="Arial"/>
                <w:sz w:val="20"/>
                <w:szCs w:val="20"/>
              </w:rPr>
            </w:pPr>
            <w:r w:rsidRPr="002A0496">
              <w:rPr>
                <w:rFonts w:ascii="Calibri" w:hAnsi="Calibri" w:cs="Arial"/>
                <w:sz w:val="20"/>
                <w:szCs w:val="20"/>
              </w:rPr>
              <w:t>Height</w:t>
            </w:r>
          </w:p>
        </w:tc>
      </w:tr>
      <w:tr w:rsidR="000B3E11" w:rsidRPr="002A0496"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tcPr>
          <w:p w:rsidR="000B3E11" w:rsidRPr="002A0496" w:rsidRDefault="000B3E11" w:rsidP="000B3E11">
            <w:pPr>
              <w:widowControl w:val="0"/>
              <w:shd w:val="clear" w:color="auto" w:fill="FFFFFF" w:themeFill="background1"/>
              <w:tabs>
                <w:tab w:val="center" w:pos="476"/>
              </w:tabs>
              <w:spacing w:before="60" w:after="60"/>
              <w:jc w:val="center"/>
              <w:rPr>
                <w:rFonts w:ascii="Calibri" w:hAnsi="Calibri" w:cs="Arial"/>
                <w:sz w:val="20"/>
                <w:szCs w:val="20"/>
              </w:rPr>
            </w:pPr>
            <w:r>
              <w:rPr>
                <w:rFonts w:ascii="Calibri" w:hAnsi="Calibri" w:cs="Arial"/>
                <w:sz w:val="20"/>
                <w:szCs w:val="20"/>
              </w:rPr>
              <w:t>3 01 022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0B3E11">
            <w:pPr>
              <w:widowControl w:val="0"/>
              <w:shd w:val="clear" w:color="auto" w:fill="FFFFFF" w:themeFill="background1"/>
              <w:tabs>
                <w:tab w:val="center" w:pos="476"/>
              </w:tabs>
              <w:spacing w:before="60" w:after="60"/>
              <w:jc w:val="center"/>
              <w:rPr>
                <w:rFonts w:ascii="Calibri" w:hAnsi="Calibri" w:cs="Arial"/>
                <w:sz w:val="20"/>
                <w:szCs w:val="20"/>
              </w:rPr>
            </w:pPr>
            <w:r w:rsidRPr="002A0496">
              <w:rPr>
                <w:rFonts w:ascii="Calibri" w:hAnsi="Calibri" w:cs="Arial"/>
                <w:sz w:val="20"/>
                <w:szCs w:val="20"/>
              </w:rPr>
              <w:t>0 05 001</w:t>
            </w:r>
          </w:p>
        </w:tc>
        <w:tc>
          <w:tcPr>
            <w:tcW w:w="1380" w:type="dxa"/>
            <w:tcBorders>
              <w:top w:val="single" w:sz="4" w:space="0" w:color="00000A"/>
              <w:left w:val="single" w:sz="4" w:space="0" w:color="00000A"/>
              <w:bottom w:val="single" w:sz="4" w:space="0" w:color="00000A"/>
              <w:right w:val="single" w:sz="4" w:space="0" w:color="00000A"/>
            </w:tcBorders>
            <w:vAlign w:val="center"/>
          </w:tcPr>
          <w:p w:rsidR="000B3E11" w:rsidRPr="002A0496" w:rsidRDefault="000B3E11" w:rsidP="000B3E11">
            <w:pPr>
              <w:widowControl w:val="0"/>
              <w:shd w:val="clear" w:color="auto" w:fill="FFFFFF" w:themeFill="background1"/>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0B3E11">
            <w:pPr>
              <w:widowControl w:val="0"/>
              <w:shd w:val="clear" w:color="auto" w:fill="FFFFFF" w:themeFill="background1"/>
              <w:tabs>
                <w:tab w:val="center" w:pos="476"/>
              </w:tabs>
              <w:jc w:val="center"/>
              <w:rPr>
                <w:rFonts w:ascii="Calibri" w:hAnsi="Calibri" w:cs="Arial"/>
                <w:sz w:val="20"/>
                <w:szCs w:val="20"/>
              </w:rPr>
            </w:pPr>
            <w:r w:rsidRPr="002A0496">
              <w:rPr>
                <w:rFonts w:ascii="Calibri" w:hAnsi="Calibri" w:cs="Arial"/>
                <w:sz w:val="20"/>
                <w:szCs w:val="20"/>
              </w:rPr>
              <w:t>Latitude High Accuracy</w:t>
            </w:r>
          </w:p>
        </w:tc>
      </w:tr>
      <w:tr w:rsidR="000B3E11" w:rsidRPr="002A0496"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tcPr>
          <w:p w:rsidR="000B3E11" w:rsidRPr="002A0496" w:rsidRDefault="000B3E11" w:rsidP="000B3E11">
            <w:pPr>
              <w:widowControl w:val="0"/>
              <w:shd w:val="clear" w:color="auto" w:fill="FFFFFF" w:themeFill="background1"/>
              <w:tabs>
                <w:tab w:val="center" w:pos="476"/>
              </w:tabs>
              <w:spacing w:before="60" w:after="60"/>
              <w:jc w:val="center"/>
              <w:rPr>
                <w:rFonts w:ascii="Calibri" w:hAnsi="Calibri" w:cs="Arial"/>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0B3E11">
            <w:pPr>
              <w:widowControl w:val="0"/>
              <w:shd w:val="clear" w:color="auto" w:fill="FFFFFF" w:themeFill="background1"/>
              <w:tabs>
                <w:tab w:val="center" w:pos="476"/>
              </w:tabs>
              <w:spacing w:before="60" w:after="60"/>
              <w:jc w:val="center"/>
              <w:rPr>
                <w:rFonts w:ascii="Calibri" w:hAnsi="Calibri" w:cs="Arial"/>
                <w:sz w:val="20"/>
                <w:szCs w:val="20"/>
              </w:rPr>
            </w:pPr>
            <w:r w:rsidRPr="002A0496">
              <w:rPr>
                <w:rFonts w:ascii="Calibri" w:hAnsi="Calibri" w:cs="Arial"/>
                <w:sz w:val="20"/>
                <w:szCs w:val="20"/>
              </w:rPr>
              <w:t xml:space="preserve">0 06 001 </w:t>
            </w:r>
          </w:p>
        </w:tc>
        <w:tc>
          <w:tcPr>
            <w:tcW w:w="1380" w:type="dxa"/>
            <w:tcBorders>
              <w:top w:val="single" w:sz="4" w:space="0" w:color="00000A"/>
              <w:left w:val="single" w:sz="4" w:space="0" w:color="00000A"/>
              <w:bottom w:val="single" w:sz="4" w:space="0" w:color="00000A"/>
              <w:right w:val="single" w:sz="4" w:space="0" w:color="00000A"/>
            </w:tcBorders>
            <w:vAlign w:val="center"/>
          </w:tcPr>
          <w:p w:rsidR="000B3E11" w:rsidRPr="002A0496" w:rsidRDefault="000B3E11" w:rsidP="000B3E11">
            <w:pPr>
              <w:widowControl w:val="0"/>
              <w:shd w:val="clear" w:color="auto" w:fill="FFFFFF" w:themeFill="background1"/>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0B3E11">
            <w:pPr>
              <w:widowControl w:val="0"/>
              <w:shd w:val="clear" w:color="auto" w:fill="FFFFFF" w:themeFill="background1"/>
              <w:tabs>
                <w:tab w:val="center" w:pos="476"/>
              </w:tabs>
              <w:jc w:val="center"/>
              <w:rPr>
                <w:rFonts w:ascii="Calibri" w:hAnsi="Calibri" w:cs="Arial"/>
                <w:sz w:val="20"/>
                <w:szCs w:val="20"/>
              </w:rPr>
            </w:pPr>
            <w:r w:rsidRPr="002A0496">
              <w:rPr>
                <w:rFonts w:ascii="Calibri" w:hAnsi="Calibri" w:cs="Arial"/>
                <w:sz w:val="20"/>
                <w:szCs w:val="20"/>
              </w:rPr>
              <w:t>Longitude High Accuracy</w:t>
            </w:r>
          </w:p>
        </w:tc>
      </w:tr>
      <w:tr w:rsidR="000B3E11" w:rsidRPr="002A0496"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tcPr>
          <w:p w:rsidR="000B3E11" w:rsidRPr="002A0496" w:rsidRDefault="000B3E11" w:rsidP="000B3E11">
            <w:pPr>
              <w:widowControl w:val="0"/>
              <w:shd w:val="clear" w:color="auto" w:fill="FFFFFF" w:themeFill="background1"/>
              <w:tabs>
                <w:tab w:val="center" w:pos="476"/>
              </w:tabs>
              <w:spacing w:before="60" w:after="60"/>
              <w:jc w:val="center"/>
              <w:rPr>
                <w:rFonts w:ascii="Calibri" w:hAnsi="Calibri" w:cs="Arial"/>
                <w:sz w:val="20"/>
                <w:szCs w:val="20"/>
              </w:rPr>
            </w:pPr>
            <w:r>
              <w:rPr>
                <w:rFonts w:ascii="Calibri" w:hAnsi="Calibri" w:cs="Arial"/>
                <w:sz w:val="20"/>
                <w:szCs w:val="20"/>
              </w:rPr>
              <w:t>1 xx 000</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0B3E11">
            <w:pPr>
              <w:widowControl w:val="0"/>
              <w:shd w:val="clear" w:color="auto" w:fill="FFFFFF" w:themeFill="background1"/>
              <w:tabs>
                <w:tab w:val="center" w:pos="476"/>
              </w:tabs>
              <w:spacing w:before="60" w:after="60"/>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0B3E11" w:rsidRPr="002A0496" w:rsidRDefault="000B3E11" w:rsidP="000B3E11">
            <w:pPr>
              <w:widowControl w:val="0"/>
              <w:shd w:val="clear" w:color="auto" w:fill="FFFFFF" w:themeFill="background1"/>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0B3E11">
            <w:pPr>
              <w:widowControl w:val="0"/>
              <w:shd w:val="clear" w:color="auto" w:fill="FFFFFF" w:themeFill="background1"/>
              <w:tabs>
                <w:tab w:val="center" w:pos="476"/>
              </w:tabs>
              <w:jc w:val="center"/>
              <w:rPr>
                <w:rFonts w:ascii="Calibri" w:hAnsi="Calibri" w:cs="Arial"/>
                <w:sz w:val="20"/>
                <w:szCs w:val="20"/>
              </w:rPr>
            </w:pPr>
            <w:r>
              <w:rPr>
                <w:rFonts w:ascii="Calibri" w:hAnsi="Calibri" w:cs="Calibri"/>
                <w:sz w:val="20"/>
                <w:szCs w:val="20"/>
              </w:rPr>
              <w:t>Delayed replication dependent on number of wavelength measurements present in the data.(note d)</w:t>
            </w:r>
          </w:p>
        </w:tc>
      </w:tr>
      <w:tr w:rsidR="000B3E11" w:rsidRPr="002A0496"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0B3E11" w:rsidRPr="002A0496" w:rsidRDefault="000B3E11" w:rsidP="000B3E11">
            <w:pPr>
              <w:widowControl w:val="0"/>
              <w:shd w:val="clear" w:color="auto" w:fill="FFFFFF" w:themeFill="background1"/>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0B3E11">
            <w:pPr>
              <w:widowControl w:val="0"/>
              <w:shd w:val="clear" w:color="auto" w:fill="FFFFFF" w:themeFill="background1"/>
              <w:tabs>
                <w:tab w:val="center" w:pos="476"/>
              </w:tabs>
              <w:spacing w:before="60" w:after="60"/>
              <w:jc w:val="center"/>
              <w:rPr>
                <w:rFonts w:ascii="Calibri" w:hAnsi="Calibri" w:cs="Arial"/>
                <w:sz w:val="20"/>
                <w:szCs w:val="20"/>
              </w:rPr>
            </w:pPr>
            <w:r w:rsidRPr="002A0496">
              <w:rPr>
                <w:rFonts w:ascii="Calibri" w:hAnsi="Calibri" w:cs="Arial"/>
                <w:sz w:val="20"/>
                <w:szCs w:val="20"/>
              </w:rPr>
              <w:t>0 31 000</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0B3E11">
            <w:pPr>
              <w:widowControl w:val="0"/>
              <w:shd w:val="clear" w:color="auto" w:fill="FFFFFF" w:themeFill="background1"/>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0B3E11" w:rsidRPr="002A0496" w:rsidRDefault="000B3E11" w:rsidP="000B3E11">
            <w:pPr>
              <w:widowControl w:val="0"/>
              <w:shd w:val="clear" w:color="auto" w:fill="FFFFFF" w:themeFill="background1"/>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0B3E11">
            <w:pPr>
              <w:widowControl w:val="0"/>
              <w:shd w:val="clear" w:color="auto" w:fill="FFFFFF" w:themeFill="background1"/>
              <w:tabs>
                <w:tab w:val="center" w:pos="476"/>
              </w:tabs>
              <w:rPr>
                <w:rFonts w:ascii="Calibri" w:hAnsi="Calibri" w:cs="Arial"/>
                <w:sz w:val="20"/>
                <w:szCs w:val="20"/>
              </w:rPr>
            </w:pPr>
            <w:r w:rsidRPr="002A0496">
              <w:rPr>
                <w:rFonts w:ascii="Calibri" w:hAnsi="Calibri" w:cs="Arial"/>
                <w:sz w:val="20"/>
                <w:szCs w:val="20"/>
              </w:rPr>
              <w:t xml:space="preserve">Delayed replication Factor </w:t>
            </w:r>
            <w:r>
              <w:rPr>
                <w:rFonts w:ascii="Calibri" w:hAnsi="Calibri" w:cs="Arial"/>
                <w:sz w:val="20"/>
                <w:szCs w:val="20"/>
              </w:rPr>
              <w:t xml:space="preserve"> - – if applicable (see note d)</w:t>
            </w:r>
          </w:p>
        </w:tc>
      </w:tr>
      <w:tr w:rsidR="000B3E11" w:rsidRPr="002A0496"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r w:rsidRPr="002A0496">
              <w:rPr>
                <w:rFonts w:ascii="Calibri" w:hAnsi="Calibri" w:cs="Arial"/>
                <w:sz w:val="20"/>
                <w:szCs w:val="20"/>
              </w:rPr>
              <w:t>0 02 121</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rPr>
                <w:rFonts w:ascii="Calibri" w:hAnsi="Calibri" w:cs="Arial"/>
                <w:sz w:val="20"/>
                <w:szCs w:val="20"/>
              </w:rPr>
            </w:pPr>
            <w:r w:rsidRPr="002A0496">
              <w:rPr>
                <w:rFonts w:ascii="Calibri" w:hAnsi="Calibri" w:cs="Arial"/>
                <w:sz w:val="20"/>
                <w:szCs w:val="20"/>
              </w:rPr>
              <w:t>Mean Frequency</w:t>
            </w:r>
          </w:p>
        </w:tc>
      </w:tr>
      <w:tr w:rsidR="000B3E11" w:rsidRPr="002A0496"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r w:rsidRPr="002A0496">
              <w:rPr>
                <w:rFonts w:ascii="Calibri" w:hAnsi="Calibri" w:cs="Arial"/>
                <w:sz w:val="20"/>
                <w:szCs w:val="20"/>
              </w:rPr>
              <w:t>0 15 063</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rPr>
                <w:rFonts w:ascii="Calibri" w:hAnsi="Calibri" w:cs="Arial"/>
                <w:sz w:val="20"/>
                <w:szCs w:val="20"/>
              </w:rPr>
            </w:pPr>
            <w:r w:rsidRPr="002A0496">
              <w:rPr>
                <w:rFonts w:ascii="Calibri" w:hAnsi="Calibri" w:cs="Arial"/>
                <w:sz w:val="20"/>
                <w:szCs w:val="20"/>
              </w:rPr>
              <w:t>Attenuated Backscatter</w:t>
            </w:r>
          </w:p>
        </w:tc>
      </w:tr>
      <w:tr w:rsidR="000B3E11" w:rsidRPr="002A0496"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r w:rsidRPr="002A0496">
              <w:rPr>
                <w:rFonts w:ascii="Calibri" w:hAnsi="Calibri" w:cs="Arial"/>
                <w:sz w:val="20"/>
                <w:szCs w:val="20"/>
              </w:rPr>
              <w:t>0 15 064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rPr>
                <w:rFonts w:ascii="Calibri" w:hAnsi="Calibri" w:cs="Arial"/>
                <w:sz w:val="20"/>
                <w:szCs w:val="20"/>
              </w:rPr>
            </w:pPr>
            <w:r w:rsidRPr="002A0496">
              <w:rPr>
                <w:rFonts w:ascii="Calibri" w:hAnsi="Calibri" w:cs="Arial"/>
                <w:sz w:val="20"/>
                <w:szCs w:val="20"/>
              </w:rPr>
              <w:t>Uncertainty in Attenuated Backscatter</w:t>
            </w:r>
          </w:p>
        </w:tc>
      </w:tr>
      <w:tr w:rsidR="000B3E11" w:rsidRPr="002A0496"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r w:rsidRPr="002A0496">
              <w:rPr>
                <w:rFonts w:ascii="Calibri" w:hAnsi="Calibri" w:cs="Arial"/>
                <w:sz w:val="20"/>
                <w:szCs w:val="20"/>
              </w:rPr>
              <w:t>0 15 065</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rPr>
                <w:rFonts w:ascii="Calibri" w:hAnsi="Calibri" w:cs="Arial"/>
                <w:sz w:val="20"/>
                <w:szCs w:val="20"/>
              </w:rPr>
            </w:pPr>
            <w:r w:rsidRPr="002A0496">
              <w:rPr>
                <w:rFonts w:ascii="Calibri" w:hAnsi="Calibri" w:cs="Arial"/>
                <w:sz w:val="20"/>
                <w:szCs w:val="20"/>
              </w:rPr>
              <w:t>Particle Backscatter  Coefficient</w:t>
            </w:r>
          </w:p>
        </w:tc>
      </w:tr>
      <w:tr w:rsidR="000B3E11" w:rsidRPr="002A0496"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r w:rsidRPr="002A0496">
              <w:rPr>
                <w:rFonts w:ascii="Calibri" w:hAnsi="Calibri" w:cs="Arial"/>
                <w:sz w:val="20"/>
                <w:szCs w:val="20"/>
              </w:rPr>
              <w:t>0 15 066</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rPr>
                <w:rFonts w:ascii="Calibri" w:hAnsi="Calibri" w:cs="Arial"/>
                <w:sz w:val="20"/>
                <w:szCs w:val="20"/>
              </w:rPr>
            </w:pPr>
            <w:r w:rsidRPr="002A0496">
              <w:rPr>
                <w:rFonts w:ascii="Calibri" w:hAnsi="Calibri" w:cs="Arial"/>
                <w:sz w:val="20"/>
                <w:szCs w:val="20"/>
              </w:rPr>
              <w:t>Uncertainty in Particle Backscatter  Coefficient</w:t>
            </w:r>
          </w:p>
        </w:tc>
      </w:tr>
      <w:tr w:rsidR="000B3E11" w:rsidRPr="002A0496"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r w:rsidRPr="002A0496">
              <w:rPr>
                <w:rFonts w:ascii="Calibri" w:hAnsi="Calibri" w:cs="Arial"/>
                <w:sz w:val="20"/>
                <w:szCs w:val="20"/>
              </w:rPr>
              <w:t>0 15 067</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rPr>
                <w:rFonts w:ascii="Calibri" w:hAnsi="Calibri" w:cs="Arial"/>
                <w:sz w:val="20"/>
                <w:szCs w:val="20"/>
              </w:rPr>
            </w:pPr>
            <w:r w:rsidRPr="002A0496">
              <w:rPr>
                <w:rFonts w:ascii="Calibri" w:hAnsi="Calibri" w:cs="Arial"/>
                <w:sz w:val="20"/>
                <w:szCs w:val="20"/>
              </w:rPr>
              <w:t>Particle Extinction  Coefficient</w:t>
            </w:r>
          </w:p>
        </w:tc>
      </w:tr>
      <w:tr w:rsidR="000B3E11" w:rsidRPr="002A0496"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r w:rsidRPr="002A0496">
              <w:rPr>
                <w:rFonts w:ascii="Calibri" w:hAnsi="Calibri" w:cs="Arial"/>
                <w:sz w:val="20"/>
                <w:szCs w:val="20"/>
              </w:rPr>
              <w:t>0 15 068</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rPr>
                <w:rFonts w:ascii="Calibri" w:hAnsi="Calibri" w:cs="Arial"/>
                <w:sz w:val="20"/>
                <w:szCs w:val="20"/>
              </w:rPr>
            </w:pPr>
            <w:r w:rsidRPr="002A0496">
              <w:rPr>
                <w:rFonts w:ascii="Calibri" w:hAnsi="Calibri" w:cs="Arial"/>
                <w:sz w:val="20"/>
                <w:szCs w:val="20"/>
              </w:rPr>
              <w:t>Uncertainty in Particle Extinction  Coefficient</w:t>
            </w:r>
          </w:p>
        </w:tc>
      </w:tr>
      <w:tr w:rsidR="000B3E11" w:rsidRPr="002A0496"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r w:rsidRPr="002A0496">
              <w:rPr>
                <w:rFonts w:ascii="Calibri" w:hAnsi="Calibri" w:cs="Arial"/>
                <w:sz w:val="20"/>
                <w:szCs w:val="20"/>
              </w:rPr>
              <w:t>0 15 069</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rPr>
                <w:rFonts w:ascii="Calibri" w:hAnsi="Calibri" w:cs="Arial"/>
                <w:sz w:val="20"/>
                <w:szCs w:val="20"/>
              </w:rPr>
            </w:pPr>
            <w:r w:rsidRPr="002A0496">
              <w:rPr>
                <w:rFonts w:ascii="Calibri" w:hAnsi="Calibri" w:cs="Arial"/>
                <w:sz w:val="20"/>
                <w:szCs w:val="20"/>
              </w:rPr>
              <w:t>Particle LIDAR Ratio</w:t>
            </w:r>
          </w:p>
        </w:tc>
      </w:tr>
      <w:tr w:rsidR="000B3E11" w:rsidRPr="002A0496"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r w:rsidRPr="002A0496">
              <w:rPr>
                <w:rFonts w:ascii="Calibri" w:hAnsi="Calibri" w:cs="Arial"/>
                <w:sz w:val="20"/>
                <w:szCs w:val="20"/>
              </w:rPr>
              <w:t>0 15 070</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rPr>
                <w:rFonts w:ascii="Calibri" w:hAnsi="Calibri" w:cs="Arial"/>
                <w:sz w:val="20"/>
                <w:szCs w:val="20"/>
              </w:rPr>
            </w:pPr>
            <w:r w:rsidRPr="002A0496">
              <w:rPr>
                <w:rFonts w:ascii="Calibri" w:hAnsi="Calibri" w:cs="Arial"/>
                <w:sz w:val="20"/>
                <w:szCs w:val="20"/>
              </w:rPr>
              <w:t>Uncertainty in LIDAR Ratio</w:t>
            </w:r>
          </w:p>
        </w:tc>
      </w:tr>
      <w:tr w:rsidR="000B3E11" w:rsidRPr="002A0496"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r w:rsidRPr="002A0496">
              <w:rPr>
                <w:rFonts w:ascii="Calibri" w:hAnsi="Calibri" w:cs="Arial"/>
                <w:sz w:val="20"/>
                <w:szCs w:val="20"/>
              </w:rPr>
              <w:t>0 15 071</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rPr>
                <w:rFonts w:ascii="Calibri" w:hAnsi="Calibri" w:cs="Arial"/>
                <w:sz w:val="20"/>
                <w:szCs w:val="20"/>
              </w:rPr>
            </w:pPr>
            <w:r w:rsidRPr="002A0496">
              <w:rPr>
                <w:rFonts w:ascii="Calibri" w:hAnsi="Calibri" w:cs="Arial"/>
                <w:sz w:val="20"/>
                <w:szCs w:val="20"/>
              </w:rPr>
              <w:t>Particle Depolarization Ratio</w:t>
            </w:r>
          </w:p>
        </w:tc>
      </w:tr>
      <w:tr w:rsidR="000B3E11" w:rsidRPr="002A0496"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r w:rsidRPr="002A0496">
              <w:rPr>
                <w:rFonts w:ascii="Calibri" w:hAnsi="Calibri" w:cs="Arial"/>
                <w:sz w:val="20"/>
                <w:szCs w:val="20"/>
              </w:rPr>
              <w:t>0 15 072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rPr>
                <w:rFonts w:ascii="Calibri" w:hAnsi="Calibri" w:cs="Arial"/>
                <w:sz w:val="20"/>
                <w:szCs w:val="20"/>
              </w:rPr>
            </w:pPr>
            <w:r w:rsidRPr="002A0496">
              <w:rPr>
                <w:rFonts w:ascii="Calibri" w:hAnsi="Calibri" w:cs="Arial"/>
                <w:sz w:val="20"/>
                <w:szCs w:val="20"/>
              </w:rPr>
              <w:t>Uncertainty in Depolarization Ratio</w:t>
            </w:r>
          </w:p>
        </w:tc>
      </w:tr>
      <w:tr w:rsidR="000B3E11" w:rsidRPr="002A0496"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r w:rsidRPr="002A0496">
              <w:rPr>
                <w:rFonts w:ascii="Calibri" w:hAnsi="Calibri" w:cs="Arial"/>
                <w:sz w:val="20"/>
                <w:szCs w:val="20"/>
              </w:rPr>
              <w:t>0 33 002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rPr>
                <w:rFonts w:ascii="Calibri" w:hAnsi="Calibri" w:cs="Arial"/>
                <w:sz w:val="20"/>
                <w:szCs w:val="20"/>
              </w:rPr>
            </w:pPr>
            <w:r w:rsidRPr="002A0496">
              <w:rPr>
                <w:rFonts w:ascii="Calibri" w:hAnsi="Calibri" w:cs="Arial"/>
                <w:sz w:val="20"/>
                <w:szCs w:val="20"/>
              </w:rPr>
              <w:t>Quality Information</w:t>
            </w:r>
          </w:p>
        </w:tc>
      </w:tr>
      <w:tr w:rsidR="000B3E11" w:rsidRPr="002A0496"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r w:rsidRPr="002A0496">
              <w:rPr>
                <w:rFonts w:ascii="Calibri" w:hAnsi="Calibri" w:cs="Arial"/>
                <w:sz w:val="20"/>
                <w:szCs w:val="20"/>
              </w:rPr>
              <w:t>0 10 071</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rPr>
                <w:rFonts w:ascii="Calibri" w:hAnsi="Calibri" w:cs="Arial"/>
                <w:sz w:val="20"/>
                <w:szCs w:val="20"/>
              </w:rPr>
            </w:pPr>
            <w:r w:rsidRPr="002A0496">
              <w:rPr>
                <w:rFonts w:ascii="Calibri" w:hAnsi="Calibri" w:cs="Arial"/>
                <w:sz w:val="20"/>
                <w:szCs w:val="20"/>
              </w:rPr>
              <w:t>Vertical Resolution</w:t>
            </w:r>
          </w:p>
        </w:tc>
      </w:tr>
      <w:tr w:rsidR="000B3E11" w:rsidRPr="002A0496" w:rsidTr="000B3E11">
        <w:trPr>
          <w:jc w:val="center"/>
        </w:trPr>
        <w:tc>
          <w:tcPr>
            <w:tcW w:w="1116" w:type="dxa"/>
            <w:tcBorders>
              <w:top w:val="single" w:sz="4" w:space="0" w:color="00000A"/>
              <w:left w:val="single" w:sz="4" w:space="0" w:color="00000A"/>
              <w:bottom w:val="single" w:sz="4" w:space="0" w:color="00000A"/>
              <w:right w:val="single" w:sz="4" w:space="0" w:color="00000A"/>
            </w:tcBorders>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spacing w:before="60" w:after="60"/>
              <w:jc w:val="center"/>
              <w:rPr>
                <w:rFonts w:ascii="Calibri" w:hAnsi="Calibri" w:cs="Arial"/>
                <w:sz w:val="20"/>
                <w:szCs w:val="20"/>
              </w:rPr>
            </w:pPr>
            <w:r w:rsidRPr="002A0496">
              <w:rPr>
                <w:rFonts w:ascii="Calibri" w:hAnsi="Calibri" w:cs="Arial"/>
                <w:sz w:val="20"/>
                <w:szCs w:val="20"/>
              </w:rPr>
              <w:t>0 27 079</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1380" w:type="dxa"/>
            <w:tcBorders>
              <w:top w:val="single" w:sz="4" w:space="0" w:color="00000A"/>
              <w:left w:val="single" w:sz="4" w:space="0" w:color="00000A"/>
              <w:bottom w:val="single" w:sz="4" w:space="0" w:color="00000A"/>
              <w:right w:val="single" w:sz="4" w:space="0" w:color="00000A"/>
            </w:tcBorders>
            <w:vAlign w:val="center"/>
          </w:tcPr>
          <w:p w:rsidR="000B3E11" w:rsidRPr="002A0496" w:rsidRDefault="000B3E11" w:rsidP="005F0788">
            <w:pPr>
              <w:widowControl w:val="0"/>
              <w:shd w:val="clear" w:color="auto" w:fill="FFFFFF" w:themeFill="background1"/>
              <w:tabs>
                <w:tab w:val="center" w:pos="476"/>
              </w:tabs>
              <w:jc w:val="center"/>
              <w:rPr>
                <w:rFonts w:ascii="Calibri" w:hAnsi="Calibri" w:cs="Arial"/>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left w:w="85" w:type="dxa"/>
            </w:tcMar>
            <w:vAlign w:val="center"/>
          </w:tcPr>
          <w:p w:rsidR="000B3E11" w:rsidRPr="002A0496" w:rsidRDefault="000B3E11" w:rsidP="005F0788">
            <w:pPr>
              <w:widowControl w:val="0"/>
              <w:shd w:val="clear" w:color="auto" w:fill="FFFFFF" w:themeFill="background1"/>
              <w:tabs>
                <w:tab w:val="center" w:pos="476"/>
              </w:tabs>
              <w:rPr>
                <w:rFonts w:ascii="Calibri" w:hAnsi="Calibri" w:cs="Arial"/>
                <w:sz w:val="20"/>
                <w:szCs w:val="20"/>
              </w:rPr>
            </w:pPr>
            <w:r w:rsidRPr="002A0496">
              <w:rPr>
                <w:rFonts w:ascii="Calibri" w:hAnsi="Calibri" w:cs="Arial"/>
                <w:sz w:val="20"/>
                <w:szCs w:val="20"/>
              </w:rPr>
              <w:t>Horizontal Width of sampled volume.</w:t>
            </w:r>
          </w:p>
        </w:tc>
      </w:tr>
    </w:tbl>
    <w:p w:rsidR="00260BF1" w:rsidRDefault="00260BF1">
      <w:pPr>
        <w:jc w:val="both"/>
      </w:pPr>
    </w:p>
    <w:p w:rsidR="00260BF1" w:rsidRDefault="00260BF1">
      <w:pPr>
        <w:jc w:val="both"/>
        <w:rPr>
          <w:rFonts w:ascii="Verdana" w:hAnsi="Verdana"/>
          <w:sz w:val="20"/>
          <w:szCs w:val="20"/>
        </w:rPr>
      </w:pPr>
    </w:p>
    <w:p w:rsidR="005F0788" w:rsidRDefault="005F0788">
      <w:pPr>
        <w:jc w:val="both"/>
        <w:rPr>
          <w:rFonts w:ascii="Verdana" w:hAnsi="Verdana"/>
          <w:sz w:val="20"/>
          <w:szCs w:val="20"/>
        </w:rPr>
      </w:pPr>
    </w:p>
    <w:p w:rsidR="00DE3F07" w:rsidRPr="009B2E29" w:rsidRDefault="00DE3F07" w:rsidP="00DE3F07">
      <w:pPr>
        <w:ind w:left="3960" w:firstLine="360"/>
        <w:rPr>
          <w:b/>
          <w:u w:val="single"/>
        </w:rPr>
      </w:pPr>
      <w:r w:rsidRPr="009B2E29">
        <w:rPr>
          <w:b/>
          <w:u w:val="single"/>
        </w:rPr>
        <w:t>NOTES</w:t>
      </w:r>
    </w:p>
    <w:p w:rsidR="00DE3F07" w:rsidRDefault="00DE3F07" w:rsidP="00DE3F07">
      <w:pPr>
        <w:ind w:left="360"/>
      </w:pPr>
    </w:p>
    <w:p w:rsidR="00DE3F07" w:rsidRPr="009B2E29" w:rsidRDefault="00DE3F07" w:rsidP="00DE3F07">
      <w:pPr>
        <w:rPr>
          <w:b/>
          <w:u w:val="single"/>
        </w:rPr>
      </w:pPr>
      <w:r w:rsidRPr="009B2E29">
        <w:rPr>
          <w:rFonts w:eastAsia="Times New Roman"/>
          <w:b/>
          <w:u w:val="single"/>
        </w:rPr>
        <w:t xml:space="preserve">Note a  </w:t>
      </w:r>
    </w:p>
    <w:p w:rsidR="00DE3F07" w:rsidRDefault="00DE3F07" w:rsidP="00DE3F07">
      <w:pPr>
        <w:rPr>
          <w:lang w:val="en-US"/>
        </w:rPr>
      </w:pPr>
    </w:p>
    <w:p w:rsidR="00DE3F07" w:rsidRDefault="00DE3F07" w:rsidP="00DE3F07">
      <w:pPr>
        <w:rPr>
          <w:lang w:val="en-US"/>
        </w:rPr>
      </w:pPr>
      <w:r>
        <w:rPr>
          <w:lang w:val="en-US"/>
        </w:rPr>
        <w:t>We</w:t>
      </w:r>
      <w:r>
        <w:rPr>
          <w:rFonts w:eastAsia="Times New Roman"/>
          <w:lang w:val="en-US"/>
        </w:rPr>
        <w:t xml:space="preserve"> </w:t>
      </w:r>
      <w:r>
        <w:rPr>
          <w:lang w:val="en-US"/>
        </w:rPr>
        <w:t>have</w:t>
      </w:r>
      <w:r>
        <w:rPr>
          <w:rFonts w:eastAsia="Times New Roman"/>
          <w:lang w:val="en-US"/>
        </w:rPr>
        <w:t xml:space="preserve"> </w:t>
      </w:r>
      <w:r>
        <w:rPr>
          <w:lang w:val="en-US"/>
        </w:rPr>
        <w:t>a</w:t>
      </w:r>
      <w:r>
        <w:rPr>
          <w:rFonts w:eastAsia="Times New Roman"/>
          <w:lang w:val="en-US"/>
        </w:rPr>
        <w:t xml:space="preserve"> </w:t>
      </w:r>
      <w:r>
        <w:rPr>
          <w:lang w:val="en-US"/>
        </w:rPr>
        <w:t>requirement</w:t>
      </w:r>
      <w:r>
        <w:rPr>
          <w:rFonts w:eastAsia="Times New Roman"/>
          <w:lang w:val="en-US"/>
        </w:rPr>
        <w:t xml:space="preserve"> </w:t>
      </w:r>
      <w:r>
        <w:rPr>
          <w:lang w:val="en-US"/>
        </w:rPr>
        <w:t>for</w:t>
      </w:r>
      <w:r>
        <w:rPr>
          <w:rFonts w:eastAsia="Times New Roman"/>
          <w:lang w:val="en-US"/>
        </w:rPr>
        <w:t xml:space="preserve"> </w:t>
      </w:r>
      <w:r>
        <w:rPr>
          <w:lang w:val="en-US"/>
        </w:rPr>
        <w:t>coding</w:t>
      </w:r>
      <w:r>
        <w:rPr>
          <w:rFonts w:eastAsia="Times New Roman"/>
          <w:lang w:val="en-US"/>
        </w:rPr>
        <w:t xml:space="preserve"> </w:t>
      </w:r>
      <w:r>
        <w:rPr>
          <w:lang w:val="en-US"/>
        </w:rPr>
        <w:t>instruments</w:t>
      </w:r>
      <w:r>
        <w:rPr>
          <w:rFonts w:eastAsia="Times New Roman"/>
          <w:lang w:val="en-US"/>
        </w:rPr>
        <w:t xml:space="preserve"> </w:t>
      </w:r>
      <w:r>
        <w:rPr>
          <w:lang w:val="en-US"/>
        </w:rPr>
        <w:t>operating</w:t>
      </w:r>
      <w:r>
        <w:rPr>
          <w:rFonts w:eastAsia="Times New Roman"/>
          <w:lang w:val="en-US"/>
        </w:rPr>
        <w:t xml:space="preserve"> </w:t>
      </w:r>
      <w:r>
        <w:rPr>
          <w:lang w:val="en-US"/>
        </w:rPr>
        <w:t>at</w:t>
      </w:r>
      <w:r>
        <w:rPr>
          <w:rFonts w:eastAsia="Times New Roman"/>
          <w:lang w:val="en-US"/>
        </w:rPr>
        <w:t xml:space="preserve"> </w:t>
      </w:r>
      <w:r>
        <w:rPr>
          <w:lang w:val="en-US"/>
        </w:rPr>
        <w:t>wavelengths between</w:t>
      </w:r>
      <w:r>
        <w:rPr>
          <w:rFonts w:eastAsia="Times New Roman"/>
          <w:lang w:val="en-US"/>
        </w:rPr>
        <w:t xml:space="preserve"> </w:t>
      </w:r>
      <w:r>
        <w:rPr>
          <w:lang w:val="en-US"/>
        </w:rPr>
        <w:t>the</w:t>
      </w:r>
      <w:r>
        <w:rPr>
          <w:rFonts w:eastAsia="Times New Roman"/>
          <w:lang w:val="en-US"/>
        </w:rPr>
        <w:t xml:space="preserve"> </w:t>
      </w:r>
      <w:r>
        <w:rPr>
          <w:lang w:val="en-US"/>
        </w:rPr>
        <w:t>following</w:t>
      </w:r>
      <w:r>
        <w:rPr>
          <w:rFonts w:eastAsia="Times New Roman"/>
          <w:lang w:val="en-US"/>
        </w:rPr>
        <w:t xml:space="preserve"> </w:t>
      </w:r>
      <w:r>
        <w:rPr>
          <w:lang w:val="en-US"/>
        </w:rPr>
        <w:t>ranges;</w:t>
      </w:r>
    </w:p>
    <w:p w:rsidR="00DE3F07" w:rsidRDefault="00DE3F07" w:rsidP="00DE3F07">
      <w:pPr>
        <w:rPr>
          <w:lang w:val="en-US"/>
        </w:rPr>
      </w:pPr>
    </w:p>
    <w:p w:rsidR="00DE3F07" w:rsidRDefault="00DE3F07" w:rsidP="00DE3F07">
      <w:pPr>
        <w:rPr>
          <w:lang w:val="en-US"/>
        </w:rPr>
      </w:pPr>
      <w:r>
        <w:rPr>
          <w:lang w:val="en-US"/>
        </w:rPr>
        <w:t>100nm</w:t>
      </w:r>
      <w:r>
        <w:rPr>
          <w:rFonts w:eastAsia="Times New Roman"/>
          <w:lang w:val="en-US"/>
        </w:rPr>
        <w:t xml:space="preserve"> </w:t>
      </w:r>
      <w:r>
        <w:rPr>
          <w:lang w:val="en-US"/>
        </w:rPr>
        <w:t>for</w:t>
      </w:r>
      <w:r>
        <w:rPr>
          <w:rFonts w:eastAsia="Times New Roman"/>
          <w:lang w:val="en-US"/>
        </w:rPr>
        <w:t xml:space="preserve"> </w:t>
      </w:r>
      <w:r>
        <w:rPr>
          <w:lang w:val="en-US"/>
        </w:rPr>
        <w:t>UV</w:t>
      </w:r>
      <w:r>
        <w:rPr>
          <w:rFonts w:eastAsia="Times New Roman"/>
          <w:lang w:val="en-US"/>
        </w:rPr>
        <w:t xml:space="preserve"> </w:t>
      </w:r>
      <w:r>
        <w:rPr>
          <w:lang w:val="en-US"/>
        </w:rPr>
        <w:t>Lidar</w:t>
      </w:r>
      <w:r>
        <w:rPr>
          <w:rFonts w:eastAsia="Times New Roman"/>
          <w:lang w:val="en-US"/>
        </w:rPr>
        <w:t>’</w:t>
      </w:r>
      <w:r>
        <w:rPr>
          <w:lang w:val="en-US"/>
        </w:rPr>
        <w:t xml:space="preserve">s </w:t>
      </w:r>
      <w:r>
        <w:rPr>
          <w:rFonts w:eastAsia="Times New Roman"/>
          <w:lang w:val="en-US"/>
        </w:rPr>
        <w:t xml:space="preserve"> </w:t>
      </w:r>
      <w:r>
        <w:rPr>
          <w:lang w:val="en-US"/>
        </w:rPr>
        <w:t>to</w:t>
      </w:r>
      <w:r>
        <w:rPr>
          <w:rFonts w:eastAsia="Times New Roman"/>
          <w:lang w:val="en-US"/>
        </w:rPr>
        <w:t xml:space="preserve"> </w:t>
      </w:r>
      <w:r>
        <w:rPr>
          <w:lang w:val="en-US"/>
        </w:rPr>
        <w:t>30m</w:t>
      </w:r>
      <w:r>
        <w:rPr>
          <w:rFonts w:eastAsia="Times New Roman"/>
          <w:lang w:val="en-US"/>
        </w:rPr>
        <w:t xml:space="preserve"> </w:t>
      </w:r>
      <w:r>
        <w:rPr>
          <w:lang w:val="en-US"/>
        </w:rPr>
        <w:t>for</w:t>
      </w:r>
      <w:r>
        <w:rPr>
          <w:rFonts w:eastAsia="Times New Roman"/>
          <w:lang w:val="en-US"/>
        </w:rPr>
        <w:t xml:space="preserve"> </w:t>
      </w:r>
      <w:r>
        <w:rPr>
          <w:lang w:val="en-US"/>
        </w:rPr>
        <w:t>VHF</w:t>
      </w:r>
      <w:r>
        <w:rPr>
          <w:rFonts w:eastAsia="Times New Roman"/>
          <w:lang w:val="en-US"/>
        </w:rPr>
        <w:t xml:space="preserve"> </w:t>
      </w:r>
      <w:r>
        <w:rPr>
          <w:lang w:val="en-US"/>
        </w:rPr>
        <w:t>radars* (see RWP Template)</w:t>
      </w:r>
    </w:p>
    <w:p w:rsidR="00DE3F07" w:rsidRDefault="00DE3F07" w:rsidP="00DE3F07">
      <w:pPr>
        <w:rPr>
          <w:lang w:val="en-US"/>
        </w:rPr>
      </w:pPr>
    </w:p>
    <w:p w:rsidR="00DE3F07" w:rsidRDefault="00DE3F07" w:rsidP="00DE3F07">
      <w:pPr>
        <w:rPr>
          <w:lang w:val="en-US"/>
        </w:rPr>
      </w:pPr>
      <w:r>
        <w:rPr>
          <w:lang w:val="en-US"/>
        </w:rPr>
        <w:t>This</w:t>
      </w:r>
      <w:r>
        <w:rPr>
          <w:rFonts w:eastAsia="Times New Roman"/>
          <w:lang w:val="en-US"/>
        </w:rPr>
        <w:t xml:space="preserve"> </w:t>
      </w:r>
      <w:r>
        <w:rPr>
          <w:lang w:val="en-US"/>
        </w:rPr>
        <w:t>corresponds</w:t>
      </w:r>
      <w:r>
        <w:rPr>
          <w:rFonts w:eastAsia="Times New Roman"/>
          <w:lang w:val="en-US"/>
        </w:rPr>
        <w:t xml:space="preserve"> </w:t>
      </w:r>
      <w:r>
        <w:rPr>
          <w:lang w:val="en-US"/>
        </w:rPr>
        <w:t>to</w:t>
      </w:r>
      <w:r>
        <w:rPr>
          <w:rFonts w:eastAsia="Times New Roman"/>
          <w:lang w:val="en-US"/>
        </w:rPr>
        <w:t xml:space="preserve"> </w:t>
      </w:r>
      <w:r>
        <w:rPr>
          <w:lang w:val="en-US"/>
        </w:rPr>
        <w:t>a</w:t>
      </w:r>
      <w:r>
        <w:rPr>
          <w:rFonts w:eastAsia="Times New Roman"/>
          <w:lang w:val="en-US"/>
        </w:rPr>
        <w:t xml:space="preserve"> </w:t>
      </w:r>
      <w:r>
        <w:rPr>
          <w:lang w:val="en-US"/>
        </w:rPr>
        <w:t>range</w:t>
      </w:r>
      <w:r>
        <w:rPr>
          <w:rFonts w:eastAsia="Times New Roman"/>
          <w:lang w:val="en-US"/>
        </w:rPr>
        <w:t xml:space="preserve"> </w:t>
      </w:r>
      <w:r>
        <w:rPr>
          <w:lang w:val="en-US"/>
        </w:rPr>
        <w:t>of</w:t>
      </w:r>
      <w:r>
        <w:rPr>
          <w:rFonts w:eastAsia="Times New Roman"/>
          <w:lang w:val="en-US"/>
        </w:rPr>
        <w:t xml:space="preserve"> </w:t>
      </w:r>
      <w:r>
        <w:rPr>
          <w:lang w:val="en-US"/>
        </w:rPr>
        <w:t>between</w:t>
      </w:r>
      <w:r>
        <w:rPr>
          <w:rFonts w:eastAsia="Times New Roman"/>
          <w:lang w:val="en-US"/>
        </w:rPr>
        <w:t xml:space="preserve"> </w:t>
      </w:r>
      <w:r>
        <w:rPr>
          <w:lang w:val="en-US"/>
        </w:rPr>
        <w:t>the</w:t>
      </w:r>
      <w:r>
        <w:rPr>
          <w:rFonts w:eastAsia="Times New Roman"/>
          <w:lang w:val="en-US"/>
        </w:rPr>
        <w:t xml:space="preserve"> </w:t>
      </w:r>
      <w:r>
        <w:rPr>
          <w:lang w:val="en-US"/>
        </w:rPr>
        <w:t>following</w:t>
      </w:r>
      <w:r>
        <w:rPr>
          <w:rFonts w:eastAsia="Times New Roman"/>
          <w:lang w:val="en-US"/>
        </w:rPr>
        <w:t xml:space="preserve"> </w:t>
      </w:r>
      <w:r>
        <w:rPr>
          <w:lang w:val="en-US"/>
        </w:rPr>
        <w:t>when</w:t>
      </w:r>
      <w:r>
        <w:rPr>
          <w:rFonts w:eastAsia="Times New Roman"/>
          <w:lang w:val="en-US"/>
        </w:rPr>
        <w:t xml:space="preserve"> </w:t>
      </w:r>
      <w:r>
        <w:rPr>
          <w:lang w:val="en-US"/>
        </w:rPr>
        <w:t>measured</w:t>
      </w:r>
      <w:r>
        <w:rPr>
          <w:rFonts w:eastAsia="Times New Roman"/>
          <w:lang w:val="en-US"/>
        </w:rPr>
        <w:t xml:space="preserve"> </w:t>
      </w:r>
      <w:r>
        <w:rPr>
          <w:lang w:val="en-US"/>
        </w:rPr>
        <w:t>in</w:t>
      </w:r>
      <w:r>
        <w:rPr>
          <w:rFonts w:eastAsia="Times New Roman"/>
          <w:lang w:val="en-US"/>
        </w:rPr>
        <w:t xml:space="preserve"> </w:t>
      </w:r>
      <w:r>
        <w:rPr>
          <w:lang w:val="en-US"/>
        </w:rPr>
        <w:t>Hz</w:t>
      </w:r>
    </w:p>
    <w:p w:rsidR="00DE3F07" w:rsidRDefault="00DE3F07" w:rsidP="00DE3F07">
      <w:pPr>
        <w:rPr>
          <w:lang w:val="en-US"/>
        </w:rPr>
      </w:pPr>
      <w:r>
        <w:rPr>
          <w:lang w:val="en-US"/>
        </w:rPr>
        <w:t>1e+7</w:t>
      </w:r>
      <w:r>
        <w:rPr>
          <w:rFonts w:eastAsia="Times New Roman"/>
          <w:lang w:val="en-US"/>
        </w:rPr>
        <w:t xml:space="preserve"> – </w:t>
      </w:r>
      <w:r>
        <w:rPr>
          <w:lang w:val="en-US"/>
        </w:rPr>
        <w:t>1e+16</w:t>
      </w:r>
    </w:p>
    <w:p w:rsidR="00DE3F07" w:rsidRDefault="00DE3F07" w:rsidP="00DE3F07">
      <w:pPr>
        <w:rPr>
          <w:lang w:val="en-US"/>
        </w:rPr>
      </w:pPr>
    </w:p>
    <w:p w:rsidR="00DE3F07" w:rsidRDefault="00DE3F07" w:rsidP="00DE3F07">
      <w:pPr>
        <w:suppressAutoHyphens w:val="0"/>
        <w:rPr>
          <w:rFonts w:eastAsia="Times New Roman"/>
          <w:lang w:val="en-US" w:eastAsia="en-GB"/>
        </w:rPr>
      </w:pPr>
      <w:r>
        <w:rPr>
          <w:rFonts w:eastAsia="Times New Roman"/>
          <w:lang w:val="en-US" w:eastAsia="en-GB"/>
        </w:rPr>
        <w:t xml:space="preserve">We intend to make use of the existing descriptor 0 02 121 and use modifiers to obtain the desired range.  </w:t>
      </w:r>
    </w:p>
    <w:p w:rsidR="00DE3F07" w:rsidRDefault="00DE3F07" w:rsidP="00DE3F07">
      <w:pPr>
        <w:rPr>
          <w:rFonts w:eastAsia="Times New Roman"/>
          <w:lang w:val="en-US"/>
        </w:rPr>
      </w:pPr>
    </w:p>
    <w:p w:rsidR="00DE3F07" w:rsidRDefault="00DE3F07" w:rsidP="00DE3F07">
      <w:pPr>
        <w:rPr>
          <w:rFonts w:eastAsia="Times New Roman"/>
          <w:lang w:val="en-US"/>
        </w:rPr>
      </w:pPr>
      <w:r>
        <w:rPr>
          <w:rFonts w:eastAsia="Times New Roman"/>
          <w:lang w:val="en-US"/>
        </w:rPr>
        <w:t>*We must also consider the ceilometers/lidar instruments as we plan to use a common header sequence – details in a separate proposal.</w:t>
      </w:r>
    </w:p>
    <w:p w:rsidR="00DE3F07" w:rsidRDefault="00DE3F07" w:rsidP="00DE3F07">
      <w:pPr>
        <w:ind w:left="360"/>
      </w:pPr>
    </w:p>
    <w:p w:rsidR="00DE3F07" w:rsidRDefault="00DE3F07" w:rsidP="00DE3F07">
      <w:pPr>
        <w:rPr>
          <w:rFonts w:eastAsia="Times New Roman"/>
        </w:rPr>
      </w:pPr>
      <w:r>
        <w:rPr>
          <w:rFonts w:eastAsia="Times New Roman"/>
          <w:b/>
          <w:bCs/>
          <w:u w:val="single"/>
        </w:rPr>
        <w:t xml:space="preserve">Note b </w:t>
      </w:r>
      <w:r>
        <w:rPr>
          <w:rFonts w:eastAsia="Times New Roman"/>
        </w:rPr>
        <w:t xml:space="preserve"> We would like to request that a footnote is added indicating that the station height should recoded as ‘Above Mean Sea level’.</w:t>
      </w:r>
    </w:p>
    <w:p w:rsidR="00DE3F07" w:rsidRDefault="00DE3F07" w:rsidP="00DE3F07">
      <w:pPr>
        <w:ind w:left="360"/>
      </w:pPr>
    </w:p>
    <w:p w:rsidR="00DE3F07" w:rsidRDefault="00DE3F07" w:rsidP="00DE3F07">
      <w:pPr>
        <w:rPr>
          <w:rFonts w:eastAsia="Times New Roman"/>
        </w:rPr>
      </w:pPr>
      <w:r>
        <w:rPr>
          <w:rFonts w:eastAsia="Times New Roman"/>
          <w:b/>
          <w:bCs/>
          <w:u w:val="single"/>
        </w:rPr>
        <w:t>Note c</w:t>
      </w:r>
      <w:r>
        <w:rPr>
          <w:rFonts w:eastAsia="Times New Roman"/>
        </w:rPr>
        <w:t xml:space="preserve"> – Should this be part of “Class 27 Non-coordinate location’?</w:t>
      </w:r>
    </w:p>
    <w:p w:rsidR="00DE3F07" w:rsidRDefault="00DE3F07" w:rsidP="00DE3F07">
      <w:pPr>
        <w:rPr>
          <w:rFonts w:eastAsia="Times New Roman"/>
        </w:rPr>
      </w:pPr>
    </w:p>
    <w:p w:rsidR="00DE3F07" w:rsidRDefault="00DE3F07" w:rsidP="00DE3F07">
      <w:pPr>
        <w:rPr>
          <w:rFonts w:eastAsia="Times New Roman"/>
        </w:rPr>
      </w:pPr>
      <w:r w:rsidRPr="00B3366B">
        <w:rPr>
          <w:rFonts w:eastAsia="Times New Roman"/>
          <w:b/>
          <w:u w:val="single"/>
        </w:rPr>
        <w:t>Note d</w:t>
      </w:r>
      <w:r>
        <w:rPr>
          <w:rFonts w:eastAsia="Times New Roman"/>
        </w:rPr>
        <w:t xml:space="preserve"> – The replication is included to allow for instruments with multiple wavelengths – for most instruments only one wavelength is reported, in which case this should be set to ‘missing’ (ie. No additional replication is required).</w:t>
      </w:r>
    </w:p>
    <w:p w:rsidR="00DE3F07" w:rsidRDefault="00DE3F07" w:rsidP="00DE3F07">
      <w:pPr>
        <w:rPr>
          <w:rFonts w:eastAsia="Times New Roman"/>
        </w:rPr>
      </w:pPr>
      <w:r w:rsidRPr="009967BF">
        <w:rPr>
          <w:rFonts w:eastAsia="Times New Roman"/>
          <w:b/>
          <w:u w:val="single"/>
        </w:rPr>
        <w:t>Note e</w:t>
      </w:r>
      <w:r>
        <w:rPr>
          <w:rFonts w:eastAsia="Times New Roman"/>
        </w:rPr>
        <w:t xml:space="preserve"> – Following on from the overall Table D sequences proposed for RWP Wind and RASS data. Alternatively could we have a standard sequence for the header (as this will be the same for Wind profiler/RASS and LIDAR/Ceilometer messages and then issue separate Table D references for the data parts?</w:t>
      </w:r>
    </w:p>
    <w:p w:rsidR="005F0788" w:rsidRDefault="005F0788">
      <w:pPr>
        <w:jc w:val="both"/>
        <w:rPr>
          <w:rFonts w:ascii="Verdana" w:hAnsi="Verdana"/>
          <w:sz w:val="20"/>
          <w:szCs w:val="20"/>
        </w:rPr>
      </w:pPr>
    </w:p>
    <w:p w:rsidR="005F0788" w:rsidRDefault="005F0788">
      <w:pPr>
        <w:jc w:val="both"/>
        <w:rPr>
          <w:rFonts w:ascii="Verdana" w:hAnsi="Verdana"/>
          <w:sz w:val="20"/>
          <w:szCs w:val="20"/>
        </w:rPr>
      </w:pPr>
    </w:p>
    <w:p w:rsidR="005F0788" w:rsidRDefault="005F0788">
      <w:pPr>
        <w:jc w:val="both"/>
        <w:rPr>
          <w:rFonts w:ascii="Verdana" w:hAnsi="Verdana"/>
          <w:sz w:val="20"/>
          <w:szCs w:val="20"/>
        </w:rPr>
      </w:pPr>
    </w:p>
    <w:p w:rsidR="005F0788" w:rsidRDefault="005F0788">
      <w:pPr>
        <w:jc w:val="both"/>
        <w:rPr>
          <w:rFonts w:ascii="Verdana" w:hAnsi="Verdana"/>
          <w:sz w:val="20"/>
          <w:szCs w:val="20"/>
        </w:rPr>
      </w:pPr>
    </w:p>
    <w:p w:rsidR="005F0788" w:rsidRPr="00E6047A" w:rsidRDefault="005F0788">
      <w:pPr>
        <w:jc w:val="both"/>
        <w:rPr>
          <w:rFonts w:asciiTheme="minorHAnsi" w:hAnsiTheme="minorHAnsi"/>
          <w:b/>
          <w:sz w:val="20"/>
          <w:szCs w:val="20"/>
        </w:rPr>
      </w:pPr>
      <w:r w:rsidRPr="00E6047A">
        <w:rPr>
          <w:rFonts w:asciiTheme="minorHAnsi" w:hAnsiTheme="minorHAnsi"/>
          <w:b/>
          <w:sz w:val="20"/>
          <w:szCs w:val="20"/>
        </w:rPr>
        <w:t>Annexe 1 B descriptors proposed as part of the D sequence development.</w:t>
      </w:r>
    </w:p>
    <w:p w:rsidR="00260BF1" w:rsidRDefault="00260BF1">
      <w:pPr>
        <w:jc w:val="both"/>
      </w:pPr>
    </w:p>
    <w:tbl>
      <w:tblPr>
        <w:tblW w:w="0" w:type="auto"/>
        <w:tblInd w:w="319" w:type="dxa"/>
        <w:tblCellMar>
          <w:left w:w="0" w:type="dxa"/>
          <w:right w:w="0" w:type="dxa"/>
        </w:tblCellMar>
        <w:tblLook w:val="04A0" w:firstRow="1" w:lastRow="0" w:firstColumn="1" w:lastColumn="0" w:noHBand="0" w:noVBand="1"/>
      </w:tblPr>
      <w:tblGrid>
        <w:gridCol w:w="1348"/>
        <w:gridCol w:w="1393"/>
        <w:gridCol w:w="812"/>
        <w:gridCol w:w="800"/>
        <w:gridCol w:w="1348"/>
        <w:gridCol w:w="865"/>
        <w:gridCol w:w="768"/>
        <w:gridCol w:w="792"/>
        <w:gridCol w:w="1293"/>
      </w:tblGrid>
      <w:tr w:rsidR="005F0788" w:rsidRPr="00E6047A" w:rsidTr="005F0788">
        <w:trPr>
          <w:trHeight w:val="254"/>
        </w:trPr>
        <w:tc>
          <w:tcPr>
            <w:tcW w:w="1318" w:type="dxa"/>
            <w:tcBorders>
              <w:top w:val="single" w:sz="8" w:space="0" w:color="000000"/>
              <w:left w:val="single" w:sz="8" w:space="0" w:color="000000"/>
              <w:bottom w:val="nil"/>
              <w:right w:val="nil"/>
            </w:tcBorders>
            <w:shd w:val="clear" w:color="auto" w:fill="D6E3BC" w:themeFill="accent3" w:themeFillTint="66"/>
            <w:tcMar>
              <w:top w:w="28" w:type="dxa"/>
              <w:left w:w="57" w:type="dxa"/>
              <w:bottom w:w="28" w:type="dxa"/>
              <w:right w:w="57" w:type="dxa"/>
            </w:tcMar>
            <w:vAlign w:val="center"/>
          </w:tcPr>
          <w:p w:rsidR="005F0788" w:rsidRPr="00E6047A" w:rsidRDefault="005F0788" w:rsidP="005F0788">
            <w:pPr>
              <w:autoSpaceDE w:val="0"/>
              <w:snapToGrid w:val="0"/>
              <w:spacing w:line="276" w:lineRule="auto"/>
              <w:jc w:val="center"/>
              <w:rPr>
                <w:rFonts w:eastAsiaTheme="minorHAnsi" w:cs="Arial"/>
                <w:sz w:val="20"/>
                <w:szCs w:val="20"/>
              </w:rPr>
            </w:pPr>
          </w:p>
        </w:tc>
        <w:tc>
          <w:tcPr>
            <w:tcW w:w="1152" w:type="dxa"/>
            <w:tcBorders>
              <w:top w:val="single" w:sz="8" w:space="0" w:color="000000"/>
              <w:left w:val="single" w:sz="8" w:space="0" w:color="000000"/>
              <w:bottom w:val="nil"/>
              <w:right w:val="nil"/>
            </w:tcBorders>
            <w:shd w:val="clear" w:color="auto" w:fill="D6E3BC" w:themeFill="accent3" w:themeFillTint="66"/>
            <w:tcMar>
              <w:top w:w="28" w:type="dxa"/>
              <w:left w:w="57" w:type="dxa"/>
              <w:bottom w:w="28" w:type="dxa"/>
              <w:right w:w="57" w:type="dxa"/>
            </w:tcMar>
            <w:vAlign w:val="center"/>
          </w:tcPr>
          <w:p w:rsidR="005F0788" w:rsidRPr="00E6047A" w:rsidRDefault="005F0788" w:rsidP="005F0788">
            <w:pPr>
              <w:autoSpaceDE w:val="0"/>
              <w:snapToGrid w:val="0"/>
              <w:spacing w:line="276" w:lineRule="auto"/>
              <w:rPr>
                <w:rFonts w:eastAsiaTheme="minorHAnsi" w:cs="Arial"/>
                <w:sz w:val="20"/>
                <w:szCs w:val="20"/>
              </w:rPr>
            </w:pPr>
          </w:p>
        </w:tc>
        <w:tc>
          <w:tcPr>
            <w:tcW w:w="3629" w:type="dxa"/>
            <w:gridSpan w:val="4"/>
            <w:tcBorders>
              <w:top w:val="single" w:sz="8" w:space="0" w:color="000000"/>
              <w:left w:val="single" w:sz="8" w:space="0" w:color="000000"/>
              <w:bottom w:val="single" w:sz="8" w:space="0" w:color="000000"/>
              <w:right w:val="nil"/>
            </w:tcBorders>
            <w:shd w:val="clear" w:color="auto" w:fill="D6E3BC" w:themeFill="accent3" w:themeFillTint="66"/>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b/>
                <w:sz w:val="20"/>
                <w:szCs w:val="20"/>
              </w:rPr>
            </w:pPr>
            <w:r w:rsidRPr="00E6047A">
              <w:rPr>
                <w:rFonts w:cs="Arial"/>
                <w:b/>
                <w:sz w:val="20"/>
                <w:szCs w:val="20"/>
              </w:rPr>
              <w:t>BUFR</w:t>
            </w:r>
          </w:p>
        </w:tc>
        <w:tc>
          <w:tcPr>
            <w:tcW w:w="2545" w:type="dxa"/>
            <w:gridSpan w:val="3"/>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b/>
                <w:sz w:val="20"/>
                <w:szCs w:val="20"/>
              </w:rPr>
            </w:pPr>
            <w:r w:rsidRPr="00E6047A">
              <w:rPr>
                <w:rFonts w:cs="Arial"/>
                <w:b/>
                <w:sz w:val="20"/>
                <w:szCs w:val="20"/>
              </w:rPr>
              <w:t>CREX</w:t>
            </w:r>
          </w:p>
        </w:tc>
      </w:tr>
      <w:tr w:rsidR="005F0788" w:rsidRPr="00E6047A" w:rsidTr="005F0788">
        <w:trPr>
          <w:trHeight w:val="254"/>
        </w:trPr>
        <w:tc>
          <w:tcPr>
            <w:tcW w:w="1318" w:type="dxa"/>
            <w:vMerge w:val="restart"/>
            <w:tcBorders>
              <w:top w:val="nil"/>
              <w:left w:val="single" w:sz="8" w:space="0" w:color="000000"/>
              <w:right w:val="nil"/>
            </w:tcBorders>
            <w:shd w:val="clear" w:color="auto" w:fill="D6E3BC" w:themeFill="accent3" w:themeFillTint="66"/>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b/>
                <w:sz w:val="20"/>
                <w:szCs w:val="20"/>
              </w:rPr>
            </w:pPr>
            <w:r w:rsidRPr="00E6047A">
              <w:rPr>
                <w:rFonts w:cs="Arial"/>
                <w:b/>
                <w:sz w:val="20"/>
                <w:szCs w:val="20"/>
              </w:rPr>
              <w:t>TABLE</w:t>
            </w:r>
          </w:p>
          <w:p w:rsidR="005F0788" w:rsidRPr="00E6047A" w:rsidRDefault="005F0788" w:rsidP="005F0788">
            <w:pPr>
              <w:autoSpaceDE w:val="0"/>
              <w:snapToGrid w:val="0"/>
              <w:spacing w:line="276" w:lineRule="auto"/>
              <w:jc w:val="center"/>
              <w:rPr>
                <w:rFonts w:eastAsiaTheme="minorHAnsi" w:cs="Arial"/>
                <w:b/>
                <w:sz w:val="20"/>
                <w:szCs w:val="20"/>
              </w:rPr>
            </w:pPr>
            <w:r w:rsidRPr="00E6047A">
              <w:rPr>
                <w:rFonts w:cs="Arial"/>
                <w:b/>
                <w:sz w:val="20"/>
                <w:szCs w:val="20"/>
              </w:rPr>
              <w:t>REFERENCE</w:t>
            </w:r>
          </w:p>
        </w:tc>
        <w:tc>
          <w:tcPr>
            <w:tcW w:w="1152" w:type="dxa"/>
            <w:tcBorders>
              <w:top w:val="nil"/>
              <w:left w:val="single" w:sz="8" w:space="0" w:color="000000"/>
              <w:bottom w:val="nil"/>
              <w:right w:val="nil"/>
            </w:tcBorders>
            <w:shd w:val="clear" w:color="auto" w:fill="D6E3BC" w:themeFill="accent3" w:themeFillTint="66"/>
            <w:tcMar>
              <w:top w:w="28" w:type="dxa"/>
              <w:left w:w="57" w:type="dxa"/>
              <w:bottom w:w="28" w:type="dxa"/>
              <w:right w:w="57" w:type="dxa"/>
            </w:tcMar>
            <w:vAlign w:val="center"/>
          </w:tcPr>
          <w:p w:rsidR="005F0788" w:rsidRPr="00E6047A" w:rsidRDefault="005F0788" w:rsidP="005F0788">
            <w:pPr>
              <w:autoSpaceDE w:val="0"/>
              <w:snapToGrid w:val="0"/>
              <w:spacing w:line="276" w:lineRule="auto"/>
              <w:jc w:val="center"/>
              <w:rPr>
                <w:rFonts w:eastAsiaTheme="minorHAnsi" w:cs="Arial"/>
                <w:b/>
                <w:sz w:val="20"/>
                <w:szCs w:val="20"/>
              </w:rPr>
            </w:pPr>
          </w:p>
        </w:tc>
        <w:tc>
          <w:tcPr>
            <w:tcW w:w="812" w:type="dxa"/>
            <w:tcBorders>
              <w:top w:val="nil"/>
              <w:left w:val="single" w:sz="8" w:space="0" w:color="000000"/>
              <w:bottom w:val="nil"/>
              <w:right w:val="nil"/>
            </w:tcBorders>
            <w:shd w:val="clear" w:color="auto" w:fill="D6E3BC" w:themeFill="accent3" w:themeFillTint="66"/>
            <w:tcMar>
              <w:top w:w="28" w:type="dxa"/>
              <w:left w:w="57" w:type="dxa"/>
              <w:bottom w:w="28" w:type="dxa"/>
              <w:right w:w="57" w:type="dxa"/>
            </w:tcMar>
            <w:vAlign w:val="center"/>
          </w:tcPr>
          <w:p w:rsidR="005F0788" w:rsidRPr="00E6047A" w:rsidRDefault="005F0788" w:rsidP="005F0788">
            <w:pPr>
              <w:autoSpaceDE w:val="0"/>
              <w:snapToGrid w:val="0"/>
              <w:spacing w:line="276" w:lineRule="auto"/>
              <w:jc w:val="center"/>
              <w:rPr>
                <w:rFonts w:eastAsiaTheme="minorHAnsi" w:cs="Arial"/>
                <w:b/>
                <w:sz w:val="20"/>
                <w:szCs w:val="20"/>
              </w:rPr>
            </w:pPr>
          </w:p>
        </w:tc>
        <w:tc>
          <w:tcPr>
            <w:tcW w:w="800" w:type="dxa"/>
            <w:tcBorders>
              <w:top w:val="single" w:sz="8" w:space="0" w:color="000000"/>
              <w:left w:val="single" w:sz="8" w:space="0" w:color="000000"/>
              <w:bottom w:val="nil"/>
              <w:right w:val="nil"/>
            </w:tcBorders>
            <w:shd w:val="clear" w:color="auto" w:fill="D6E3BC" w:themeFill="accent3" w:themeFillTint="66"/>
            <w:tcMar>
              <w:top w:w="28" w:type="dxa"/>
              <w:left w:w="57" w:type="dxa"/>
              <w:bottom w:w="28" w:type="dxa"/>
              <w:right w:w="57" w:type="dxa"/>
            </w:tcMar>
            <w:vAlign w:val="center"/>
          </w:tcPr>
          <w:p w:rsidR="005F0788" w:rsidRPr="00E6047A" w:rsidRDefault="005F0788" w:rsidP="005F0788">
            <w:pPr>
              <w:autoSpaceDE w:val="0"/>
              <w:snapToGrid w:val="0"/>
              <w:spacing w:line="276" w:lineRule="auto"/>
              <w:jc w:val="center"/>
              <w:rPr>
                <w:rFonts w:eastAsiaTheme="minorHAnsi" w:cs="Arial"/>
                <w:b/>
                <w:sz w:val="20"/>
                <w:szCs w:val="20"/>
              </w:rPr>
            </w:pPr>
          </w:p>
        </w:tc>
        <w:tc>
          <w:tcPr>
            <w:tcW w:w="1152" w:type="dxa"/>
            <w:tcBorders>
              <w:top w:val="single" w:sz="8" w:space="0" w:color="000000"/>
              <w:left w:val="single" w:sz="8" w:space="0" w:color="000000"/>
              <w:bottom w:val="nil"/>
              <w:right w:val="nil"/>
            </w:tcBorders>
            <w:shd w:val="clear" w:color="auto" w:fill="D6E3BC" w:themeFill="accent3" w:themeFillTint="66"/>
            <w:tcMar>
              <w:top w:w="28" w:type="dxa"/>
              <w:left w:w="57" w:type="dxa"/>
              <w:bottom w:w="28" w:type="dxa"/>
              <w:right w:w="57" w:type="dxa"/>
            </w:tcMar>
            <w:vAlign w:val="center"/>
          </w:tcPr>
          <w:p w:rsidR="005F0788" w:rsidRPr="00E6047A" w:rsidRDefault="005F0788" w:rsidP="005F0788">
            <w:pPr>
              <w:autoSpaceDE w:val="0"/>
              <w:snapToGrid w:val="0"/>
              <w:spacing w:line="276" w:lineRule="auto"/>
              <w:jc w:val="center"/>
              <w:rPr>
                <w:rFonts w:eastAsiaTheme="minorHAnsi" w:cs="Arial"/>
                <w:b/>
                <w:sz w:val="20"/>
                <w:szCs w:val="20"/>
              </w:rPr>
            </w:pPr>
          </w:p>
        </w:tc>
        <w:tc>
          <w:tcPr>
            <w:tcW w:w="865" w:type="dxa"/>
            <w:tcBorders>
              <w:top w:val="single" w:sz="8" w:space="0" w:color="000000"/>
              <w:left w:val="single" w:sz="8" w:space="0" w:color="000000"/>
              <w:bottom w:val="nil"/>
              <w:right w:val="nil"/>
            </w:tcBorders>
            <w:shd w:val="clear" w:color="auto" w:fill="D6E3BC" w:themeFill="accent3" w:themeFillTint="66"/>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b/>
                <w:sz w:val="20"/>
                <w:szCs w:val="20"/>
              </w:rPr>
            </w:pPr>
            <w:r w:rsidRPr="00E6047A">
              <w:rPr>
                <w:rFonts w:cs="Arial"/>
                <w:b/>
                <w:sz w:val="20"/>
                <w:szCs w:val="20"/>
              </w:rPr>
              <w:t>DATA</w:t>
            </w:r>
          </w:p>
        </w:tc>
        <w:tc>
          <w:tcPr>
            <w:tcW w:w="768" w:type="dxa"/>
            <w:tcBorders>
              <w:top w:val="nil"/>
              <w:left w:val="single" w:sz="8" w:space="0" w:color="000000"/>
              <w:bottom w:val="nil"/>
              <w:right w:val="nil"/>
            </w:tcBorders>
            <w:shd w:val="clear" w:color="auto" w:fill="D6E3BC" w:themeFill="accent3" w:themeFillTint="66"/>
            <w:tcMar>
              <w:top w:w="28" w:type="dxa"/>
              <w:left w:w="57" w:type="dxa"/>
              <w:bottom w:w="28" w:type="dxa"/>
              <w:right w:w="57" w:type="dxa"/>
            </w:tcMar>
            <w:vAlign w:val="center"/>
          </w:tcPr>
          <w:p w:rsidR="005F0788" w:rsidRPr="00E6047A" w:rsidRDefault="005F0788" w:rsidP="005F0788">
            <w:pPr>
              <w:autoSpaceDE w:val="0"/>
              <w:snapToGrid w:val="0"/>
              <w:spacing w:line="276" w:lineRule="auto"/>
              <w:jc w:val="center"/>
              <w:rPr>
                <w:rFonts w:eastAsiaTheme="minorHAnsi" w:cs="Arial"/>
                <w:b/>
                <w:sz w:val="20"/>
                <w:szCs w:val="20"/>
              </w:rPr>
            </w:pPr>
          </w:p>
        </w:tc>
        <w:tc>
          <w:tcPr>
            <w:tcW w:w="720" w:type="dxa"/>
            <w:tcBorders>
              <w:top w:val="nil"/>
              <w:left w:val="single" w:sz="8" w:space="0" w:color="000000"/>
              <w:bottom w:val="nil"/>
              <w:right w:val="nil"/>
            </w:tcBorders>
            <w:shd w:val="clear" w:color="auto" w:fill="D6E3BC" w:themeFill="accent3" w:themeFillTint="66"/>
            <w:tcMar>
              <w:top w:w="28" w:type="dxa"/>
              <w:left w:w="57" w:type="dxa"/>
              <w:bottom w:w="28" w:type="dxa"/>
              <w:right w:w="57" w:type="dxa"/>
            </w:tcMar>
            <w:vAlign w:val="center"/>
          </w:tcPr>
          <w:p w:rsidR="005F0788" w:rsidRPr="00E6047A" w:rsidRDefault="005F0788" w:rsidP="005F0788">
            <w:pPr>
              <w:autoSpaceDE w:val="0"/>
              <w:snapToGrid w:val="0"/>
              <w:spacing w:line="276" w:lineRule="auto"/>
              <w:jc w:val="center"/>
              <w:rPr>
                <w:rFonts w:eastAsiaTheme="minorHAnsi" w:cs="Arial"/>
                <w:b/>
                <w:sz w:val="20"/>
                <w:szCs w:val="20"/>
              </w:rPr>
            </w:pPr>
          </w:p>
        </w:tc>
        <w:tc>
          <w:tcPr>
            <w:tcW w:w="1057" w:type="dxa"/>
            <w:tcBorders>
              <w:top w:val="nil"/>
              <w:left w:val="single" w:sz="8" w:space="0" w:color="000000"/>
              <w:bottom w:val="nil"/>
              <w:right w:val="single" w:sz="8" w:space="0" w:color="000000"/>
            </w:tcBorders>
            <w:shd w:val="clear" w:color="auto" w:fill="D6E3BC" w:themeFill="accent3" w:themeFillTint="66"/>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b/>
                <w:sz w:val="20"/>
                <w:szCs w:val="20"/>
              </w:rPr>
            </w:pPr>
            <w:r w:rsidRPr="00E6047A">
              <w:rPr>
                <w:rFonts w:cs="Arial"/>
                <w:b/>
                <w:sz w:val="20"/>
                <w:szCs w:val="20"/>
              </w:rPr>
              <w:t>DATA</w:t>
            </w:r>
          </w:p>
        </w:tc>
      </w:tr>
      <w:tr w:rsidR="005F0788" w:rsidRPr="00E6047A" w:rsidTr="005F0788">
        <w:trPr>
          <w:trHeight w:val="496"/>
        </w:trPr>
        <w:tc>
          <w:tcPr>
            <w:tcW w:w="1318" w:type="dxa"/>
            <w:vMerge/>
            <w:tcBorders>
              <w:left w:val="single" w:sz="8" w:space="0" w:color="000000"/>
              <w:bottom w:val="single" w:sz="8" w:space="0" w:color="000000"/>
              <w:right w:val="nil"/>
            </w:tcBorders>
            <w:shd w:val="clear" w:color="auto" w:fill="D6E3BC" w:themeFill="accent3" w:themeFillTint="66"/>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b/>
                <w:sz w:val="20"/>
                <w:szCs w:val="20"/>
              </w:rPr>
            </w:pPr>
          </w:p>
        </w:tc>
        <w:tc>
          <w:tcPr>
            <w:tcW w:w="1152" w:type="dxa"/>
            <w:tcBorders>
              <w:top w:val="nil"/>
              <w:left w:val="single" w:sz="8" w:space="0" w:color="000000"/>
              <w:bottom w:val="nil"/>
              <w:right w:val="nil"/>
            </w:tcBorders>
            <w:shd w:val="clear" w:color="auto" w:fill="D6E3BC" w:themeFill="accent3" w:themeFillTint="66"/>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b/>
                <w:sz w:val="20"/>
                <w:szCs w:val="20"/>
              </w:rPr>
            </w:pPr>
            <w:r w:rsidRPr="00E6047A">
              <w:rPr>
                <w:rFonts w:cs="Arial"/>
                <w:b/>
                <w:sz w:val="20"/>
                <w:szCs w:val="20"/>
              </w:rPr>
              <w:t>ELEMENT NAME</w:t>
            </w:r>
          </w:p>
        </w:tc>
        <w:tc>
          <w:tcPr>
            <w:tcW w:w="812" w:type="dxa"/>
            <w:tcBorders>
              <w:top w:val="nil"/>
              <w:left w:val="single" w:sz="8" w:space="0" w:color="000000"/>
              <w:bottom w:val="nil"/>
              <w:right w:val="nil"/>
            </w:tcBorders>
            <w:shd w:val="clear" w:color="auto" w:fill="D6E3BC" w:themeFill="accent3" w:themeFillTint="66"/>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b/>
                <w:sz w:val="20"/>
                <w:szCs w:val="20"/>
              </w:rPr>
            </w:pPr>
            <w:r w:rsidRPr="00E6047A">
              <w:rPr>
                <w:rFonts w:cs="Arial"/>
                <w:b/>
                <w:sz w:val="20"/>
                <w:szCs w:val="20"/>
              </w:rPr>
              <w:t>UNIT</w:t>
            </w:r>
          </w:p>
        </w:tc>
        <w:tc>
          <w:tcPr>
            <w:tcW w:w="800" w:type="dxa"/>
            <w:tcBorders>
              <w:top w:val="nil"/>
              <w:left w:val="single" w:sz="8" w:space="0" w:color="000000"/>
              <w:bottom w:val="nil"/>
              <w:right w:val="nil"/>
            </w:tcBorders>
            <w:shd w:val="clear" w:color="auto" w:fill="D6E3BC" w:themeFill="accent3" w:themeFillTint="66"/>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b/>
                <w:sz w:val="20"/>
                <w:szCs w:val="20"/>
              </w:rPr>
            </w:pPr>
            <w:r w:rsidRPr="00E6047A">
              <w:rPr>
                <w:rFonts w:cs="Arial"/>
                <w:b/>
                <w:sz w:val="20"/>
                <w:szCs w:val="20"/>
              </w:rPr>
              <w:t>SCALE</w:t>
            </w:r>
          </w:p>
        </w:tc>
        <w:tc>
          <w:tcPr>
            <w:tcW w:w="1152" w:type="dxa"/>
            <w:tcBorders>
              <w:top w:val="nil"/>
              <w:left w:val="single" w:sz="8" w:space="0" w:color="000000"/>
              <w:bottom w:val="nil"/>
              <w:right w:val="nil"/>
            </w:tcBorders>
            <w:shd w:val="clear" w:color="auto" w:fill="D6E3BC" w:themeFill="accent3" w:themeFillTint="66"/>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b/>
                <w:sz w:val="20"/>
                <w:szCs w:val="20"/>
              </w:rPr>
            </w:pPr>
            <w:r w:rsidRPr="00E6047A">
              <w:rPr>
                <w:rFonts w:cs="Arial"/>
                <w:b/>
                <w:sz w:val="20"/>
                <w:szCs w:val="20"/>
              </w:rPr>
              <w:t>REFERENCE</w:t>
            </w:r>
          </w:p>
        </w:tc>
        <w:tc>
          <w:tcPr>
            <w:tcW w:w="865" w:type="dxa"/>
            <w:tcBorders>
              <w:top w:val="nil"/>
              <w:left w:val="single" w:sz="8" w:space="0" w:color="000000"/>
              <w:bottom w:val="nil"/>
              <w:right w:val="nil"/>
            </w:tcBorders>
            <w:shd w:val="clear" w:color="auto" w:fill="D6E3BC" w:themeFill="accent3" w:themeFillTint="66"/>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b/>
                <w:sz w:val="20"/>
                <w:szCs w:val="20"/>
              </w:rPr>
            </w:pPr>
            <w:r w:rsidRPr="00E6047A">
              <w:rPr>
                <w:rFonts w:cs="Arial"/>
                <w:b/>
                <w:sz w:val="20"/>
                <w:szCs w:val="20"/>
              </w:rPr>
              <w:t>WIDTH</w:t>
            </w:r>
          </w:p>
        </w:tc>
        <w:tc>
          <w:tcPr>
            <w:tcW w:w="768" w:type="dxa"/>
            <w:tcBorders>
              <w:top w:val="nil"/>
              <w:left w:val="single" w:sz="8" w:space="0" w:color="000000"/>
              <w:bottom w:val="nil"/>
              <w:right w:val="nil"/>
            </w:tcBorders>
            <w:shd w:val="clear" w:color="auto" w:fill="D6E3BC" w:themeFill="accent3" w:themeFillTint="66"/>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b/>
                <w:sz w:val="20"/>
                <w:szCs w:val="20"/>
              </w:rPr>
            </w:pPr>
            <w:r w:rsidRPr="00E6047A">
              <w:rPr>
                <w:rFonts w:cs="Arial"/>
                <w:b/>
                <w:sz w:val="20"/>
                <w:szCs w:val="20"/>
              </w:rPr>
              <w:t>UNIT</w:t>
            </w:r>
          </w:p>
        </w:tc>
        <w:tc>
          <w:tcPr>
            <w:tcW w:w="720" w:type="dxa"/>
            <w:tcBorders>
              <w:top w:val="nil"/>
              <w:left w:val="single" w:sz="8" w:space="0" w:color="000000"/>
              <w:bottom w:val="nil"/>
              <w:right w:val="nil"/>
            </w:tcBorders>
            <w:shd w:val="clear" w:color="auto" w:fill="D6E3BC" w:themeFill="accent3" w:themeFillTint="66"/>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b/>
                <w:sz w:val="20"/>
                <w:szCs w:val="20"/>
              </w:rPr>
            </w:pPr>
            <w:r w:rsidRPr="00E6047A">
              <w:rPr>
                <w:rFonts w:cs="Arial"/>
                <w:b/>
                <w:sz w:val="20"/>
                <w:szCs w:val="20"/>
              </w:rPr>
              <w:t>SCALE</w:t>
            </w:r>
          </w:p>
        </w:tc>
        <w:tc>
          <w:tcPr>
            <w:tcW w:w="1057" w:type="dxa"/>
            <w:tcBorders>
              <w:top w:val="nil"/>
              <w:left w:val="single" w:sz="8" w:space="0" w:color="000000"/>
              <w:bottom w:val="nil"/>
              <w:right w:val="single" w:sz="8" w:space="0" w:color="000000"/>
            </w:tcBorders>
            <w:shd w:val="clear" w:color="auto" w:fill="D6E3BC" w:themeFill="accent3" w:themeFillTint="66"/>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b/>
                <w:sz w:val="20"/>
                <w:szCs w:val="20"/>
              </w:rPr>
            </w:pPr>
            <w:r w:rsidRPr="00E6047A">
              <w:rPr>
                <w:rFonts w:cs="Arial"/>
                <w:b/>
                <w:sz w:val="20"/>
                <w:szCs w:val="20"/>
              </w:rPr>
              <w:t>WIDTH</w:t>
            </w:r>
          </w:p>
        </w:tc>
      </w:tr>
      <w:tr w:rsidR="005F0788" w:rsidRPr="00E6047A" w:rsidTr="005F0788">
        <w:trPr>
          <w:trHeight w:val="496"/>
        </w:trPr>
        <w:tc>
          <w:tcPr>
            <w:tcW w:w="1318" w:type="dxa"/>
            <w:tcBorders>
              <w:top w:val="nil"/>
              <w:left w:val="single" w:sz="8" w:space="0" w:color="000000"/>
              <w:bottom w:val="single" w:sz="8" w:space="0" w:color="000000"/>
              <w:right w:val="nil"/>
            </w:tcBorders>
            <w:shd w:val="clear" w:color="auto" w:fill="D6E3BC" w:themeFill="accent3" w:themeFillTint="66"/>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b/>
                <w:sz w:val="20"/>
                <w:szCs w:val="20"/>
              </w:rPr>
            </w:pPr>
            <w:r w:rsidRPr="00E6047A">
              <w:rPr>
                <w:rFonts w:cs="Arial"/>
                <w:b/>
                <w:sz w:val="20"/>
                <w:szCs w:val="20"/>
              </w:rPr>
              <w:t>F* X   Y</w:t>
            </w:r>
          </w:p>
        </w:tc>
        <w:tc>
          <w:tcPr>
            <w:tcW w:w="1152" w:type="dxa"/>
            <w:tcBorders>
              <w:top w:val="nil"/>
              <w:left w:val="single" w:sz="8" w:space="0" w:color="000000"/>
              <w:bottom w:val="single" w:sz="8" w:space="0" w:color="000000"/>
              <w:right w:val="nil"/>
            </w:tcBorders>
            <w:shd w:val="clear" w:color="auto" w:fill="D6E3BC" w:themeFill="accent3" w:themeFillTint="66"/>
            <w:tcMar>
              <w:top w:w="28" w:type="dxa"/>
              <w:left w:w="57" w:type="dxa"/>
              <w:bottom w:w="28" w:type="dxa"/>
              <w:right w:w="57" w:type="dxa"/>
            </w:tcMar>
            <w:vAlign w:val="center"/>
          </w:tcPr>
          <w:p w:rsidR="005F0788" w:rsidRPr="00E6047A" w:rsidRDefault="005F0788" w:rsidP="005F0788">
            <w:pPr>
              <w:autoSpaceDE w:val="0"/>
              <w:snapToGrid w:val="0"/>
              <w:spacing w:line="276" w:lineRule="auto"/>
              <w:jc w:val="center"/>
              <w:rPr>
                <w:rFonts w:eastAsiaTheme="minorHAnsi" w:cs="Arial"/>
                <w:b/>
                <w:sz w:val="20"/>
                <w:szCs w:val="20"/>
              </w:rPr>
            </w:pPr>
          </w:p>
        </w:tc>
        <w:tc>
          <w:tcPr>
            <w:tcW w:w="812" w:type="dxa"/>
            <w:tcBorders>
              <w:top w:val="nil"/>
              <w:left w:val="single" w:sz="8" w:space="0" w:color="000000"/>
              <w:bottom w:val="single" w:sz="8" w:space="0" w:color="000000"/>
              <w:right w:val="nil"/>
            </w:tcBorders>
            <w:shd w:val="clear" w:color="auto" w:fill="D6E3BC" w:themeFill="accent3" w:themeFillTint="66"/>
            <w:tcMar>
              <w:top w:w="28" w:type="dxa"/>
              <w:left w:w="57" w:type="dxa"/>
              <w:bottom w:w="28" w:type="dxa"/>
              <w:right w:w="57" w:type="dxa"/>
            </w:tcMar>
            <w:vAlign w:val="center"/>
          </w:tcPr>
          <w:p w:rsidR="005F0788" w:rsidRPr="00E6047A" w:rsidRDefault="005F0788" w:rsidP="005F0788">
            <w:pPr>
              <w:autoSpaceDE w:val="0"/>
              <w:snapToGrid w:val="0"/>
              <w:spacing w:line="276" w:lineRule="auto"/>
              <w:jc w:val="center"/>
              <w:rPr>
                <w:rFonts w:eastAsiaTheme="minorHAnsi" w:cs="Arial"/>
                <w:b/>
                <w:sz w:val="20"/>
                <w:szCs w:val="20"/>
              </w:rPr>
            </w:pPr>
          </w:p>
        </w:tc>
        <w:tc>
          <w:tcPr>
            <w:tcW w:w="800" w:type="dxa"/>
            <w:tcBorders>
              <w:top w:val="nil"/>
              <w:left w:val="single" w:sz="8" w:space="0" w:color="000000"/>
              <w:bottom w:val="single" w:sz="8" w:space="0" w:color="000000"/>
              <w:right w:val="nil"/>
            </w:tcBorders>
            <w:shd w:val="clear" w:color="auto" w:fill="D6E3BC" w:themeFill="accent3" w:themeFillTint="66"/>
            <w:tcMar>
              <w:top w:w="28" w:type="dxa"/>
              <w:left w:w="57" w:type="dxa"/>
              <w:bottom w:w="28" w:type="dxa"/>
              <w:right w:w="57" w:type="dxa"/>
            </w:tcMar>
            <w:vAlign w:val="center"/>
          </w:tcPr>
          <w:p w:rsidR="005F0788" w:rsidRPr="00E6047A" w:rsidRDefault="005F0788" w:rsidP="005F0788">
            <w:pPr>
              <w:autoSpaceDE w:val="0"/>
              <w:snapToGrid w:val="0"/>
              <w:spacing w:line="276" w:lineRule="auto"/>
              <w:jc w:val="center"/>
              <w:rPr>
                <w:rFonts w:eastAsiaTheme="minorHAnsi" w:cs="Arial"/>
                <w:b/>
                <w:sz w:val="20"/>
                <w:szCs w:val="20"/>
              </w:rPr>
            </w:pPr>
          </w:p>
        </w:tc>
        <w:tc>
          <w:tcPr>
            <w:tcW w:w="1152" w:type="dxa"/>
            <w:tcBorders>
              <w:top w:val="nil"/>
              <w:left w:val="single" w:sz="8" w:space="0" w:color="000000"/>
              <w:bottom w:val="single" w:sz="8" w:space="0" w:color="000000"/>
              <w:right w:val="nil"/>
            </w:tcBorders>
            <w:shd w:val="clear" w:color="auto" w:fill="D6E3BC" w:themeFill="accent3" w:themeFillTint="66"/>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b/>
                <w:sz w:val="20"/>
                <w:szCs w:val="20"/>
              </w:rPr>
            </w:pPr>
            <w:r w:rsidRPr="00E6047A">
              <w:rPr>
                <w:rFonts w:cs="Arial"/>
                <w:b/>
                <w:sz w:val="20"/>
                <w:szCs w:val="20"/>
              </w:rPr>
              <w:t>VALUE</w:t>
            </w:r>
          </w:p>
        </w:tc>
        <w:tc>
          <w:tcPr>
            <w:tcW w:w="865" w:type="dxa"/>
            <w:tcBorders>
              <w:top w:val="nil"/>
              <w:left w:val="single" w:sz="8" w:space="0" w:color="000000"/>
              <w:bottom w:val="single" w:sz="8" w:space="0" w:color="000000"/>
              <w:right w:val="nil"/>
            </w:tcBorders>
            <w:shd w:val="clear" w:color="auto" w:fill="D6E3BC" w:themeFill="accent3" w:themeFillTint="66"/>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b/>
                <w:sz w:val="20"/>
                <w:szCs w:val="20"/>
              </w:rPr>
            </w:pPr>
            <w:r w:rsidRPr="00E6047A">
              <w:rPr>
                <w:rFonts w:cs="Arial"/>
                <w:b/>
                <w:sz w:val="20"/>
                <w:szCs w:val="20"/>
              </w:rPr>
              <w:t>(Bits)</w:t>
            </w:r>
          </w:p>
        </w:tc>
        <w:tc>
          <w:tcPr>
            <w:tcW w:w="768" w:type="dxa"/>
            <w:tcBorders>
              <w:top w:val="nil"/>
              <w:left w:val="single" w:sz="8" w:space="0" w:color="000000"/>
              <w:bottom w:val="single" w:sz="8" w:space="0" w:color="000000"/>
              <w:right w:val="nil"/>
            </w:tcBorders>
            <w:shd w:val="clear" w:color="auto" w:fill="D6E3BC" w:themeFill="accent3" w:themeFillTint="66"/>
            <w:tcMar>
              <w:top w:w="28" w:type="dxa"/>
              <w:left w:w="57" w:type="dxa"/>
              <w:bottom w:w="28" w:type="dxa"/>
              <w:right w:w="57" w:type="dxa"/>
            </w:tcMar>
            <w:vAlign w:val="center"/>
          </w:tcPr>
          <w:p w:rsidR="005F0788" w:rsidRPr="00E6047A" w:rsidRDefault="005F0788" w:rsidP="005F0788">
            <w:pPr>
              <w:autoSpaceDE w:val="0"/>
              <w:snapToGrid w:val="0"/>
              <w:spacing w:line="276" w:lineRule="auto"/>
              <w:jc w:val="center"/>
              <w:rPr>
                <w:rFonts w:eastAsiaTheme="minorHAnsi" w:cs="Arial"/>
                <w:b/>
                <w:sz w:val="20"/>
                <w:szCs w:val="20"/>
              </w:rPr>
            </w:pPr>
          </w:p>
        </w:tc>
        <w:tc>
          <w:tcPr>
            <w:tcW w:w="720" w:type="dxa"/>
            <w:tcBorders>
              <w:top w:val="nil"/>
              <w:left w:val="single" w:sz="8" w:space="0" w:color="000000"/>
              <w:bottom w:val="single" w:sz="8" w:space="0" w:color="000000"/>
              <w:right w:val="nil"/>
            </w:tcBorders>
            <w:shd w:val="clear" w:color="auto" w:fill="D6E3BC" w:themeFill="accent3" w:themeFillTint="66"/>
            <w:tcMar>
              <w:top w:w="28" w:type="dxa"/>
              <w:left w:w="57" w:type="dxa"/>
              <w:bottom w:w="28" w:type="dxa"/>
              <w:right w:w="57" w:type="dxa"/>
            </w:tcMar>
            <w:vAlign w:val="center"/>
          </w:tcPr>
          <w:p w:rsidR="005F0788" w:rsidRPr="00E6047A" w:rsidRDefault="005F0788" w:rsidP="005F0788">
            <w:pPr>
              <w:autoSpaceDE w:val="0"/>
              <w:snapToGrid w:val="0"/>
              <w:spacing w:line="276" w:lineRule="auto"/>
              <w:jc w:val="center"/>
              <w:rPr>
                <w:rFonts w:eastAsiaTheme="minorHAnsi" w:cs="Arial"/>
                <w:b/>
                <w:sz w:val="20"/>
                <w:szCs w:val="20"/>
              </w:rPr>
            </w:pPr>
          </w:p>
        </w:tc>
        <w:tc>
          <w:tcPr>
            <w:tcW w:w="1057" w:type="dxa"/>
            <w:tcBorders>
              <w:top w:val="nil"/>
              <w:left w:val="single" w:sz="8" w:space="0" w:color="000000"/>
              <w:bottom w:val="single" w:sz="8" w:space="0" w:color="000000"/>
              <w:right w:val="single" w:sz="8" w:space="0" w:color="000000"/>
            </w:tcBorders>
            <w:shd w:val="clear" w:color="auto" w:fill="D6E3BC" w:themeFill="accent3" w:themeFillTint="66"/>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b/>
                <w:sz w:val="20"/>
                <w:szCs w:val="20"/>
              </w:rPr>
            </w:pPr>
            <w:r w:rsidRPr="00E6047A">
              <w:rPr>
                <w:rFonts w:cs="Arial"/>
                <w:b/>
                <w:sz w:val="20"/>
                <w:szCs w:val="20"/>
              </w:rPr>
              <w:t>(Characters)</w:t>
            </w:r>
          </w:p>
        </w:tc>
      </w:tr>
      <w:tr w:rsidR="005F0788" w:rsidRPr="00E6047A" w:rsidTr="005F0788">
        <w:trPr>
          <w:trHeight w:val="658"/>
        </w:trPr>
        <w:tc>
          <w:tcPr>
            <w:tcW w:w="131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cs="Arial"/>
                <w:sz w:val="20"/>
                <w:szCs w:val="20"/>
              </w:rPr>
              <w:t>0 15 063</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cs="Arial"/>
                <w:color w:val="FF0000"/>
                <w:sz w:val="20"/>
                <w:szCs w:val="20"/>
              </w:rPr>
              <w:t>Attenuated Backscatter</w:t>
            </w:r>
          </w:p>
        </w:tc>
        <w:tc>
          <w:tcPr>
            <w:tcW w:w="81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m</w:t>
            </w:r>
            <w:r w:rsidRPr="00E6047A">
              <w:rPr>
                <w:rFonts w:eastAsia="Times New Roman" w:cs="Arial"/>
                <w:sz w:val="20"/>
                <w:szCs w:val="20"/>
                <w:vertAlign w:val="superscript"/>
              </w:rPr>
              <w:noBreakHyphen/>
              <w:t>1</w:t>
            </w:r>
            <w:r w:rsidRPr="00E6047A">
              <w:rPr>
                <w:rFonts w:eastAsia="Times New Roman" w:cs="Arial"/>
                <w:sz w:val="20"/>
                <w:szCs w:val="20"/>
              </w:rPr>
              <w:t>.Sr</w:t>
            </w:r>
            <w:r w:rsidRPr="00E6047A">
              <w:rPr>
                <w:rFonts w:eastAsia="Times New Roman" w:cs="Arial"/>
                <w:sz w:val="20"/>
                <w:szCs w:val="20"/>
                <w:vertAlign w:val="superscript"/>
              </w:rPr>
              <w:noBreakHyphen/>
              <w:t>1</w:t>
            </w:r>
          </w:p>
        </w:tc>
        <w:tc>
          <w:tcPr>
            <w:tcW w:w="80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8</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865"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20</w:t>
            </w:r>
          </w:p>
        </w:tc>
        <w:tc>
          <w:tcPr>
            <w:tcW w:w="76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m</w:t>
            </w:r>
            <w:r w:rsidRPr="00E6047A">
              <w:rPr>
                <w:rFonts w:eastAsia="Times New Roman" w:cs="Arial"/>
                <w:sz w:val="20"/>
                <w:szCs w:val="20"/>
                <w:vertAlign w:val="superscript"/>
              </w:rPr>
              <w:noBreakHyphen/>
              <w:t>1</w:t>
            </w:r>
            <w:r w:rsidRPr="00E6047A">
              <w:rPr>
                <w:rFonts w:eastAsia="Times New Roman" w:cs="Arial"/>
                <w:sz w:val="20"/>
                <w:szCs w:val="20"/>
              </w:rPr>
              <w:t>.Sr</w:t>
            </w:r>
            <w:r w:rsidRPr="00E6047A">
              <w:rPr>
                <w:rFonts w:eastAsia="Times New Roman" w:cs="Arial"/>
                <w:sz w:val="20"/>
                <w:szCs w:val="20"/>
                <w:vertAlign w:val="superscript"/>
              </w:rPr>
              <w:noBreakHyphen/>
              <w:t>1</w:t>
            </w:r>
          </w:p>
        </w:tc>
        <w:tc>
          <w:tcPr>
            <w:tcW w:w="72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1057" w:type="dxa"/>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6</w:t>
            </w:r>
          </w:p>
        </w:tc>
      </w:tr>
      <w:tr w:rsidR="005F0788" w:rsidRPr="00E6047A" w:rsidTr="005F0788">
        <w:trPr>
          <w:trHeight w:val="1046"/>
        </w:trPr>
        <w:tc>
          <w:tcPr>
            <w:tcW w:w="131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cs="Arial"/>
                <w:sz w:val="20"/>
                <w:szCs w:val="20"/>
              </w:rPr>
              <w:t>0 15 064</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cs="Arial"/>
                <w:color w:val="FF0000"/>
                <w:sz w:val="20"/>
                <w:szCs w:val="20"/>
              </w:rPr>
              <w:t>Uncertainty in Attenuated Backscatter</w:t>
            </w:r>
          </w:p>
        </w:tc>
        <w:tc>
          <w:tcPr>
            <w:tcW w:w="81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m</w:t>
            </w:r>
            <w:r w:rsidRPr="00E6047A">
              <w:rPr>
                <w:rFonts w:eastAsia="Times New Roman" w:cs="Arial"/>
                <w:sz w:val="20"/>
                <w:szCs w:val="20"/>
                <w:vertAlign w:val="superscript"/>
              </w:rPr>
              <w:noBreakHyphen/>
              <w:t>1</w:t>
            </w:r>
            <w:r w:rsidRPr="00E6047A">
              <w:rPr>
                <w:rFonts w:eastAsia="Times New Roman" w:cs="Arial"/>
                <w:sz w:val="20"/>
                <w:szCs w:val="20"/>
              </w:rPr>
              <w:t>.Sr</w:t>
            </w:r>
            <w:r w:rsidRPr="00E6047A">
              <w:rPr>
                <w:rFonts w:eastAsia="Times New Roman" w:cs="Arial"/>
                <w:sz w:val="20"/>
                <w:szCs w:val="20"/>
                <w:vertAlign w:val="superscript"/>
              </w:rPr>
              <w:noBreakHyphen/>
              <w:t>1</w:t>
            </w:r>
          </w:p>
        </w:tc>
        <w:tc>
          <w:tcPr>
            <w:tcW w:w="80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8</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865"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20</w:t>
            </w:r>
          </w:p>
        </w:tc>
        <w:tc>
          <w:tcPr>
            <w:tcW w:w="76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m</w:t>
            </w:r>
            <w:r w:rsidRPr="00E6047A">
              <w:rPr>
                <w:rFonts w:eastAsia="Times New Roman" w:cs="Arial"/>
                <w:sz w:val="20"/>
                <w:szCs w:val="20"/>
                <w:vertAlign w:val="superscript"/>
              </w:rPr>
              <w:noBreakHyphen/>
              <w:t>1</w:t>
            </w:r>
            <w:r w:rsidRPr="00E6047A">
              <w:rPr>
                <w:rFonts w:eastAsia="Times New Roman" w:cs="Arial"/>
                <w:sz w:val="20"/>
                <w:szCs w:val="20"/>
              </w:rPr>
              <w:t>.Sr</w:t>
            </w:r>
            <w:r w:rsidRPr="00E6047A">
              <w:rPr>
                <w:rFonts w:eastAsia="Times New Roman" w:cs="Arial"/>
                <w:sz w:val="20"/>
                <w:szCs w:val="20"/>
                <w:vertAlign w:val="superscript"/>
              </w:rPr>
              <w:noBreakHyphen/>
              <w:t>1</w:t>
            </w:r>
          </w:p>
        </w:tc>
        <w:tc>
          <w:tcPr>
            <w:tcW w:w="72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1057" w:type="dxa"/>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6</w:t>
            </w:r>
          </w:p>
        </w:tc>
      </w:tr>
      <w:tr w:rsidR="005F0788" w:rsidRPr="00E6047A" w:rsidTr="005F0788">
        <w:trPr>
          <w:trHeight w:val="658"/>
        </w:trPr>
        <w:tc>
          <w:tcPr>
            <w:tcW w:w="131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cs="Arial"/>
                <w:sz w:val="20"/>
                <w:szCs w:val="20"/>
              </w:rPr>
              <w:t>0 15 065</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cs="Arial"/>
                <w:color w:val="FF0000"/>
                <w:sz w:val="20"/>
                <w:szCs w:val="20"/>
              </w:rPr>
              <w:t>Particle Backscatter Coefficient</w:t>
            </w:r>
          </w:p>
        </w:tc>
        <w:tc>
          <w:tcPr>
            <w:tcW w:w="81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m</w:t>
            </w:r>
            <w:r w:rsidRPr="00E6047A">
              <w:rPr>
                <w:rFonts w:eastAsia="Times New Roman" w:cs="Arial"/>
                <w:sz w:val="20"/>
                <w:szCs w:val="20"/>
                <w:vertAlign w:val="superscript"/>
              </w:rPr>
              <w:noBreakHyphen/>
              <w:t>1</w:t>
            </w:r>
            <w:r w:rsidRPr="00E6047A">
              <w:rPr>
                <w:rFonts w:eastAsia="Times New Roman" w:cs="Arial"/>
                <w:sz w:val="20"/>
                <w:szCs w:val="20"/>
              </w:rPr>
              <w:t>.Sr</w:t>
            </w:r>
            <w:r w:rsidRPr="00E6047A">
              <w:rPr>
                <w:rFonts w:eastAsia="Times New Roman" w:cs="Arial"/>
                <w:sz w:val="20"/>
                <w:szCs w:val="20"/>
                <w:vertAlign w:val="superscript"/>
              </w:rPr>
              <w:noBreakHyphen/>
              <w:t>1</w:t>
            </w:r>
          </w:p>
        </w:tc>
        <w:tc>
          <w:tcPr>
            <w:tcW w:w="80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8</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865"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20</w:t>
            </w:r>
          </w:p>
        </w:tc>
        <w:tc>
          <w:tcPr>
            <w:tcW w:w="76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m</w:t>
            </w:r>
            <w:r w:rsidRPr="00E6047A">
              <w:rPr>
                <w:rFonts w:eastAsia="Times New Roman" w:cs="Arial"/>
                <w:sz w:val="20"/>
                <w:szCs w:val="20"/>
                <w:vertAlign w:val="superscript"/>
              </w:rPr>
              <w:noBreakHyphen/>
              <w:t>1</w:t>
            </w:r>
            <w:r w:rsidRPr="00E6047A">
              <w:rPr>
                <w:rFonts w:eastAsia="Times New Roman" w:cs="Arial"/>
                <w:sz w:val="20"/>
                <w:szCs w:val="20"/>
              </w:rPr>
              <w:t>.Sr</w:t>
            </w:r>
            <w:r w:rsidRPr="00E6047A">
              <w:rPr>
                <w:rFonts w:eastAsia="Times New Roman" w:cs="Arial"/>
                <w:sz w:val="20"/>
                <w:szCs w:val="20"/>
                <w:vertAlign w:val="superscript"/>
              </w:rPr>
              <w:noBreakHyphen/>
              <w:t>1</w:t>
            </w:r>
          </w:p>
        </w:tc>
        <w:tc>
          <w:tcPr>
            <w:tcW w:w="72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1057" w:type="dxa"/>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6</w:t>
            </w:r>
          </w:p>
        </w:tc>
      </w:tr>
      <w:tr w:rsidR="005F0788" w:rsidRPr="00E6047A" w:rsidTr="005F0788">
        <w:trPr>
          <w:trHeight w:val="335"/>
        </w:trPr>
        <w:tc>
          <w:tcPr>
            <w:tcW w:w="131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cs="Arial"/>
                <w:sz w:val="20"/>
                <w:szCs w:val="20"/>
              </w:rPr>
              <w:lastRenderedPageBreak/>
              <w:t>0 15 066</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cs="Arial"/>
                <w:color w:val="FF0000"/>
                <w:sz w:val="20"/>
                <w:szCs w:val="20"/>
              </w:rPr>
              <w:t>Uncertainty in Particle Backscatter Coefficient</w:t>
            </w:r>
          </w:p>
        </w:tc>
        <w:tc>
          <w:tcPr>
            <w:tcW w:w="81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m</w:t>
            </w:r>
            <w:r w:rsidRPr="00E6047A">
              <w:rPr>
                <w:rFonts w:eastAsia="Times New Roman" w:cs="Arial"/>
                <w:sz w:val="20"/>
                <w:szCs w:val="20"/>
                <w:vertAlign w:val="superscript"/>
              </w:rPr>
              <w:noBreakHyphen/>
              <w:t>1</w:t>
            </w:r>
            <w:r w:rsidRPr="00E6047A">
              <w:rPr>
                <w:rFonts w:eastAsia="Times New Roman" w:cs="Arial"/>
                <w:sz w:val="20"/>
                <w:szCs w:val="20"/>
              </w:rPr>
              <w:t>.Sr</w:t>
            </w:r>
            <w:r w:rsidRPr="00E6047A">
              <w:rPr>
                <w:rFonts w:eastAsia="Times New Roman" w:cs="Arial"/>
                <w:sz w:val="20"/>
                <w:szCs w:val="20"/>
                <w:vertAlign w:val="superscript"/>
              </w:rPr>
              <w:noBreakHyphen/>
              <w:t>1</w:t>
            </w:r>
          </w:p>
        </w:tc>
        <w:tc>
          <w:tcPr>
            <w:tcW w:w="80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8</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865"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20</w:t>
            </w:r>
          </w:p>
        </w:tc>
        <w:tc>
          <w:tcPr>
            <w:tcW w:w="76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m</w:t>
            </w:r>
            <w:r w:rsidRPr="00E6047A">
              <w:rPr>
                <w:rFonts w:eastAsia="Times New Roman" w:cs="Arial"/>
                <w:sz w:val="20"/>
                <w:szCs w:val="20"/>
                <w:vertAlign w:val="superscript"/>
              </w:rPr>
              <w:noBreakHyphen/>
              <w:t>1</w:t>
            </w:r>
            <w:r w:rsidRPr="00E6047A">
              <w:rPr>
                <w:rFonts w:eastAsia="Times New Roman" w:cs="Arial"/>
                <w:sz w:val="20"/>
                <w:szCs w:val="20"/>
              </w:rPr>
              <w:t>.Sr</w:t>
            </w:r>
            <w:r w:rsidRPr="00E6047A">
              <w:rPr>
                <w:rFonts w:eastAsia="Times New Roman" w:cs="Arial"/>
                <w:sz w:val="20"/>
                <w:szCs w:val="20"/>
                <w:vertAlign w:val="superscript"/>
              </w:rPr>
              <w:noBreakHyphen/>
              <w:t>1</w:t>
            </w:r>
          </w:p>
        </w:tc>
        <w:tc>
          <w:tcPr>
            <w:tcW w:w="72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1057" w:type="dxa"/>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6</w:t>
            </w:r>
          </w:p>
        </w:tc>
      </w:tr>
      <w:tr w:rsidR="005F0788" w:rsidRPr="00E6047A" w:rsidTr="005F0788">
        <w:trPr>
          <w:trHeight w:val="658"/>
        </w:trPr>
        <w:tc>
          <w:tcPr>
            <w:tcW w:w="131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cs="Arial"/>
                <w:sz w:val="20"/>
                <w:szCs w:val="20"/>
              </w:rPr>
              <w:t>0 15 067</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cs="Arial"/>
                <w:color w:val="FF0000"/>
                <w:sz w:val="20"/>
                <w:szCs w:val="20"/>
              </w:rPr>
              <w:t>Particle Extinction Coefficient</w:t>
            </w:r>
          </w:p>
        </w:tc>
        <w:tc>
          <w:tcPr>
            <w:tcW w:w="81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m</w:t>
            </w:r>
            <w:r w:rsidRPr="00E6047A">
              <w:rPr>
                <w:rFonts w:eastAsia="Times New Roman" w:cs="Arial"/>
                <w:sz w:val="20"/>
                <w:szCs w:val="20"/>
                <w:vertAlign w:val="superscript"/>
              </w:rPr>
              <w:noBreakHyphen/>
              <w:t>1</w:t>
            </w:r>
          </w:p>
        </w:tc>
        <w:tc>
          <w:tcPr>
            <w:tcW w:w="80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8</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865"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20</w:t>
            </w:r>
          </w:p>
        </w:tc>
        <w:tc>
          <w:tcPr>
            <w:tcW w:w="76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m</w:t>
            </w:r>
            <w:r w:rsidRPr="00E6047A">
              <w:rPr>
                <w:rFonts w:eastAsia="Times New Roman" w:cs="Arial"/>
                <w:sz w:val="20"/>
                <w:szCs w:val="20"/>
                <w:vertAlign w:val="superscript"/>
              </w:rPr>
              <w:noBreakHyphen/>
              <w:t>1</w:t>
            </w:r>
            <w:r w:rsidRPr="00E6047A">
              <w:rPr>
                <w:rFonts w:eastAsia="Times New Roman" w:cs="Arial"/>
                <w:sz w:val="20"/>
                <w:szCs w:val="20"/>
              </w:rPr>
              <w:t>.Sr</w:t>
            </w:r>
            <w:r w:rsidRPr="00E6047A">
              <w:rPr>
                <w:rFonts w:eastAsia="Times New Roman" w:cs="Arial"/>
                <w:sz w:val="20"/>
                <w:szCs w:val="20"/>
                <w:vertAlign w:val="superscript"/>
              </w:rPr>
              <w:noBreakHyphen/>
              <w:t>1</w:t>
            </w:r>
          </w:p>
        </w:tc>
        <w:tc>
          <w:tcPr>
            <w:tcW w:w="72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1057" w:type="dxa"/>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6</w:t>
            </w:r>
          </w:p>
        </w:tc>
      </w:tr>
      <w:tr w:rsidR="005F0788" w:rsidRPr="00E6047A" w:rsidTr="005F0788">
        <w:trPr>
          <w:trHeight w:val="335"/>
        </w:trPr>
        <w:tc>
          <w:tcPr>
            <w:tcW w:w="131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cs="Arial"/>
                <w:sz w:val="20"/>
                <w:szCs w:val="20"/>
              </w:rPr>
              <w:t>0 15 068</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cs="Arial"/>
                <w:color w:val="FF0000"/>
                <w:sz w:val="20"/>
                <w:szCs w:val="20"/>
              </w:rPr>
              <w:t>Uncertainty in Particle Extinction Coefficient</w:t>
            </w:r>
          </w:p>
        </w:tc>
        <w:tc>
          <w:tcPr>
            <w:tcW w:w="81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m</w:t>
            </w:r>
            <w:r w:rsidRPr="00E6047A">
              <w:rPr>
                <w:rFonts w:eastAsia="Times New Roman" w:cs="Arial"/>
                <w:sz w:val="20"/>
                <w:szCs w:val="20"/>
                <w:vertAlign w:val="superscript"/>
              </w:rPr>
              <w:noBreakHyphen/>
              <w:t>1</w:t>
            </w:r>
          </w:p>
        </w:tc>
        <w:tc>
          <w:tcPr>
            <w:tcW w:w="80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8</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865"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20</w:t>
            </w:r>
          </w:p>
        </w:tc>
        <w:tc>
          <w:tcPr>
            <w:tcW w:w="76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m</w:t>
            </w:r>
            <w:r w:rsidRPr="00E6047A">
              <w:rPr>
                <w:rFonts w:eastAsia="Times New Roman" w:cs="Arial"/>
                <w:sz w:val="20"/>
                <w:szCs w:val="20"/>
                <w:vertAlign w:val="superscript"/>
              </w:rPr>
              <w:noBreakHyphen/>
              <w:t>1</w:t>
            </w:r>
            <w:r w:rsidRPr="00E6047A">
              <w:rPr>
                <w:rFonts w:eastAsia="Times New Roman" w:cs="Arial"/>
                <w:sz w:val="20"/>
                <w:szCs w:val="20"/>
              </w:rPr>
              <w:t>.Sr</w:t>
            </w:r>
            <w:r w:rsidRPr="00E6047A">
              <w:rPr>
                <w:rFonts w:eastAsia="Times New Roman" w:cs="Arial"/>
                <w:sz w:val="20"/>
                <w:szCs w:val="20"/>
                <w:vertAlign w:val="superscript"/>
              </w:rPr>
              <w:noBreakHyphen/>
              <w:t>1</w:t>
            </w:r>
          </w:p>
        </w:tc>
        <w:tc>
          <w:tcPr>
            <w:tcW w:w="72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1057" w:type="dxa"/>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6</w:t>
            </w:r>
          </w:p>
        </w:tc>
      </w:tr>
      <w:tr w:rsidR="005F0788" w:rsidRPr="00E6047A" w:rsidTr="005F0788">
        <w:trPr>
          <w:trHeight w:val="326"/>
        </w:trPr>
        <w:tc>
          <w:tcPr>
            <w:tcW w:w="131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cs="Arial"/>
                <w:sz w:val="20"/>
                <w:szCs w:val="20"/>
              </w:rPr>
              <w:t>0 15 069</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color w:val="FF0000"/>
                <w:sz w:val="20"/>
                <w:szCs w:val="20"/>
              </w:rPr>
            </w:pPr>
            <w:r w:rsidRPr="00E6047A">
              <w:rPr>
                <w:rFonts w:cs="Arial"/>
                <w:color w:val="FF0000"/>
                <w:sz w:val="20"/>
                <w:szCs w:val="20"/>
              </w:rPr>
              <w:t>Particle LIDAR Ratio</w:t>
            </w:r>
          </w:p>
        </w:tc>
        <w:tc>
          <w:tcPr>
            <w:tcW w:w="81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Sr</w:t>
            </w:r>
          </w:p>
        </w:tc>
        <w:tc>
          <w:tcPr>
            <w:tcW w:w="80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2</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865"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14</w:t>
            </w:r>
          </w:p>
        </w:tc>
        <w:tc>
          <w:tcPr>
            <w:tcW w:w="76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Sr</w:t>
            </w:r>
          </w:p>
        </w:tc>
        <w:tc>
          <w:tcPr>
            <w:tcW w:w="72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1057" w:type="dxa"/>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4</w:t>
            </w:r>
          </w:p>
        </w:tc>
      </w:tr>
      <w:tr w:rsidR="005F0788" w:rsidRPr="00E6047A" w:rsidTr="005F0788">
        <w:trPr>
          <w:trHeight w:val="360"/>
        </w:trPr>
        <w:tc>
          <w:tcPr>
            <w:tcW w:w="131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cs="Arial"/>
                <w:sz w:val="20"/>
                <w:szCs w:val="20"/>
              </w:rPr>
              <w:t>0 15 070</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color w:val="FF0000"/>
                <w:sz w:val="20"/>
                <w:szCs w:val="20"/>
              </w:rPr>
            </w:pPr>
            <w:r w:rsidRPr="00E6047A">
              <w:rPr>
                <w:rFonts w:cs="Arial"/>
                <w:color w:val="FF0000"/>
                <w:sz w:val="20"/>
                <w:szCs w:val="20"/>
              </w:rPr>
              <w:t>Uncertainty in LIDAR Ratio</w:t>
            </w:r>
          </w:p>
        </w:tc>
        <w:tc>
          <w:tcPr>
            <w:tcW w:w="81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Sr</w:t>
            </w:r>
          </w:p>
        </w:tc>
        <w:tc>
          <w:tcPr>
            <w:tcW w:w="80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2</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865"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14</w:t>
            </w:r>
          </w:p>
        </w:tc>
        <w:tc>
          <w:tcPr>
            <w:tcW w:w="76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Sr</w:t>
            </w:r>
          </w:p>
        </w:tc>
        <w:tc>
          <w:tcPr>
            <w:tcW w:w="72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1057" w:type="dxa"/>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4</w:t>
            </w:r>
          </w:p>
        </w:tc>
      </w:tr>
      <w:tr w:rsidR="005F0788" w:rsidRPr="00E6047A" w:rsidTr="005F0788">
        <w:trPr>
          <w:trHeight w:val="493"/>
        </w:trPr>
        <w:tc>
          <w:tcPr>
            <w:tcW w:w="131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cs="Arial"/>
                <w:sz w:val="20"/>
                <w:szCs w:val="20"/>
              </w:rPr>
              <w:t>0 15 071</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color w:val="FF0000"/>
                <w:sz w:val="20"/>
                <w:szCs w:val="20"/>
              </w:rPr>
            </w:pPr>
            <w:r w:rsidRPr="00E6047A">
              <w:rPr>
                <w:rFonts w:cs="Arial"/>
                <w:color w:val="FF0000"/>
                <w:sz w:val="20"/>
                <w:szCs w:val="20"/>
              </w:rPr>
              <w:t>Particle Depolarization Ratio</w:t>
            </w:r>
          </w:p>
        </w:tc>
        <w:tc>
          <w:tcPr>
            <w:tcW w:w="81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w:t>
            </w:r>
          </w:p>
        </w:tc>
        <w:tc>
          <w:tcPr>
            <w:tcW w:w="80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2</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865"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14</w:t>
            </w:r>
          </w:p>
        </w:tc>
        <w:tc>
          <w:tcPr>
            <w:tcW w:w="76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w:t>
            </w:r>
          </w:p>
        </w:tc>
        <w:tc>
          <w:tcPr>
            <w:tcW w:w="72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1057" w:type="dxa"/>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4</w:t>
            </w:r>
          </w:p>
        </w:tc>
      </w:tr>
      <w:tr w:rsidR="005F0788" w:rsidRPr="00E6047A" w:rsidTr="005F0788">
        <w:trPr>
          <w:trHeight w:val="656"/>
        </w:trPr>
        <w:tc>
          <w:tcPr>
            <w:tcW w:w="131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cs="Arial"/>
                <w:sz w:val="20"/>
                <w:szCs w:val="20"/>
              </w:rPr>
              <w:t>0 15 072</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color w:val="FF0000"/>
                <w:sz w:val="20"/>
                <w:szCs w:val="20"/>
              </w:rPr>
            </w:pPr>
            <w:r w:rsidRPr="00E6047A">
              <w:rPr>
                <w:rFonts w:cs="Arial"/>
                <w:color w:val="FF0000"/>
                <w:sz w:val="20"/>
                <w:szCs w:val="20"/>
              </w:rPr>
              <w:t>Uncertainty in Depolarization Ratio</w:t>
            </w:r>
          </w:p>
        </w:tc>
        <w:tc>
          <w:tcPr>
            <w:tcW w:w="81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w:t>
            </w:r>
          </w:p>
        </w:tc>
        <w:tc>
          <w:tcPr>
            <w:tcW w:w="80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2</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865"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14</w:t>
            </w:r>
          </w:p>
        </w:tc>
        <w:tc>
          <w:tcPr>
            <w:tcW w:w="76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w:t>
            </w:r>
          </w:p>
        </w:tc>
        <w:tc>
          <w:tcPr>
            <w:tcW w:w="72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1057" w:type="dxa"/>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4</w:t>
            </w:r>
          </w:p>
        </w:tc>
      </w:tr>
      <w:tr w:rsidR="005F0788" w:rsidRPr="00E6047A" w:rsidTr="005F0788">
        <w:trPr>
          <w:trHeight w:val="656"/>
        </w:trPr>
        <w:tc>
          <w:tcPr>
            <w:tcW w:w="131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cs="Arial"/>
                <w:sz w:val="20"/>
                <w:szCs w:val="20"/>
              </w:rPr>
              <w:t>0 27 079</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color w:val="FF0000"/>
                <w:sz w:val="20"/>
                <w:szCs w:val="20"/>
              </w:rPr>
            </w:pPr>
            <w:r w:rsidRPr="00E6047A">
              <w:rPr>
                <w:rFonts w:cs="Arial"/>
                <w:color w:val="FF0000"/>
                <w:sz w:val="20"/>
                <w:szCs w:val="20"/>
              </w:rPr>
              <w:t>Horizontal Width of sampled volume.</w:t>
            </w:r>
          </w:p>
        </w:tc>
        <w:tc>
          <w:tcPr>
            <w:tcW w:w="81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m</w:t>
            </w:r>
          </w:p>
        </w:tc>
        <w:tc>
          <w:tcPr>
            <w:tcW w:w="80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865"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18</w:t>
            </w:r>
          </w:p>
        </w:tc>
        <w:tc>
          <w:tcPr>
            <w:tcW w:w="76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m</w:t>
            </w:r>
          </w:p>
        </w:tc>
        <w:tc>
          <w:tcPr>
            <w:tcW w:w="72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0</w:t>
            </w:r>
          </w:p>
        </w:tc>
        <w:tc>
          <w:tcPr>
            <w:tcW w:w="1057" w:type="dxa"/>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vAlign w:val="center"/>
            <w:hideMark/>
          </w:tcPr>
          <w:p w:rsidR="005F0788" w:rsidRPr="00E6047A" w:rsidRDefault="005F0788" w:rsidP="005F0788">
            <w:pPr>
              <w:jc w:val="center"/>
              <w:rPr>
                <w:rFonts w:eastAsia="Times New Roman" w:cs="Arial"/>
                <w:sz w:val="20"/>
                <w:szCs w:val="20"/>
              </w:rPr>
            </w:pPr>
            <w:r w:rsidRPr="00E6047A">
              <w:rPr>
                <w:rFonts w:eastAsia="Times New Roman" w:cs="Arial"/>
                <w:sz w:val="20"/>
                <w:szCs w:val="20"/>
              </w:rPr>
              <w:t>6</w:t>
            </w:r>
          </w:p>
        </w:tc>
      </w:tr>
      <w:tr w:rsidR="005F0788" w:rsidRPr="00E6047A" w:rsidTr="005F0788">
        <w:trPr>
          <w:trHeight w:val="496"/>
        </w:trPr>
        <w:tc>
          <w:tcPr>
            <w:tcW w:w="131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snapToGrid w:val="0"/>
              <w:spacing w:line="276" w:lineRule="auto"/>
              <w:jc w:val="center"/>
              <w:rPr>
                <w:rFonts w:eastAsiaTheme="minorHAnsi" w:cs="Arial"/>
                <w:sz w:val="20"/>
                <w:szCs w:val="20"/>
              </w:rPr>
            </w:pPr>
            <w:r w:rsidRPr="00E6047A">
              <w:rPr>
                <w:rFonts w:cs="Arial"/>
                <w:sz w:val="20"/>
                <w:szCs w:val="20"/>
              </w:rPr>
              <w:t>0 10 071</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cs="Arial"/>
                <w:sz w:val="20"/>
                <w:szCs w:val="20"/>
              </w:rPr>
              <w:t>Vertical resolution</w:t>
            </w:r>
          </w:p>
        </w:tc>
        <w:tc>
          <w:tcPr>
            <w:tcW w:w="81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snapToGrid w:val="0"/>
              <w:spacing w:line="276" w:lineRule="auto"/>
              <w:jc w:val="center"/>
              <w:rPr>
                <w:rFonts w:eastAsiaTheme="minorHAnsi" w:cs="Arial"/>
                <w:sz w:val="20"/>
                <w:szCs w:val="20"/>
              </w:rPr>
            </w:pPr>
            <w:r w:rsidRPr="00E6047A">
              <w:rPr>
                <w:rFonts w:cs="Arial"/>
                <w:sz w:val="20"/>
                <w:szCs w:val="20"/>
              </w:rPr>
              <w:t>m</w:t>
            </w:r>
          </w:p>
        </w:tc>
        <w:tc>
          <w:tcPr>
            <w:tcW w:w="80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cs="Arial"/>
                <w:sz w:val="20"/>
                <w:szCs w:val="20"/>
              </w:rPr>
              <w:t>0</w:t>
            </w:r>
          </w:p>
        </w:tc>
        <w:tc>
          <w:tcPr>
            <w:tcW w:w="1152"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snapToGrid w:val="0"/>
              <w:spacing w:line="276" w:lineRule="auto"/>
              <w:jc w:val="center"/>
              <w:rPr>
                <w:rFonts w:eastAsiaTheme="minorHAnsi" w:cs="Arial"/>
                <w:sz w:val="20"/>
                <w:szCs w:val="20"/>
              </w:rPr>
            </w:pPr>
            <w:r w:rsidRPr="00E6047A">
              <w:rPr>
                <w:rFonts w:cs="Arial"/>
                <w:sz w:val="20"/>
                <w:szCs w:val="20"/>
              </w:rPr>
              <w:t>0</w:t>
            </w:r>
          </w:p>
        </w:tc>
        <w:tc>
          <w:tcPr>
            <w:tcW w:w="865"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cs="Arial"/>
                <w:sz w:val="20"/>
                <w:szCs w:val="20"/>
              </w:rPr>
              <w:t>14</w:t>
            </w:r>
          </w:p>
        </w:tc>
        <w:tc>
          <w:tcPr>
            <w:tcW w:w="768"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cs="Arial"/>
                <w:sz w:val="20"/>
                <w:szCs w:val="20"/>
              </w:rPr>
              <w:t>m</w:t>
            </w:r>
          </w:p>
        </w:tc>
        <w:tc>
          <w:tcPr>
            <w:tcW w:w="720" w:type="dxa"/>
            <w:tcBorders>
              <w:top w:val="nil"/>
              <w:left w:val="single" w:sz="8" w:space="0" w:color="000000"/>
              <w:bottom w:val="single" w:sz="8" w:space="0" w:color="000000"/>
              <w:right w:val="nil"/>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eastAsiaTheme="minorHAnsi" w:cs="Arial"/>
                <w:sz w:val="20"/>
                <w:szCs w:val="20"/>
              </w:rPr>
              <w:t>0</w:t>
            </w:r>
          </w:p>
        </w:tc>
        <w:tc>
          <w:tcPr>
            <w:tcW w:w="1057" w:type="dxa"/>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vAlign w:val="center"/>
            <w:hideMark/>
          </w:tcPr>
          <w:p w:rsidR="005F0788" w:rsidRPr="00E6047A" w:rsidRDefault="005F0788" w:rsidP="005F0788">
            <w:pPr>
              <w:autoSpaceDE w:val="0"/>
              <w:snapToGrid w:val="0"/>
              <w:spacing w:line="276" w:lineRule="auto"/>
              <w:jc w:val="center"/>
              <w:rPr>
                <w:rFonts w:eastAsiaTheme="minorHAnsi" w:cs="Arial"/>
                <w:sz w:val="20"/>
                <w:szCs w:val="20"/>
              </w:rPr>
            </w:pPr>
            <w:r w:rsidRPr="00E6047A">
              <w:rPr>
                <w:rFonts w:eastAsiaTheme="minorHAnsi" w:cs="Arial"/>
                <w:sz w:val="20"/>
                <w:szCs w:val="20"/>
              </w:rPr>
              <w:t>4</w:t>
            </w:r>
          </w:p>
        </w:tc>
      </w:tr>
    </w:tbl>
    <w:p w:rsidR="005F0788" w:rsidRDefault="005F0788">
      <w:pPr>
        <w:jc w:val="both"/>
      </w:pPr>
    </w:p>
    <w:p w:rsidR="00E9578D" w:rsidRDefault="00E9578D">
      <w:pPr>
        <w:jc w:val="both"/>
      </w:pPr>
    </w:p>
    <w:p w:rsidR="00E9578D" w:rsidRPr="00E9578D" w:rsidRDefault="00E9578D">
      <w:pPr>
        <w:jc w:val="both"/>
        <w:rPr>
          <w:b/>
          <w:sz w:val="28"/>
          <w:szCs w:val="28"/>
        </w:rPr>
      </w:pPr>
      <w:r>
        <w:tab/>
      </w:r>
      <w:r>
        <w:tab/>
      </w:r>
      <w:r>
        <w:tab/>
      </w:r>
      <w:r w:rsidRPr="00E9578D">
        <w:rPr>
          <w:b/>
          <w:sz w:val="28"/>
          <w:szCs w:val="28"/>
        </w:rPr>
        <w:t>ANNEX – ADDITIONAL INFORMATION</w:t>
      </w:r>
    </w:p>
    <w:p w:rsidR="00E9578D" w:rsidRPr="00E9578D" w:rsidRDefault="00E9578D">
      <w:pPr>
        <w:jc w:val="both"/>
        <w:rPr>
          <w:b/>
          <w:sz w:val="28"/>
          <w:szCs w:val="28"/>
        </w:rPr>
      </w:pPr>
    </w:p>
    <w:p w:rsidR="00E9578D" w:rsidRPr="00EC30BC" w:rsidRDefault="00E9578D" w:rsidP="00E9578D">
      <w:pPr>
        <w:rPr>
          <w:b/>
          <w:u w:val="single"/>
        </w:rPr>
      </w:pPr>
      <w:r w:rsidRPr="00EC30BC">
        <w:rPr>
          <w:b/>
          <w:u w:val="single"/>
        </w:rPr>
        <w:t>New Codes for 0 02 003 descriptor</w:t>
      </w:r>
    </w:p>
    <w:p w:rsidR="00E9578D" w:rsidRDefault="00E9578D" w:rsidP="00E9578D"/>
    <w:p w:rsidR="00E9578D" w:rsidRPr="00962E43" w:rsidRDefault="00E9578D" w:rsidP="00E9578D">
      <w:pPr>
        <w:rPr>
          <w:u w:val="single"/>
        </w:rPr>
      </w:pPr>
      <w:r w:rsidRPr="00962E43">
        <w:rPr>
          <w:u w:val="single"/>
        </w:rPr>
        <w:t>Code tables:</w:t>
      </w:r>
    </w:p>
    <w:p w:rsidR="00E9578D" w:rsidRDefault="00E9578D" w:rsidP="00E9578D"/>
    <w:p w:rsidR="00E9578D" w:rsidRDefault="00E9578D" w:rsidP="00E9578D">
      <w:r>
        <w:t xml:space="preserve">To represent in a slightly more specific way the different observation methods, the following entries are suggested to be added to code table </w:t>
      </w:r>
      <w:r w:rsidRPr="00962E43">
        <w:t>0 02 003</w:t>
      </w:r>
      <w:r>
        <w:t>:</w:t>
      </w:r>
    </w:p>
    <w:p w:rsidR="00E9578D" w:rsidRDefault="00E9578D" w:rsidP="00E9578D"/>
    <w:tbl>
      <w:tblPr>
        <w:tblW w:w="0" w:type="auto"/>
        <w:jc w:val="center"/>
        <w:tblBorders>
          <w:top w:val="single" w:sz="12" w:space="0" w:color="000000"/>
          <w:bottom w:val="single" w:sz="12" w:space="0" w:color="000000"/>
        </w:tblBorders>
        <w:tblLook w:val="00A0" w:firstRow="1" w:lastRow="0" w:firstColumn="1" w:lastColumn="0" w:noHBand="0" w:noVBand="0"/>
      </w:tblPr>
      <w:tblGrid>
        <w:gridCol w:w="1617"/>
        <w:gridCol w:w="4260"/>
      </w:tblGrid>
      <w:tr w:rsidR="00E9578D" w:rsidRPr="00962E43" w:rsidTr="001733C9">
        <w:trPr>
          <w:trHeight w:val="397"/>
          <w:jc w:val="center"/>
        </w:trPr>
        <w:tc>
          <w:tcPr>
            <w:tcW w:w="1617" w:type="dxa"/>
            <w:tcBorders>
              <w:top w:val="single" w:sz="12" w:space="0" w:color="000000"/>
              <w:bottom w:val="nil"/>
              <w:right w:val="single" w:sz="6" w:space="0" w:color="000000"/>
            </w:tcBorders>
          </w:tcPr>
          <w:p w:rsidR="00E9578D" w:rsidRPr="00962E43" w:rsidRDefault="00E9578D" w:rsidP="001733C9">
            <w:pPr>
              <w:spacing w:before="260" w:line="260" w:lineRule="atLeast"/>
              <w:rPr>
                <w:i/>
                <w:iCs/>
                <w:sz w:val="20"/>
                <w:szCs w:val="20"/>
                <w:lang w:val="en-US" w:eastAsia="de-CH"/>
              </w:rPr>
            </w:pPr>
            <w:r w:rsidRPr="00962E43">
              <w:rPr>
                <w:iCs/>
                <w:sz w:val="20"/>
                <w:szCs w:val="20"/>
                <w:lang w:val="en-US" w:eastAsia="de-CH"/>
              </w:rPr>
              <w:t>10</w:t>
            </w:r>
          </w:p>
        </w:tc>
        <w:tc>
          <w:tcPr>
            <w:tcW w:w="4260" w:type="dxa"/>
            <w:tcBorders>
              <w:top w:val="single" w:sz="12" w:space="0" w:color="000000"/>
              <w:bottom w:val="nil"/>
            </w:tcBorders>
          </w:tcPr>
          <w:p w:rsidR="00E9578D" w:rsidRPr="00962E43" w:rsidRDefault="00E9578D" w:rsidP="001733C9">
            <w:pPr>
              <w:spacing w:before="260" w:line="260" w:lineRule="atLeast"/>
              <w:rPr>
                <w:i/>
                <w:iCs/>
                <w:sz w:val="20"/>
                <w:szCs w:val="20"/>
                <w:lang w:val="en-US" w:eastAsia="de-CH"/>
              </w:rPr>
            </w:pPr>
            <w:r w:rsidRPr="00962E43">
              <w:rPr>
                <w:iCs/>
                <w:sz w:val="20"/>
                <w:szCs w:val="20"/>
                <w:lang w:val="en-US" w:eastAsia="de-CH"/>
              </w:rPr>
              <w:t>Doppler radar wind profiler</w:t>
            </w:r>
          </w:p>
        </w:tc>
      </w:tr>
      <w:tr w:rsidR="00E9578D" w:rsidRPr="00962E43" w:rsidTr="001733C9">
        <w:trPr>
          <w:trHeight w:val="397"/>
          <w:jc w:val="center"/>
        </w:trPr>
        <w:tc>
          <w:tcPr>
            <w:tcW w:w="1617" w:type="dxa"/>
            <w:tcBorders>
              <w:top w:val="nil"/>
              <w:bottom w:val="nil"/>
              <w:right w:val="single" w:sz="4" w:space="0" w:color="auto"/>
            </w:tcBorders>
          </w:tcPr>
          <w:p w:rsidR="00E9578D" w:rsidRPr="00962E43" w:rsidRDefault="00E9578D" w:rsidP="001733C9">
            <w:pPr>
              <w:spacing w:before="260" w:line="260" w:lineRule="atLeast"/>
              <w:rPr>
                <w:sz w:val="20"/>
                <w:szCs w:val="20"/>
                <w:lang w:val="en-US" w:eastAsia="de-CH"/>
              </w:rPr>
            </w:pPr>
            <w:r w:rsidRPr="00962E43">
              <w:rPr>
                <w:sz w:val="20"/>
                <w:szCs w:val="20"/>
                <w:lang w:val="en-US" w:eastAsia="de-CH"/>
              </w:rPr>
              <w:t>11</w:t>
            </w:r>
          </w:p>
        </w:tc>
        <w:tc>
          <w:tcPr>
            <w:tcW w:w="4260" w:type="dxa"/>
            <w:tcBorders>
              <w:top w:val="nil"/>
              <w:left w:val="single" w:sz="4" w:space="0" w:color="auto"/>
              <w:bottom w:val="nil"/>
            </w:tcBorders>
          </w:tcPr>
          <w:p w:rsidR="00E9578D" w:rsidRPr="00962E43" w:rsidRDefault="00E9578D" w:rsidP="001733C9">
            <w:pPr>
              <w:spacing w:before="260" w:line="260" w:lineRule="atLeast"/>
              <w:rPr>
                <w:sz w:val="20"/>
                <w:szCs w:val="20"/>
                <w:lang w:val="en-US" w:eastAsia="de-CH"/>
              </w:rPr>
            </w:pPr>
            <w:r w:rsidRPr="00962E43">
              <w:rPr>
                <w:sz w:val="20"/>
                <w:szCs w:val="20"/>
                <w:lang w:val="en-US" w:eastAsia="de-CH"/>
              </w:rPr>
              <w:t>Doppler lidar wind profiler</w:t>
            </w:r>
          </w:p>
        </w:tc>
      </w:tr>
      <w:tr w:rsidR="00E9578D" w:rsidRPr="00962E43" w:rsidTr="001733C9">
        <w:trPr>
          <w:trHeight w:val="397"/>
          <w:jc w:val="center"/>
        </w:trPr>
        <w:tc>
          <w:tcPr>
            <w:tcW w:w="1617" w:type="dxa"/>
            <w:tcBorders>
              <w:top w:val="nil"/>
              <w:right w:val="single" w:sz="6" w:space="0" w:color="000000"/>
            </w:tcBorders>
          </w:tcPr>
          <w:p w:rsidR="00E9578D" w:rsidRPr="00962E43" w:rsidRDefault="00E9578D" w:rsidP="001733C9">
            <w:pPr>
              <w:spacing w:before="260" w:line="260" w:lineRule="atLeast"/>
              <w:rPr>
                <w:sz w:val="20"/>
                <w:szCs w:val="20"/>
                <w:lang w:val="en-US" w:eastAsia="de-CH"/>
              </w:rPr>
            </w:pPr>
            <w:r w:rsidRPr="00962E43">
              <w:rPr>
                <w:sz w:val="20"/>
                <w:szCs w:val="20"/>
                <w:lang w:val="en-US" w:eastAsia="de-CH"/>
              </w:rPr>
              <w:t>12</w:t>
            </w:r>
          </w:p>
        </w:tc>
        <w:tc>
          <w:tcPr>
            <w:tcW w:w="4260" w:type="dxa"/>
            <w:tcBorders>
              <w:top w:val="nil"/>
            </w:tcBorders>
          </w:tcPr>
          <w:p w:rsidR="00E9578D" w:rsidRPr="00962E43" w:rsidRDefault="00E9578D" w:rsidP="001733C9">
            <w:pPr>
              <w:spacing w:before="260" w:line="260" w:lineRule="atLeast"/>
              <w:rPr>
                <w:sz w:val="20"/>
                <w:szCs w:val="20"/>
                <w:lang w:val="en-US" w:eastAsia="de-CH"/>
              </w:rPr>
            </w:pPr>
            <w:r w:rsidRPr="00962E43">
              <w:rPr>
                <w:sz w:val="20"/>
                <w:szCs w:val="20"/>
                <w:lang w:val="en-US" w:eastAsia="de-CH"/>
              </w:rPr>
              <w:t>Backscatter lidar</w:t>
            </w:r>
          </w:p>
        </w:tc>
      </w:tr>
      <w:tr w:rsidR="00E9578D" w:rsidRPr="00962E43" w:rsidTr="001733C9">
        <w:trPr>
          <w:trHeight w:val="397"/>
          <w:jc w:val="center"/>
        </w:trPr>
        <w:tc>
          <w:tcPr>
            <w:tcW w:w="1617" w:type="dxa"/>
            <w:tcBorders>
              <w:bottom w:val="single" w:sz="12" w:space="0" w:color="000000"/>
              <w:right w:val="single" w:sz="6" w:space="0" w:color="000000"/>
            </w:tcBorders>
          </w:tcPr>
          <w:p w:rsidR="00E9578D" w:rsidRPr="00962E43" w:rsidRDefault="00E9578D" w:rsidP="001733C9">
            <w:pPr>
              <w:spacing w:before="260" w:line="260" w:lineRule="atLeast"/>
              <w:rPr>
                <w:sz w:val="20"/>
                <w:szCs w:val="20"/>
                <w:lang w:val="en-US" w:eastAsia="de-CH"/>
              </w:rPr>
            </w:pPr>
            <w:r w:rsidRPr="00962E43">
              <w:rPr>
                <w:sz w:val="20"/>
                <w:szCs w:val="20"/>
                <w:lang w:val="en-US" w:eastAsia="de-CH"/>
              </w:rPr>
              <w:t>13</w:t>
            </w:r>
          </w:p>
        </w:tc>
        <w:tc>
          <w:tcPr>
            <w:tcW w:w="4260" w:type="dxa"/>
            <w:tcBorders>
              <w:bottom w:val="single" w:sz="12" w:space="0" w:color="000000"/>
            </w:tcBorders>
          </w:tcPr>
          <w:p w:rsidR="00E9578D" w:rsidRPr="00962E43" w:rsidRDefault="00E9578D" w:rsidP="001733C9">
            <w:pPr>
              <w:spacing w:before="260" w:line="260" w:lineRule="atLeast"/>
              <w:rPr>
                <w:sz w:val="20"/>
                <w:szCs w:val="20"/>
                <w:lang w:val="en-US" w:eastAsia="de-CH"/>
              </w:rPr>
            </w:pPr>
            <w:r w:rsidRPr="00962E43">
              <w:rPr>
                <w:sz w:val="20"/>
                <w:szCs w:val="20"/>
                <w:lang w:val="en-US" w:eastAsia="de-CH"/>
              </w:rPr>
              <w:t>Spaced antenna wind profiler</w:t>
            </w:r>
          </w:p>
        </w:tc>
      </w:tr>
    </w:tbl>
    <w:p w:rsidR="00E9578D" w:rsidRDefault="00E9578D" w:rsidP="00E9578D"/>
    <w:p w:rsidR="00E9578D" w:rsidRDefault="00E9578D" w:rsidP="00E9578D"/>
    <w:p w:rsidR="00E9578D" w:rsidRDefault="00E9578D" w:rsidP="00E9578D"/>
    <w:p w:rsidR="00E9578D" w:rsidRDefault="00E9578D" w:rsidP="00E9578D">
      <w:pPr>
        <w:rPr>
          <w:b/>
          <w:sz w:val="28"/>
          <w:szCs w:val="28"/>
        </w:rPr>
      </w:pPr>
      <w:r>
        <w:tab/>
      </w:r>
    </w:p>
    <w:p w:rsidR="00E9578D" w:rsidRDefault="00E9578D" w:rsidP="00E9578D">
      <w:pPr>
        <w:rPr>
          <w:b/>
          <w:sz w:val="28"/>
          <w:szCs w:val="28"/>
        </w:rPr>
      </w:pPr>
    </w:p>
    <w:p w:rsidR="00E9578D" w:rsidRDefault="00E9578D" w:rsidP="00E9578D">
      <w:pPr>
        <w:rPr>
          <w:bCs/>
          <w:sz w:val="23"/>
          <w:szCs w:val="23"/>
        </w:rPr>
      </w:pPr>
      <w:r w:rsidRPr="00780132">
        <w:rPr>
          <w:bCs/>
          <w:sz w:val="23"/>
          <w:szCs w:val="23"/>
        </w:rPr>
        <w:lastRenderedPageBreak/>
        <w:t>Comments taken from previous proposal document</w:t>
      </w:r>
      <w:r>
        <w:rPr>
          <w:bCs/>
          <w:sz w:val="23"/>
          <w:szCs w:val="23"/>
        </w:rPr>
        <w:t xml:space="preserve"> may be useful when discussing the template.</w:t>
      </w:r>
    </w:p>
    <w:p w:rsidR="00E9578D" w:rsidRDefault="00E9578D" w:rsidP="00E9578D">
      <w:pPr>
        <w:rPr>
          <w:bCs/>
          <w:sz w:val="23"/>
          <w:szCs w:val="23"/>
        </w:rPr>
      </w:pPr>
    </w:p>
    <w:p w:rsidR="00E9578D" w:rsidRPr="00380FCE" w:rsidRDefault="00E9578D" w:rsidP="00E9578D">
      <w:pPr>
        <w:rPr>
          <w:sz w:val="20"/>
          <w:szCs w:val="20"/>
        </w:rPr>
      </w:pPr>
      <w:r w:rsidRPr="00380FCE">
        <w:rPr>
          <w:b/>
          <w:bCs/>
          <w:iCs/>
          <w:sz w:val="28"/>
          <w:szCs w:val="28"/>
        </w:rPr>
        <w:t>2.3 Cloud data section</w:t>
      </w:r>
    </w:p>
    <w:p w:rsidR="00E9578D" w:rsidRDefault="00E9578D" w:rsidP="00E9578D">
      <w:pPr>
        <w:rPr>
          <w:sz w:val="20"/>
          <w:szCs w:val="20"/>
        </w:rPr>
      </w:pPr>
      <w:r>
        <w:rPr>
          <w:sz w:val="20"/>
          <w:szCs w:val="20"/>
        </w:rPr>
        <w:t>Clouds shall be reported in the same way as in the SYNOP messages (Table D sequence 3 02 035 for basic synoptic instantaneous data). Sequence 3 02 004 accommodates the general cloud information reporting total cloud cover and total cloud amount as well as the lowest cloud base observed. Individual cloud layers shall be reported with sequence 3 02 005 which can be repeated as many times as necessary.</w:t>
      </w:r>
    </w:p>
    <w:p w:rsidR="00E9578D" w:rsidRDefault="00E9578D" w:rsidP="00E9578D">
      <w:pPr>
        <w:rPr>
          <w:sz w:val="20"/>
          <w:szCs w:val="20"/>
        </w:rPr>
      </w:pPr>
    </w:p>
    <w:p w:rsidR="00E9578D" w:rsidRDefault="00E9578D" w:rsidP="00E9578D">
      <w:pPr>
        <w:rPr>
          <w:sz w:val="20"/>
          <w:szCs w:val="20"/>
        </w:rPr>
      </w:pPr>
    </w:p>
    <w:p w:rsidR="00E9578D" w:rsidRDefault="00E9578D" w:rsidP="00E9578D">
      <w:pPr>
        <w:pStyle w:val="Default"/>
        <w:rPr>
          <w:color w:val="auto"/>
        </w:rPr>
      </w:pPr>
      <w:r>
        <w:rPr>
          <w:sz w:val="20"/>
          <w:szCs w:val="20"/>
        </w:rPr>
        <w:t>The descriptor 0 08 002 for “Vertical significance” refers a code table of which the relevant entries are shown below. To report the general cloud information the vertical significance is set to 5 or 20.</w:t>
      </w:r>
    </w:p>
    <w:p w:rsidR="00E9578D" w:rsidRDefault="00E9578D" w:rsidP="00E9578D">
      <w:pPr>
        <w:pStyle w:val="Default"/>
        <w:pageBreakBefore/>
        <w:rPr>
          <w:color w:val="auto"/>
          <w:sz w:val="20"/>
          <w:szCs w:val="20"/>
        </w:rPr>
      </w:pPr>
      <w:r>
        <w:rPr>
          <w:color w:val="auto"/>
          <w:sz w:val="20"/>
          <w:szCs w:val="20"/>
        </w:rPr>
        <w:lastRenderedPageBreak/>
        <w:t xml:space="preserve">the lowest cloud base (ceiling) or no clouds, respectively. The vertical significance of the individual cloud layers is set to 20 – 24. </w:t>
      </w:r>
    </w:p>
    <w:p w:rsidR="00E9578D" w:rsidRDefault="00E9578D" w:rsidP="00E9578D">
      <w:pPr>
        <w:rPr>
          <w:sz w:val="20"/>
          <w:szCs w:val="20"/>
        </w:rPr>
      </w:pPr>
      <w:r>
        <w:rPr>
          <w:sz w:val="20"/>
          <w:szCs w:val="20"/>
        </w:rPr>
        <w:t>Since the cloud type cannot be determined automatically with lidars the descriptor 0 20 012 for cloud type is set to 63 (missing value).</w:t>
      </w:r>
    </w:p>
    <w:p w:rsidR="00E9578D" w:rsidRDefault="00E9578D" w:rsidP="00E9578D">
      <w:pPr>
        <w:rPr>
          <w:sz w:val="20"/>
          <w:szCs w:val="20"/>
        </w:rPr>
      </w:pPr>
    </w:p>
    <w:p w:rsidR="00E9578D" w:rsidRPr="00780132" w:rsidRDefault="00E9578D" w:rsidP="00E9578D">
      <w:r>
        <w:rPr>
          <w:sz w:val="20"/>
          <w:szCs w:val="20"/>
        </w:rPr>
        <w:t>The descriptor 0 20 011 refers to a code table of which the relevant entries are shown below. In case of missing values the value is set to 15.</w:t>
      </w:r>
    </w:p>
    <w:p w:rsidR="00E9578D" w:rsidRDefault="00E9578D" w:rsidP="00E9578D">
      <w:pPr>
        <w:pStyle w:val="Default"/>
        <w:rPr>
          <w:sz w:val="23"/>
          <w:szCs w:val="23"/>
        </w:rPr>
      </w:pPr>
    </w:p>
    <w:p w:rsidR="00E9578D" w:rsidRDefault="00E9578D" w:rsidP="00E9578D">
      <w:pPr>
        <w:pStyle w:val="Default"/>
        <w:rPr>
          <w:sz w:val="23"/>
          <w:szCs w:val="23"/>
        </w:rPr>
      </w:pPr>
    </w:p>
    <w:p w:rsidR="00E9578D" w:rsidRDefault="00E9578D" w:rsidP="00E9578D">
      <w:pPr>
        <w:pStyle w:val="Default"/>
        <w:rPr>
          <w:sz w:val="28"/>
          <w:szCs w:val="28"/>
        </w:rPr>
      </w:pPr>
      <w:r>
        <w:rPr>
          <w:b/>
          <w:bCs/>
          <w:i/>
          <w:iCs/>
          <w:sz w:val="28"/>
          <w:szCs w:val="28"/>
        </w:rPr>
        <w:t xml:space="preserve">2.4 Backscatter data section </w:t>
      </w:r>
    </w:p>
    <w:p w:rsidR="00E9578D" w:rsidRDefault="00E9578D" w:rsidP="00E9578D">
      <w:pPr>
        <w:pStyle w:val="Default"/>
        <w:rPr>
          <w:sz w:val="20"/>
          <w:szCs w:val="20"/>
        </w:rPr>
      </w:pPr>
      <w:r>
        <w:rPr>
          <w:sz w:val="20"/>
          <w:szCs w:val="20"/>
        </w:rPr>
        <w:t>Backscatter data are provided mainly by research Lidars but more and more also by state-of-the art ceilometers. Optical parameters of aerosols can be derived from backscatter and extinction data that are an important information for the estimation of volcanic ash concentration or of the boundary layer height.</w:t>
      </w:r>
    </w:p>
    <w:p w:rsidR="00E9578D" w:rsidRDefault="00E9578D" w:rsidP="00E9578D">
      <w:pPr>
        <w:pStyle w:val="Default"/>
        <w:rPr>
          <w:color w:val="auto"/>
        </w:rPr>
      </w:pPr>
    </w:p>
    <w:p w:rsidR="00E9578D" w:rsidRDefault="00E9578D" w:rsidP="00E9578D">
      <w:pPr>
        <w:pStyle w:val="Default"/>
        <w:rPr>
          <w:sz w:val="23"/>
          <w:szCs w:val="23"/>
        </w:rPr>
      </w:pPr>
      <w:r>
        <w:rPr>
          <w:color w:val="auto"/>
          <w:sz w:val="20"/>
          <w:szCs w:val="20"/>
        </w:rPr>
        <w:t>Backscatter data are reported as a function of emitted and received wavelength/frequency. In order to host backscatter data at several wavelengths in one file, two additional replications are used.</w:t>
      </w:r>
    </w:p>
    <w:p w:rsidR="00E9578D" w:rsidRDefault="00E9578D" w:rsidP="00E9578D">
      <w:pPr>
        <w:pStyle w:val="Default"/>
        <w:rPr>
          <w:sz w:val="23"/>
          <w:szCs w:val="23"/>
        </w:rPr>
      </w:pPr>
    </w:p>
    <w:p w:rsidR="00E9578D" w:rsidRDefault="00E9578D" w:rsidP="00E9578D">
      <w:pPr>
        <w:pStyle w:val="Default"/>
        <w:rPr>
          <w:sz w:val="22"/>
          <w:szCs w:val="22"/>
        </w:rPr>
      </w:pPr>
      <w:r>
        <w:rPr>
          <w:b/>
          <w:bCs/>
          <w:sz w:val="22"/>
          <w:szCs w:val="22"/>
        </w:rPr>
        <w:t xml:space="preserve">2.4.1 Vertical coordinate </w:t>
      </w:r>
    </w:p>
    <w:p w:rsidR="00E9578D" w:rsidRDefault="00E9578D" w:rsidP="00E9578D">
      <w:pPr>
        <w:pStyle w:val="Default"/>
        <w:rPr>
          <w:sz w:val="20"/>
          <w:szCs w:val="20"/>
        </w:rPr>
      </w:pPr>
      <w:r>
        <w:rPr>
          <w:sz w:val="20"/>
          <w:szCs w:val="20"/>
        </w:rPr>
        <w:t xml:space="preserve">The vertical coordinate is height and it refers to height above sea level. </w:t>
      </w:r>
    </w:p>
    <w:p w:rsidR="00E9578D" w:rsidRDefault="00E9578D" w:rsidP="00E9578D">
      <w:pPr>
        <w:pStyle w:val="Default"/>
        <w:rPr>
          <w:sz w:val="20"/>
          <w:szCs w:val="20"/>
        </w:rPr>
      </w:pPr>
    </w:p>
    <w:p w:rsidR="00E9578D" w:rsidRDefault="00E9578D" w:rsidP="00E9578D">
      <w:pPr>
        <w:pStyle w:val="Default"/>
        <w:rPr>
          <w:sz w:val="22"/>
          <w:szCs w:val="22"/>
        </w:rPr>
      </w:pPr>
      <w:r>
        <w:rPr>
          <w:b/>
          <w:bCs/>
          <w:sz w:val="22"/>
          <w:szCs w:val="22"/>
        </w:rPr>
        <w:t xml:space="preserve">2.4.2 Latitude/Longitude </w:t>
      </w:r>
    </w:p>
    <w:p w:rsidR="00E9578D" w:rsidRDefault="00E9578D" w:rsidP="00E9578D">
      <w:pPr>
        <w:pStyle w:val="Default"/>
        <w:rPr>
          <w:sz w:val="20"/>
          <w:szCs w:val="20"/>
        </w:rPr>
      </w:pPr>
      <w:r>
        <w:rPr>
          <w:sz w:val="20"/>
          <w:szCs w:val="20"/>
        </w:rPr>
        <w:t xml:space="preserve">Latitude and longitude are reported as a function of altitude to give full flexibility for data location. With this the template follows the developments being made in radiosounding where the measurement is no longer considered a vertical profile but a trajectory. </w:t>
      </w:r>
    </w:p>
    <w:p w:rsidR="00E9578D" w:rsidRDefault="00E9578D" w:rsidP="00E9578D">
      <w:pPr>
        <w:pStyle w:val="Default"/>
        <w:rPr>
          <w:sz w:val="20"/>
          <w:szCs w:val="20"/>
        </w:rPr>
      </w:pPr>
    </w:p>
    <w:p w:rsidR="00E9578D" w:rsidRDefault="00E9578D" w:rsidP="00E9578D">
      <w:pPr>
        <w:pStyle w:val="Default"/>
        <w:rPr>
          <w:sz w:val="22"/>
          <w:szCs w:val="22"/>
        </w:rPr>
      </w:pPr>
      <w:r>
        <w:rPr>
          <w:b/>
          <w:bCs/>
          <w:sz w:val="22"/>
          <w:szCs w:val="22"/>
        </w:rPr>
        <w:t xml:space="preserve">2.4.3 Uncertainty </w:t>
      </w:r>
    </w:p>
    <w:p w:rsidR="00E9578D" w:rsidRDefault="00E9578D" w:rsidP="00E9578D">
      <w:pPr>
        <w:pStyle w:val="Default"/>
        <w:rPr>
          <w:sz w:val="20"/>
          <w:szCs w:val="20"/>
        </w:rPr>
      </w:pPr>
      <w:r>
        <w:rPr>
          <w:sz w:val="20"/>
          <w:szCs w:val="20"/>
        </w:rPr>
        <w:t xml:space="preserve">For the definition of the measurement uncertainty it is referred to the CIMO guide [], chapter 1: </w:t>
      </w:r>
    </w:p>
    <w:p w:rsidR="00E9578D" w:rsidRDefault="00E9578D" w:rsidP="00E9578D">
      <w:pPr>
        <w:pStyle w:val="Default"/>
        <w:rPr>
          <w:sz w:val="20"/>
          <w:szCs w:val="20"/>
        </w:rPr>
      </w:pPr>
      <w:r>
        <w:rPr>
          <w:sz w:val="20"/>
          <w:szCs w:val="20"/>
        </w:rPr>
        <w:t xml:space="preserve">“Non-negative parameter characterizing the dispersion of the quantity values being attributed to a measurand, based on the information used.” </w:t>
      </w:r>
    </w:p>
    <w:p w:rsidR="00E9578D" w:rsidRDefault="00E9578D" w:rsidP="00E9578D">
      <w:pPr>
        <w:pStyle w:val="Default"/>
        <w:rPr>
          <w:sz w:val="20"/>
          <w:szCs w:val="20"/>
        </w:rPr>
      </w:pPr>
      <w:r>
        <w:rPr>
          <w:sz w:val="20"/>
          <w:szCs w:val="20"/>
        </w:rPr>
        <w:t xml:space="preserve">Uncertainty is an important parameter for a proper use of the measurement. For remote sensing, uncertainty is not constant, but changes generally as a function of altitude and as a function of the meteorological conditions. It is hence important and required to report uncertainty as a function of altitude. </w:t>
      </w:r>
    </w:p>
    <w:p w:rsidR="00E9578D" w:rsidRDefault="00E9578D" w:rsidP="00E9578D">
      <w:pPr>
        <w:pStyle w:val="Default"/>
        <w:rPr>
          <w:sz w:val="20"/>
          <w:szCs w:val="20"/>
        </w:rPr>
      </w:pPr>
      <w:r>
        <w:rPr>
          <w:sz w:val="20"/>
          <w:szCs w:val="20"/>
        </w:rPr>
        <w:t xml:space="preserve">Measurement uncertainty can be inferred by identifying and quantifying sources of uncertainty in the measurement process and by propagating them through the data reduction process. Alternatively, the uncertainty can be estimated from intercomparisons with reference measurements. </w:t>
      </w:r>
    </w:p>
    <w:p w:rsidR="00E9578D" w:rsidRDefault="00E9578D" w:rsidP="00E9578D">
      <w:pPr>
        <w:pStyle w:val="Default"/>
        <w:rPr>
          <w:sz w:val="20"/>
          <w:szCs w:val="20"/>
        </w:rPr>
      </w:pPr>
    </w:p>
    <w:p w:rsidR="00E9578D" w:rsidRDefault="00E9578D" w:rsidP="00E9578D">
      <w:pPr>
        <w:pStyle w:val="Default"/>
        <w:rPr>
          <w:sz w:val="20"/>
          <w:szCs w:val="20"/>
        </w:rPr>
      </w:pPr>
    </w:p>
    <w:p w:rsidR="00E9578D" w:rsidRDefault="00E9578D" w:rsidP="00E9578D">
      <w:pPr>
        <w:pStyle w:val="Default"/>
        <w:rPr>
          <w:sz w:val="22"/>
          <w:szCs w:val="22"/>
        </w:rPr>
      </w:pPr>
      <w:r>
        <w:rPr>
          <w:b/>
          <w:bCs/>
          <w:sz w:val="22"/>
          <w:szCs w:val="22"/>
        </w:rPr>
        <w:t xml:space="preserve">2.4.4 Missing Data </w:t>
      </w:r>
    </w:p>
    <w:p w:rsidR="00E9578D" w:rsidRDefault="00E9578D" w:rsidP="00E9578D">
      <w:pPr>
        <w:pStyle w:val="Default"/>
        <w:rPr>
          <w:sz w:val="20"/>
          <w:szCs w:val="20"/>
        </w:rPr>
      </w:pPr>
      <w:r>
        <w:rPr>
          <w:sz w:val="20"/>
          <w:szCs w:val="20"/>
        </w:rPr>
        <w:t xml:space="preserve">Missing data should be reported following the BUFR convention: </w:t>
      </w:r>
    </w:p>
    <w:p w:rsidR="00E9578D" w:rsidRDefault="00E9578D" w:rsidP="00E9578D">
      <w:pPr>
        <w:rPr>
          <w:sz w:val="20"/>
          <w:szCs w:val="20"/>
        </w:rPr>
      </w:pPr>
      <w:r>
        <w:rPr>
          <w:sz w:val="20"/>
          <w:szCs w:val="20"/>
        </w:rPr>
        <w:t>“The convention for representing missing data for compressed data within the binary Data section shall be to set the corresponding increments to fields of all ones.”</w:t>
      </w:r>
    </w:p>
    <w:p w:rsidR="00E9578D" w:rsidRDefault="00E9578D" w:rsidP="00E9578D">
      <w:pPr>
        <w:rPr>
          <w:sz w:val="20"/>
          <w:szCs w:val="20"/>
        </w:rPr>
      </w:pPr>
    </w:p>
    <w:p w:rsidR="00E9578D" w:rsidRDefault="00E9578D" w:rsidP="00E9578D">
      <w:pPr>
        <w:pStyle w:val="Default"/>
        <w:rPr>
          <w:sz w:val="22"/>
          <w:szCs w:val="22"/>
        </w:rPr>
      </w:pPr>
      <w:r>
        <w:rPr>
          <w:b/>
          <w:bCs/>
          <w:sz w:val="22"/>
          <w:szCs w:val="22"/>
        </w:rPr>
        <w:t xml:space="preserve">2.4.5 Vertical resolution </w:t>
      </w:r>
    </w:p>
    <w:p w:rsidR="00E9578D" w:rsidRDefault="00E9578D" w:rsidP="00E9578D">
      <w:pPr>
        <w:pStyle w:val="Default"/>
        <w:rPr>
          <w:sz w:val="20"/>
          <w:szCs w:val="20"/>
        </w:rPr>
      </w:pPr>
      <w:r>
        <w:rPr>
          <w:sz w:val="20"/>
          <w:szCs w:val="20"/>
        </w:rPr>
        <w:t>To properly characterize the data, the vertical resolution is reported as a function of altitude. Vertical averaging may be applied in higher parts of the profile to improve signal to noise ratio.</w:t>
      </w:r>
    </w:p>
    <w:p w:rsidR="00E9578D" w:rsidRDefault="00E9578D" w:rsidP="00E9578D">
      <w:pPr>
        <w:pStyle w:val="Default"/>
        <w:rPr>
          <w:sz w:val="20"/>
          <w:szCs w:val="20"/>
        </w:rPr>
      </w:pPr>
    </w:p>
    <w:p w:rsidR="00E9578D" w:rsidRDefault="00E9578D" w:rsidP="00E9578D">
      <w:pPr>
        <w:pStyle w:val="Default"/>
        <w:rPr>
          <w:sz w:val="22"/>
          <w:szCs w:val="22"/>
        </w:rPr>
      </w:pPr>
      <w:r>
        <w:rPr>
          <w:b/>
          <w:bCs/>
          <w:sz w:val="22"/>
          <w:szCs w:val="22"/>
        </w:rPr>
        <w:t xml:space="preserve">2.4.6 Horizontal width of sampled volume </w:t>
      </w:r>
    </w:p>
    <w:p w:rsidR="00E9578D" w:rsidRDefault="00E9578D" w:rsidP="00E9578D">
      <w:pPr>
        <w:pStyle w:val="Default"/>
        <w:rPr>
          <w:sz w:val="20"/>
          <w:szCs w:val="20"/>
        </w:rPr>
      </w:pPr>
      <w:r>
        <w:rPr>
          <w:sz w:val="20"/>
          <w:szCs w:val="20"/>
        </w:rPr>
        <w:t xml:space="preserve">This parameter characterized the horizontal extent of the volume, in which measurements are being done in order to be reduced to a single vertical profile. For scanning instruments, this is the diameter of the cone which has been scanned. For strictly vertically pointing instruments, this is the diameter of the cone defined by the beam divergence. </w:t>
      </w:r>
    </w:p>
    <w:p w:rsidR="00E9578D" w:rsidRDefault="00E9578D" w:rsidP="00E9578D">
      <w:pPr>
        <w:pStyle w:val="Default"/>
        <w:rPr>
          <w:sz w:val="20"/>
          <w:szCs w:val="20"/>
        </w:rPr>
      </w:pPr>
      <w:r>
        <w:rPr>
          <w:sz w:val="20"/>
          <w:szCs w:val="20"/>
        </w:rPr>
        <w:t>The horizontal width of the sampled volume gives some qualitative information on the representativeness of the measurement.</w:t>
      </w:r>
    </w:p>
    <w:p w:rsidR="00E9578D" w:rsidRDefault="00E9578D" w:rsidP="00E9578D">
      <w:pPr>
        <w:pStyle w:val="Default"/>
        <w:rPr>
          <w:sz w:val="20"/>
          <w:szCs w:val="20"/>
        </w:rPr>
      </w:pPr>
    </w:p>
    <w:p w:rsidR="00E9578D" w:rsidRDefault="00E9578D" w:rsidP="00E9578D">
      <w:pPr>
        <w:pStyle w:val="Default"/>
        <w:rPr>
          <w:sz w:val="22"/>
          <w:szCs w:val="22"/>
        </w:rPr>
      </w:pPr>
      <w:r>
        <w:rPr>
          <w:b/>
          <w:bCs/>
          <w:sz w:val="22"/>
          <w:szCs w:val="22"/>
        </w:rPr>
        <w:t xml:space="preserve">2.4.7 Quality flag </w:t>
      </w:r>
    </w:p>
    <w:p w:rsidR="00E9578D" w:rsidRDefault="00E9578D" w:rsidP="00E9578D">
      <w:pPr>
        <w:pStyle w:val="Default"/>
        <w:rPr>
          <w:sz w:val="20"/>
          <w:szCs w:val="20"/>
        </w:rPr>
      </w:pPr>
      <w:r>
        <w:rPr>
          <w:sz w:val="20"/>
          <w:szCs w:val="20"/>
        </w:rPr>
        <w:t xml:space="preserve">The value of the QF depends on the algorithm used and is different from system to system. The value of the QF for the data user depends on how the QF is set. A harmonized QF could be provided by a centralized QC. </w:t>
      </w:r>
    </w:p>
    <w:p w:rsidR="00E9578D" w:rsidRDefault="00E9578D" w:rsidP="00E9578D">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075"/>
        <w:gridCol w:w="2075"/>
      </w:tblGrid>
      <w:tr w:rsidR="00E9578D" w:rsidTr="001733C9">
        <w:trPr>
          <w:trHeight w:val="133"/>
        </w:trPr>
        <w:tc>
          <w:tcPr>
            <w:tcW w:w="2075" w:type="dxa"/>
          </w:tcPr>
          <w:p w:rsidR="00E9578D" w:rsidRDefault="00E9578D" w:rsidP="001733C9">
            <w:pPr>
              <w:pStyle w:val="Default"/>
              <w:rPr>
                <w:sz w:val="20"/>
                <w:szCs w:val="20"/>
              </w:rPr>
            </w:pPr>
            <w:r>
              <w:rPr>
                <w:i/>
                <w:iCs/>
                <w:sz w:val="20"/>
                <w:szCs w:val="20"/>
              </w:rPr>
              <w:t xml:space="preserve">Table 1: Code table 0 22 002. </w:t>
            </w:r>
            <w:r>
              <w:rPr>
                <w:sz w:val="20"/>
                <w:szCs w:val="20"/>
              </w:rPr>
              <w:t xml:space="preserve">0 </w:t>
            </w:r>
          </w:p>
        </w:tc>
        <w:tc>
          <w:tcPr>
            <w:tcW w:w="2075" w:type="dxa"/>
          </w:tcPr>
          <w:p w:rsidR="00E9578D" w:rsidRDefault="00E9578D" w:rsidP="001733C9">
            <w:pPr>
              <w:pStyle w:val="Default"/>
              <w:rPr>
                <w:sz w:val="20"/>
                <w:szCs w:val="20"/>
              </w:rPr>
            </w:pPr>
            <w:r>
              <w:rPr>
                <w:sz w:val="20"/>
                <w:szCs w:val="20"/>
              </w:rPr>
              <w:t xml:space="preserve">Data not suspect </w:t>
            </w:r>
          </w:p>
        </w:tc>
      </w:tr>
      <w:tr w:rsidR="00E9578D" w:rsidTr="001733C9">
        <w:trPr>
          <w:trHeight w:val="133"/>
        </w:trPr>
        <w:tc>
          <w:tcPr>
            <w:tcW w:w="2075" w:type="dxa"/>
          </w:tcPr>
          <w:p w:rsidR="00E9578D" w:rsidRDefault="00E9578D" w:rsidP="001733C9">
            <w:pPr>
              <w:pStyle w:val="Default"/>
              <w:rPr>
                <w:sz w:val="20"/>
                <w:szCs w:val="20"/>
              </w:rPr>
            </w:pPr>
            <w:r>
              <w:rPr>
                <w:sz w:val="20"/>
                <w:szCs w:val="20"/>
              </w:rPr>
              <w:lastRenderedPageBreak/>
              <w:t xml:space="preserve">1 </w:t>
            </w:r>
          </w:p>
        </w:tc>
        <w:tc>
          <w:tcPr>
            <w:tcW w:w="2075" w:type="dxa"/>
          </w:tcPr>
          <w:p w:rsidR="00E9578D" w:rsidRDefault="00E9578D" w:rsidP="001733C9">
            <w:pPr>
              <w:pStyle w:val="Default"/>
              <w:rPr>
                <w:sz w:val="20"/>
                <w:szCs w:val="20"/>
              </w:rPr>
            </w:pPr>
            <w:r>
              <w:rPr>
                <w:sz w:val="20"/>
                <w:szCs w:val="20"/>
              </w:rPr>
              <w:t xml:space="preserve">Data suspect </w:t>
            </w:r>
          </w:p>
        </w:tc>
      </w:tr>
      <w:tr w:rsidR="00E9578D" w:rsidTr="001733C9">
        <w:trPr>
          <w:trHeight w:val="133"/>
        </w:trPr>
        <w:tc>
          <w:tcPr>
            <w:tcW w:w="2075" w:type="dxa"/>
          </w:tcPr>
          <w:p w:rsidR="00E9578D" w:rsidRDefault="00E9578D" w:rsidP="001733C9">
            <w:pPr>
              <w:pStyle w:val="Default"/>
              <w:rPr>
                <w:sz w:val="20"/>
                <w:szCs w:val="20"/>
              </w:rPr>
            </w:pPr>
            <w:r>
              <w:rPr>
                <w:sz w:val="20"/>
                <w:szCs w:val="20"/>
              </w:rPr>
              <w:t xml:space="preserve">2 </w:t>
            </w:r>
          </w:p>
        </w:tc>
        <w:tc>
          <w:tcPr>
            <w:tcW w:w="2075" w:type="dxa"/>
          </w:tcPr>
          <w:p w:rsidR="00E9578D" w:rsidRDefault="00E9578D" w:rsidP="001733C9">
            <w:pPr>
              <w:pStyle w:val="Default"/>
              <w:rPr>
                <w:sz w:val="20"/>
                <w:szCs w:val="20"/>
              </w:rPr>
            </w:pPr>
            <w:r>
              <w:rPr>
                <w:sz w:val="20"/>
                <w:szCs w:val="20"/>
              </w:rPr>
              <w:t xml:space="preserve">Reserved </w:t>
            </w:r>
          </w:p>
        </w:tc>
      </w:tr>
      <w:tr w:rsidR="00E9578D" w:rsidTr="001733C9">
        <w:trPr>
          <w:trHeight w:val="133"/>
        </w:trPr>
        <w:tc>
          <w:tcPr>
            <w:tcW w:w="2075" w:type="dxa"/>
          </w:tcPr>
          <w:p w:rsidR="00E9578D" w:rsidRDefault="00E9578D" w:rsidP="001733C9">
            <w:pPr>
              <w:pStyle w:val="Default"/>
              <w:rPr>
                <w:sz w:val="20"/>
                <w:szCs w:val="20"/>
              </w:rPr>
            </w:pPr>
            <w:r>
              <w:rPr>
                <w:sz w:val="20"/>
                <w:szCs w:val="20"/>
              </w:rPr>
              <w:t xml:space="preserve">3 </w:t>
            </w:r>
          </w:p>
        </w:tc>
        <w:tc>
          <w:tcPr>
            <w:tcW w:w="2075" w:type="dxa"/>
          </w:tcPr>
          <w:p w:rsidR="00E9578D" w:rsidRDefault="00E9578D" w:rsidP="001733C9">
            <w:pPr>
              <w:pStyle w:val="Default"/>
              <w:rPr>
                <w:sz w:val="20"/>
                <w:szCs w:val="20"/>
              </w:rPr>
            </w:pPr>
            <w:r>
              <w:rPr>
                <w:sz w:val="20"/>
                <w:szCs w:val="20"/>
              </w:rPr>
              <w:t xml:space="preserve">Quality information not given </w:t>
            </w:r>
          </w:p>
        </w:tc>
      </w:tr>
    </w:tbl>
    <w:p w:rsidR="00E9578D" w:rsidRDefault="00E9578D" w:rsidP="00E9578D"/>
    <w:p w:rsidR="00E9578D" w:rsidRDefault="00E9578D" w:rsidP="00E9578D">
      <w:pPr>
        <w:pStyle w:val="Default"/>
        <w:rPr>
          <w:sz w:val="26"/>
          <w:szCs w:val="26"/>
        </w:rPr>
      </w:pPr>
      <w:r>
        <w:rPr>
          <w:b/>
          <w:bCs/>
          <w:sz w:val="26"/>
          <w:szCs w:val="26"/>
        </w:rPr>
        <w:t xml:space="preserve">2.4.8 Aerosol parameters </w:t>
      </w:r>
    </w:p>
    <w:p w:rsidR="00E9578D" w:rsidRDefault="00E9578D" w:rsidP="00E9578D">
      <w:r>
        <w:rPr>
          <w:sz w:val="20"/>
          <w:szCs w:val="20"/>
        </w:rPr>
        <w:t>For definitions of the aerosol parameters included in the BUFR template, the reader is referred to the E-PROFIL ALC glossary which can be found on the EUMETNET portal.</w:t>
      </w:r>
    </w:p>
    <w:p w:rsidR="00E9578D" w:rsidRDefault="00E9578D">
      <w:pPr>
        <w:jc w:val="both"/>
      </w:pPr>
    </w:p>
    <w:sectPr w:rsidR="00E9578D" w:rsidSect="00260BF1">
      <w:pgSz w:w="11906" w:h="16838"/>
      <w:pgMar w:top="1134" w:right="1134" w:bottom="1134" w:left="1134" w:header="0" w:footer="0" w:gutter="0"/>
      <w:cols w:space="720"/>
      <w:formProt w:val="0"/>
      <w:docGrid w:linePitch="326"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E11" w:rsidRDefault="000B3E11" w:rsidP="005F0788">
      <w:r>
        <w:separator/>
      </w:r>
    </w:p>
  </w:endnote>
  <w:endnote w:type="continuationSeparator" w:id="0">
    <w:p w:rsidR="000B3E11" w:rsidRDefault="000B3E11" w:rsidP="005F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AR PL UMing HK">
    <w:panose1 w:val="00000000000000000000"/>
    <w:charset w:val="00"/>
    <w:family w:val="roman"/>
    <w:notTrueType/>
    <w:pitch w:val="default"/>
  </w:font>
  <w:font w:name="Lohit Devanaga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E11" w:rsidRDefault="000B3E11" w:rsidP="005F0788">
      <w:r>
        <w:separator/>
      </w:r>
    </w:p>
  </w:footnote>
  <w:footnote w:type="continuationSeparator" w:id="0">
    <w:p w:rsidR="000B3E11" w:rsidRDefault="000B3E11" w:rsidP="005F0788">
      <w:r>
        <w:continuationSeparator/>
      </w:r>
    </w:p>
  </w:footnote>
  <w:footnote w:id="1">
    <w:p w:rsidR="000B3E11" w:rsidRDefault="000B3E11" w:rsidP="005F0788">
      <w:pPr>
        <w:pStyle w:val="FootnoteText"/>
      </w:pPr>
      <w:r>
        <w:rPr>
          <w:rStyle w:val="FootnoteReference"/>
        </w:rPr>
        <w:footnoteRef/>
      </w:r>
      <w:r>
        <w:t xml:space="preserve"> Note this is a change to the original proposal</w:t>
      </w:r>
    </w:p>
  </w:footnote>
  <w:footnote w:id="2">
    <w:p w:rsidR="000B3E11" w:rsidRDefault="000B3E11" w:rsidP="005F0788">
      <w:pPr>
        <w:pStyle w:val="FootnoteText"/>
      </w:pPr>
      <w:r>
        <w:rPr>
          <w:rStyle w:val="FootnoteReference"/>
        </w:rPr>
        <w:footnoteRef/>
      </w:r>
      <w:r>
        <w:t xml:space="preserve"> Code table 0 02 003 will be extended to accommodate extra metadata parameters.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B63ED"/>
    <w:multiLevelType w:val="hybridMultilevel"/>
    <w:tmpl w:val="387C3ACE"/>
    <w:lvl w:ilvl="0" w:tplc="E5F46702">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
    <w:nsid w:val="65A000F9"/>
    <w:multiLevelType w:val="multilevel"/>
    <w:tmpl w:val="0D12CEEC"/>
    <w:lvl w:ilvl="0">
      <w:start w:val="1"/>
      <w:numFmt w:val="decimal"/>
      <w:pStyle w:val="numberpara"/>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BDE62D1"/>
    <w:multiLevelType w:val="multilevel"/>
    <w:tmpl w:val="7146E3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F1"/>
    <w:rsid w:val="000358C7"/>
    <w:rsid w:val="000A7F50"/>
    <w:rsid w:val="000B3E11"/>
    <w:rsid w:val="000B7B5D"/>
    <w:rsid w:val="00260BF1"/>
    <w:rsid w:val="004D29DC"/>
    <w:rsid w:val="005A4D6D"/>
    <w:rsid w:val="005C697C"/>
    <w:rsid w:val="005D4738"/>
    <w:rsid w:val="005F0788"/>
    <w:rsid w:val="006A76FC"/>
    <w:rsid w:val="006D617D"/>
    <w:rsid w:val="008323B3"/>
    <w:rsid w:val="0095074F"/>
    <w:rsid w:val="00B8241C"/>
    <w:rsid w:val="00C81FD9"/>
    <w:rsid w:val="00D703CF"/>
    <w:rsid w:val="00DC1E0D"/>
    <w:rsid w:val="00DE3F07"/>
    <w:rsid w:val="00DE68AB"/>
    <w:rsid w:val="00E6047A"/>
    <w:rsid w:val="00E957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BF1"/>
    <w:pPr>
      <w:suppressAutoHyphens/>
    </w:pPr>
    <w:rPr>
      <w:rFonts w:ascii="Arial" w:hAnsi="Arial"/>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color w:val="08296B"/>
      <w:sz w:val="36"/>
      <w:szCs w:val="36"/>
      <w:lang w:val="en-US" w:eastAsia="ja-JP"/>
    </w:rPr>
  </w:style>
  <w:style w:type="paragraph" w:styleId="Heading5">
    <w:name w:val="heading 5"/>
    <w:basedOn w:val="Normal"/>
    <w:next w:val="Normal"/>
    <w:qFormat/>
    <w:rsid w:val="00634323"/>
    <w:pPr>
      <w:keepNext/>
      <w:jc w:val="both"/>
      <w:outlineLvl w:val="4"/>
    </w:pPr>
    <w:rPr>
      <w:b/>
      <w:bCs/>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A7D7D"/>
    <w:rPr>
      <w:b/>
      <w:bCs/>
    </w:rPr>
  </w:style>
  <w:style w:type="paragraph" w:customStyle="1" w:styleId="Heading">
    <w:name w:val="Heading"/>
    <w:basedOn w:val="Normal"/>
    <w:next w:val="TextBody"/>
    <w:rsid w:val="00260BF1"/>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rsid w:val="00634323"/>
    <w:pPr>
      <w:spacing w:line="288" w:lineRule="auto"/>
      <w:jc w:val="both"/>
    </w:pPr>
    <w:rPr>
      <w:rFonts w:ascii="Times New Roman" w:hAnsi="Times New Roman" w:cs="Arial"/>
      <w:lang w:val="en-US"/>
    </w:rPr>
  </w:style>
  <w:style w:type="paragraph" w:styleId="List">
    <w:name w:val="List"/>
    <w:basedOn w:val="TextBody"/>
    <w:rsid w:val="00260BF1"/>
    <w:rPr>
      <w:rFonts w:cs="Lohit Devanagari"/>
    </w:rPr>
  </w:style>
  <w:style w:type="paragraph" w:styleId="Caption">
    <w:name w:val="caption"/>
    <w:basedOn w:val="Normal"/>
    <w:rsid w:val="00260BF1"/>
    <w:pPr>
      <w:suppressLineNumbers/>
      <w:spacing w:before="120" w:after="120"/>
    </w:pPr>
    <w:rPr>
      <w:rFonts w:cs="Lohit Devanagari"/>
      <w:i/>
      <w:iCs/>
      <w:sz w:val="24"/>
      <w:szCs w:val="24"/>
    </w:rPr>
  </w:style>
  <w:style w:type="paragraph" w:customStyle="1" w:styleId="Index">
    <w:name w:val="Index"/>
    <w:basedOn w:val="Normal"/>
    <w:rsid w:val="00260BF1"/>
    <w:pPr>
      <w:suppressLineNumbers/>
    </w:pPr>
    <w:rPr>
      <w:rFonts w:cs="Lohit Devanagari"/>
    </w:rPr>
  </w:style>
  <w:style w:type="paragraph" w:customStyle="1" w:styleId="Char1CharCharCarCar">
    <w:name w:val="Char1 Char Char Car Car"/>
    <w:basedOn w:val="Normal"/>
    <w:rsid w:val="00B915E5"/>
    <w:rPr>
      <w:rFonts w:ascii="Times New Roman" w:hAnsi="Times New Roman"/>
      <w:sz w:val="24"/>
      <w:szCs w:val="24"/>
      <w:lang w:val="pl-PL" w:eastAsia="pl-PL"/>
    </w:rPr>
  </w:style>
  <w:style w:type="paragraph" w:customStyle="1" w:styleId="TextBodyIndent">
    <w:name w:val="Text Body Indent"/>
    <w:basedOn w:val="Normal"/>
    <w:rsid w:val="00B915E5"/>
    <w:pPr>
      <w:tabs>
        <w:tab w:val="left" w:pos="1418"/>
      </w:tabs>
      <w:ind w:left="1418" w:hanging="698"/>
      <w:jc w:val="both"/>
    </w:pPr>
  </w:style>
  <w:style w:type="paragraph" w:styleId="BodyText3">
    <w:name w:val="Body Text 3"/>
    <w:basedOn w:val="Normal"/>
    <w:rsid w:val="00B915E5"/>
    <w:pPr>
      <w:jc w:val="both"/>
    </w:pPr>
    <w:rPr>
      <w:rFonts w:eastAsia="SimSun" w:cs="Arial"/>
      <w:lang w:eastAsia="zh-CN"/>
    </w:rPr>
  </w:style>
  <w:style w:type="paragraph" w:customStyle="1" w:styleId="numberpara">
    <w:name w:val="numberpara"/>
    <w:basedOn w:val="Normal"/>
    <w:rsid w:val="00B915E5"/>
    <w:pPr>
      <w:numPr>
        <w:numId w:val="1"/>
      </w:numPr>
      <w:spacing w:after="240"/>
      <w:jc w:val="both"/>
    </w:pPr>
    <w:rPr>
      <w:color w:val="000000"/>
    </w:rPr>
  </w:style>
  <w:style w:type="character" w:styleId="Hyperlink">
    <w:name w:val="Hyperlink"/>
    <w:basedOn w:val="DefaultParagraphFont"/>
    <w:rsid w:val="000A7F50"/>
    <w:rPr>
      <w:color w:val="0000FF"/>
      <w:u w:val="single"/>
    </w:rPr>
  </w:style>
  <w:style w:type="paragraph" w:styleId="FootnoteText">
    <w:name w:val="footnote text"/>
    <w:basedOn w:val="Normal"/>
    <w:link w:val="FootnoteTextChar"/>
    <w:uiPriority w:val="99"/>
    <w:unhideWhenUsed/>
    <w:rsid w:val="005F0788"/>
    <w:rPr>
      <w:rFonts w:ascii="Times New Roman" w:hAnsi="Times New Roman"/>
      <w:sz w:val="20"/>
      <w:szCs w:val="20"/>
      <w:lang w:eastAsia="ja-JP"/>
    </w:rPr>
  </w:style>
  <w:style w:type="character" w:customStyle="1" w:styleId="FootnoteTextChar">
    <w:name w:val="Footnote Text Char"/>
    <w:basedOn w:val="DefaultParagraphFont"/>
    <w:link w:val="FootnoteText"/>
    <w:uiPriority w:val="99"/>
    <w:rsid w:val="005F0788"/>
  </w:style>
  <w:style w:type="character" w:styleId="FootnoteReference">
    <w:name w:val="footnote reference"/>
    <w:basedOn w:val="DefaultParagraphFont"/>
    <w:uiPriority w:val="99"/>
    <w:unhideWhenUsed/>
    <w:rsid w:val="005F0788"/>
    <w:rPr>
      <w:vertAlign w:val="superscript"/>
    </w:rPr>
  </w:style>
  <w:style w:type="paragraph" w:customStyle="1" w:styleId="Default">
    <w:name w:val="Default"/>
    <w:rsid w:val="00E9578D"/>
    <w:pPr>
      <w:autoSpaceDE w:val="0"/>
      <w:autoSpaceDN w:val="0"/>
      <w:adjustRightInd w:val="0"/>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6A7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BF1"/>
    <w:pPr>
      <w:suppressAutoHyphens/>
    </w:pPr>
    <w:rPr>
      <w:rFonts w:ascii="Arial" w:hAnsi="Arial"/>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color w:val="08296B"/>
      <w:sz w:val="36"/>
      <w:szCs w:val="36"/>
      <w:lang w:val="en-US" w:eastAsia="ja-JP"/>
    </w:rPr>
  </w:style>
  <w:style w:type="paragraph" w:styleId="Heading5">
    <w:name w:val="heading 5"/>
    <w:basedOn w:val="Normal"/>
    <w:next w:val="Normal"/>
    <w:qFormat/>
    <w:rsid w:val="00634323"/>
    <w:pPr>
      <w:keepNext/>
      <w:jc w:val="both"/>
      <w:outlineLvl w:val="4"/>
    </w:pPr>
    <w:rPr>
      <w:b/>
      <w:bCs/>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A7D7D"/>
    <w:rPr>
      <w:b/>
      <w:bCs/>
    </w:rPr>
  </w:style>
  <w:style w:type="paragraph" w:customStyle="1" w:styleId="Heading">
    <w:name w:val="Heading"/>
    <w:basedOn w:val="Normal"/>
    <w:next w:val="TextBody"/>
    <w:rsid w:val="00260BF1"/>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rsid w:val="00634323"/>
    <w:pPr>
      <w:spacing w:line="288" w:lineRule="auto"/>
      <w:jc w:val="both"/>
    </w:pPr>
    <w:rPr>
      <w:rFonts w:ascii="Times New Roman" w:hAnsi="Times New Roman" w:cs="Arial"/>
      <w:lang w:val="en-US"/>
    </w:rPr>
  </w:style>
  <w:style w:type="paragraph" w:styleId="List">
    <w:name w:val="List"/>
    <w:basedOn w:val="TextBody"/>
    <w:rsid w:val="00260BF1"/>
    <w:rPr>
      <w:rFonts w:cs="Lohit Devanagari"/>
    </w:rPr>
  </w:style>
  <w:style w:type="paragraph" w:styleId="Caption">
    <w:name w:val="caption"/>
    <w:basedOn w:val="Normal"/>
    <w:rsid w:val="00260BF1"/>
    <w:pPr>
      <w:suppressLineNumbers/>
      <w:spacing w:before="120" w:after="120"/>
    </w:pPr>
    <w:rPr>
      <w:rFonts w:cs="Lohit Devanagari"/>
      <w:i/>
      <w:iCs/>
      <w:sz w:val="24"/>
      <w:szCs w:val="24"/>
    </w:rPr>
  </w:style>
  <w:style w:type="paragraph" w:customStyle="1" w:styleId="Index">
    <w:name w:val="Index"/>
    <w:basedOn w:val="Normal"/>
    <w:rsid w:val="00260BF1"/>
    <w:pPr>
      <w:suppressLineNumbers/>
    </w:pPr>
    <w:rPr>
      <w:rFonts w:cs="Lohit Devanagari"/>
    </w:rPr>
  </w:style>
  <w:style w:type="paragraph" w:customStyle="1" w:styleId="Char1CharCharCarCar">
    <w:name w:val="Char1 Char Char Car Car"/>
    <w:basedOn w:val="Normal"/>
    <w:rsid w:val="00B915E5"/>
    <w:rPr>
      <w:rFonts w:ascii="Times New Roman" w:hAnsi="Times New Roman"/>
      <w:sz w:val="24"/>
      <w:szCs w:val="24"/>
      <w:lang w:val="pl-PL" w:eastAsia="pl-PL"/>
    </w:rPr>
  </w:style>
  <w:style w:type="paragraph" w:customStyle="1" w:styleId="TextBodyIndent">
    <w:name w:val="Text Body Indent"/>
    <w:basedOn w:val="Normal"/>
    <w:rsid w:val="00B915E5"/>
    <w:pPr>
      <w:tabs>
        <w:tab w:val="left" w:pos="1418"/>
      </w:tabs>
      <w:ind w:left="1418" w:hanging="698"/>
      <w:jc w:val="both"/>
    </w:pPr>
  </w:style>
  <w:style w:type="paragraph" w:styleId="BodyText3">
    <w:name w:val="Body Text 3"/>
    <w:basedOn w:val="Normal"/>
    <w:rsid w:val="00B915E5"/>
    <w:pPr>
      <w:jc w:val="both"/>
    </w:pPr>
    <w:rPr>
      <w:rFonts w:eastAsia="SimSun" w:cs="Arial"/>
      <w:lang w:eastAsia="zh-CN"/>
    </w:rPr>
  </w:style>
  <w:style w:type="paragraph" w:customStyle="1" w:styleId="numberpara">
    <w:name w:val="numberpara"/>
    <w:basedOn w:val="Normal"/>
    <w:rsid w:val="00B915E5"/>
    <w:pPr>
      <w:numPr>
        <w:numId w:val="1"/>
      </w:numPr>
      <w:spacing w:after="240"/>
      <w:jc w:val="both"/>
    </w:pPr>
    <w:rPr>
      <w:color w:val="000000"/>
    </w:rPr>
  </w:style>
  <w:style w:type="character" w:styleId="Hyperlink">
    <w:name w:val="Hyperlink"/>
    <w:basedOn w:val="DefaultParagraphFont"/>
    <w:rsid w:val="000A7F50"/>
    <w:rPr>
      <w:color w:val="0000FF"/>
      <w:u w:val="single"/>
    </w:rPr>
  </w:style>
  <w:style w:type="paragraph" w:styleId="FootnoteText">
    <w:name w:val="footnote text"/>
    <w:basedOn w:val="Normal"/>
    <w:link w:val="FootnoteTextChar"/>
    <w:uiPriority w:val="99"/>
    <w:unhideWhenUsed/>
    <w:rsid w:val="005F0788"/>
    <w:rPr>
      <w:rFonts w:ascii="Times New Roman" w:hAnsi="Times New Roman"/>
      <w:sz w:val="20"/>
      <w:szCs w:val="20"/>
      <w:lang w:eastAsia="ja-JP"/>
    </w:rPr>
  </w:style>
  <w:style w:type="character" w:customStyle="1" w:styleId="FootnoteTextChar">
    <w:name w:val="Footnote Text Char"/>
    <w:basedOn w:val="DefaultParagraphFont"/>
    <w:link w:val="FootnoteText"/>
    <w:uiPriority w:val="99"/>
    <w:rsid w:val="005F0788"/>
  </w:style>
  <w:style w:type="character" w:styleId="FootnoteReference">
    <w:name w:val="footnote reference"/>
    <w:basedOn w:val="DefaultParagraphFont"/>
    <w:uiPriority w:val="99"/>
    <w:unhideWhenUsed/>
    <w:rsid w:val="005F0788"/>
    <w:rPr>
      <w:vertAlign w:val="superscript"/>
    </w:rPr>
  </w:style>
  <w:style w:type="paragraph" w:customStyle="1" w:styleId="Default">
    <w:name w:val="Default"/>
    <w:rsid w:val="00E9578D"/>
    <w:pPr>
      <w:autoSpaceDE w:val="0"/>
      <w:autoSpaceDN w:val="0"/>
      <w:adjustRightInd w:val="0"/>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6A7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g-clime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Met Office</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2016-05-26T10:57:00Z</cp:lastPrinted>
  <dcterms:created xsi:type="dcterms:W3CDTF">2016-05-26T12:13:00Z</dcterms:created>
  <dcterms:modified xsi:type="dcterms:W3CDTF">2016-05-26T12:13:00Z</dcterms:modified>
  <dc:language>en-US</dc:language>
</cp:coreProperties>
</file>