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rsidR="005554A5" w:rsidRPr="00F35A04" w:rsidRDefault="005554A5" w:rsidP="005554A5">
            <w:pPr>
              <w:jc w:val="center"/>
              <w:rPr>
                <w:rFonts w:ascii="Verdana" w:hAnsi="Verdana" w:cs="Arial"/>
                <w:sz w:val="20"/>
                <w:szCs w:val="20"/>
              </w:rPr>
            </w:pPr>
          </w:p>
          <w:p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753ACB">
            <w:pPr>
              <w:tabs>
                <w:tab w:val="left" w:pos="601"/>
              </w:tabs>
              <w:rPr>
                <w:rFonts w:ascii="Verdana" w:hAnsi="Verdana" w:cs="Arial"/>
                <w:sz w:val="20"/>
                <w:szCs w:val="20"/>
                <w:lang w:val="en-US"/>
              </w:rPr>
            </w:pPr>
            <w:r w:rsidRPr="00F35A04">
              <w:rPr>
                <w:rFonts w:ascii="Verdana" w:hAnsi="Verdana" w:cs="Arial"/>
                <w:sz w:val="20"/>
                <w:szCs w:val="20"/>
                <w:lang w:val="en-US"/>
              </w:rPr>
              <w:t>IPET-DR</w:t>
            </w:r>
            <w:r w:rsidR="00205D7D" w:rsidRPr="00F35A04">
              <w:rPr>
                <w:rFonts w:ascii="Verdana" w:hAnsi="Verdana" w:cs="Arial"/>
                <w:sz w:val="20"/>
                <w:szCs w:val="20"/>
                <w:lang w:val="en-US"/>
              </w:rPr>
              <w:t>MM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00D51173">
              <w:rPr>
                <w:rFonts w:ascii="Verdana" w:hAnsi="Verdana" w:cs="Arial"/>
                <w:sz w:val="20"/>
                <w:szCs w:val="20"/>
                <w:lang w:val="en-US"/>
              </w:rPr>
              <w:t>V</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753ACB">
              <w:rPr>
                <w:rFonts w:ascii="Verdana" w:hAnsi="Verdana"/>
                <w:sz w:val="20"/>
                <w:szCs w:val="20"/>
              </w:rPr>
              <w:t>11</w:t>
            </w:r>
            <w:r w:rsidR="00160129" w:rsidRPr="00F35A04">
              <w:rPr>
                <w:rFonts w:ascii="Verdana" w:hAnsi="Verdana"/>
                <w:sz w:val="20"/>
                <w:szCs w:val="20"/>
              </w:rPr>
              <w:t>.</w:t>
            </w:r>
            <w:r w:rsidR="00753ACB">
              <w:rPr>
                <w:rFonts w:ascii="Verdana" w:hAnsi="Verdana"/>
                <w:sz w:val="20"/>
                <w:szCs w:val="20"/>
              </w:rPr>
              <w:t>3</w:t>
            </w:r>
          </w:p>
          <w:p w:rsidR="005554A5" w:rsidRPr="00F35A04" w:rsidRDefault="005554A5" w:rsidP="00753ACB">
            <w:pPr>
              <w:rPr>
                <w:rFonts w:ascii="Verdana" w:hAnsi="Verdana"/>
                <w:sz w:val="20"/>
                <w:szCs w:val="20"/>
              </w:rPr>
            </w:pPr>
            <w:r w:rsidRPr="00F35A04">
              <w:rPr>
                <w:rFonts w:ascii="Verdana" w:hAnsi="Verdana"/>
                <w:sz w:val="20"/>
                <w:szCs w:val="20"/>
              </w:rPr>
              <w:t>(</w:t>
            </w:r>
            <w:r w:rsidR="00753ACB">
              <w:rPr>
                <w:rFonts w:ascii="Verdana" w:hAnsi="Verdana"/>
                <w:sz w:val="20"/>
                <w:szCs w:val="20"/>
              </w:rPr>
              <w:t>30</w:t>
            </w:r>
            <w:r w:rsidRPr="00F35A04">
              <w:rPr>
                <w:rFonts w:ascii="Verdana" w:hAnsi="Verdana"/>
                <w:sz w:val="20"/>
                <w:szCs w:val="20"/>
              </w:rPr>
              <w:t>.</w:t>
            </w:r>
            <w:r w:rsidR="00D564D5" w:rsidRPr="00F35A04">
              <w:rPr>
                <w:rFonts w:ascii="Verdana" w:hAnsi="Verdana"/>
                <w:sz w:val="20"/>
                <w:szCs w:val="20"/>
              </w:rPr>
              <w:t xml:space="preserve"> </w:t>
            </w:r>
            <w:r w:rsidR="00753ACB">
              <w:rPr>
                <w:rFonts w:ascii="Verdana" w:hAnsi="Verdana"/>
                <w:sz w:val="20"/>
                <w:szCs w:val="20"/>
              </w:rPr>
              <w:t>5</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D51173">
              <w:rPr>
                <w:rFonts w:ascii="Verdana" w:hAnsi="Verdana"/>
                <w:sz w:val="20"/>
                <w:szCs w:val="20"/>
              </w:rPr>
              <w:t>6</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753ACB">
            <w:pPr>
              <w:rPr>
                <w:rFonts w:ascii="Verdana" w:hAnsi="Verdana"/>
                <w:sz w:val="20"/>
                <w:szCs w:val="20"/>
              </w:rPr>
            </w:pPr>
            <w:r w:rsidRPr="00F35A04">
              <w:rPr>
                <w:rFonts w:ascii="Verdana" w:hAnsi="Verdana"/>
                <w:sz w:val="20"/>
                <w:szCs w:val="20"/>
              </w:rPr>
              <w:t xml:space="preserve">ITEM </w:t>
            </w:r>
            <w:r w:rsidR="00753ACB">
              <w:rPr>
                <w:rFonts w:ascii="Verdana" w:hAnsi="Verdana"/>
                <w:sz w:val="20"/>
                <w:szCs w:val="20"/>
              </w:rPr>
              <w:t>11.3</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bookmarkStart w:id="0" w:name="Text1"/>
    <w:p w:rsidR="009F245F" w:rsidRPr="00F35A04" w:rsidRDefault="009F245F" w:rsidP="00753ACB">
      <w:pPr>
        <w:jc w:val="center"/>
        <w:rPr>
          <w:rFonts w:ascii="Verdana" w:hAnsi="Verdana"/>
          <w:sz w:val="20"/>
          <w:szCs w:val="20"/>
        </w:rPr>
      </w:pPr>
      <w:r w:rsidRPr="00F35A04">
        <w:rPr>
          <w:rFonts w:ascii="Verdana" w:hAnsi="Verdana"/>
          <w:sz w:val="20"/>
          <w:szCs w:val="20"/>
        </w:rPr>
        <w:fldChar w:fldCharType="begin">
          <w:ffData>
            <w:name w:val="Text1"/>
            <w:enabled/>
            <w:calcOnExit w:val="0"/>
            <w:textInput>
              <w:default w:val="Upper-level subject, e.g. BUFR AND CREX"/>
            </w:textInput>
          </w:ffData>
        </w:fldChar>
      </w:r>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00753ACB">
        <w:t>COLLABORATION WITH OTHER ORGANIZATIONS AND TECHNICAL BODIES</w:t>
      </w:r>
      <w:r w:rsidRPr="00F35A04">
        <w:rPr>
          <w:rFonts w:ascii="Verdana" w:hAnsi="Verdana"/>
          <w:sz w:val="20"/>
          <w:szCs w:val="20"/>
        </w:rPr>
        <w:fldChar w:fldCharType="end"/>
      </w:r>
      <w:bookmarkEnd w:id="0"/>
    </w:p>
    <w:bookmarkStart w:id="1" w:name="Text2"/>
    <w:p w:rsidR="009F245F" w:rsidRPr="00753ACB" w:rsidRDefault="009F245F" w:rsidP="00753ACB">
      <w:pPr>
        <w:spacing w:before="240"/>
        <w:ind w:left="1208" w:right="1389"/>
        <w:jc w:val="center"/>
        <w:rPr>
          <w:rFonts w:ascii="Verdana" w:hAnsi="Verdana" w:cs="Arial"/>
          <w:bCs/>
          <w:sz w:val="20"/>
          <w:szCs w:val="20"/>
        </w:rPr>
      </w:pPr>
      <w:r w:rsidRPr="00753ACB">
        <w:rPr>
          <w:rFonts w:ascii="Verdana" w:hAnsi="Verdana" w:cs="Arial"/>
          <w:bCs/>
          <w:sz w:val="20"/>
          <w:szCs w:val="20"/>
        </w:rPr>
        <w:fldChar w:fldCharType="begin">
          <w:ffData>
            <w:name w:val="Text2"/>
            <w:enabled/>
            <w:calcOnExit w:val="0"/>
            <w:textInput>
              <w:default w:val="Title of proposal"/>
            </w:textInput>
          </w:ffData>
        </w:fldChar>
      </w:r>
      <w:r w:rsidRPr="00753ACB">
        <w:rPr>
          <w:rFonts w:ascii="Verdana" w:hAnsi="Verdana" w:cs="Arial"/>
          <w:bCs/>
          <w:sz w:val="20"/>
          <w:szCs w:val="20"/>
        </w:rPr>
        <w:instrText xml:space="preserve"> FORMTEXT </w:instrText>
      </w:r>
      <w:r w:rsidRPr="00753ACB">
        <w:rPr>
          <w:rFonts w:ascii="Verdana" w:hAnsi="Verdana" w:cs="Arial"/>
          <w:bCs/>
          <w:sz w:val="20"/>
          <w:szCs w:val="20"/>
        </w:rPr>
      </w:r>
      <w:r w:rsidRPr="00753ACB">
        <w:rPr>
          <w:rFonts w:ascii="Verdana" w:hAnsi="Verdana" w:cs="Arial"/>
          <w:bCs/>
          <w:sz w:val="20"/>
          <w:szCs w:val="20"/>
        </w:rPr>
        <w:fldChar w:fldCharType="separate"/>
      </w:r>
      <w:r w:rsidR="00753ACB" w:rsidRPr="00753ACB">
        <w:rPr>
          <w:rFonts w:ascii="Verdana" w:hAnsi="Verdana"/>
          <w:bCs/>
          <w:sz w:val="20"/>
          <w:szCs w:val="20"/>
          <w:lang w:val="en-US"/>
        </w:rPr>
        <w:t>CBS MG Task Team on representing upper air information in BUFR</w:t>
      </w:r>
      <w:r w:rsidR="00753ACB">
        <w:rPr>
          <w:rFonts w:ascii="Verdana" w:hAnsi="Verdana"/>
          <w:bCs/>
          <w:sz w:val="20"/>
          <w:szCs w:val="20"/>
          <w:lang w:val="en-US"/>
        </w:rPr>
        <w:t xml:space="preserve"> </w:t>
      </w:r>
      <w:r w:rsidR="00753ACB" w:rsidRPr="00753ACB">
        <w:rPr>
          <w:rFonts w:ascii="Verdana" w:hAnsi="Verdana"/>
          <w:bCs/>
          <w:sz w:val="20"/>
          <w:szCs w:val="20"/>
          <w:lang w:val="en-US"/>
        </w:rPr>
        <w:t>–</w:t>
      </w:r>
      <w:r w:rsidR="00753ACB">
        <w:rPr>
          <w:rFonts w:ascii="Verdana" w:hAnsi="Verdana"/>
          <w:bCs/>
          <w:sz w:val="20"/>
          <w:szCs w:val="20"/>
          <w:lang w:val="en-US"/>
        </w:rPr>
        <w:t xml:space="preserve"> </w:t>
      </w:r>
      <w:r w:rsidR="00753ACB" w:rsidRPr="00753ACB">
        <w:rPr>
          <w:rFonts w:ascii="Verdana" w:hAnsi="Verdana"/>
          <w:bCs/>
          <w:sz w:val="20"/>
          <w:szCs w:val="20"/>
          <w:lang w:val="en-US"/>
        </w:rPr>
        <w:t>Report to IPET-DRMM (May 2016)</w:t>
      </w:r>
      <w:r w:rsidRPr="00753ACB">
        <w:rPr>
          <w:rFonts w:ascii="Verdana" w:hAnsi="Verdana" w:cs="Arial"/>
          <w:bCs/>
          <w:sz w:val="20"/>
          <w:szCs w:val="20"/>
        </w:rPr>
        <w:fldChar w:fldCharType="end"/>
      </w:r>
      <w:bookmarkEnd w:id="1"/>
    </w:p>
    <w:p w:rsidR="009F245F" w:rsidRPr="00753ACB" w:rsidRDefault="009F245F" w:rsidP="00753ACB">
      <w:pPr>
        <w:spacing w:before="240"/>
        <w:jc w:val="center"/>
        <w:rPr>
          <w:rFonts w:ascii="Verdana" w:hAnsi="Verdana"/>
          <w:i/>
          <w:sz w:val="20"/>
          <w:szCs w:val="20"/>
        </w:rPr>
      </w:pPr>
      <w:r w:rsidRPr="00753ACB">
        <w:rPr>
          <w:rFonts w:ascii="Verdana" w:hAnsi="Verdana"/>
          <w:i/>
          <w:sz w:val="20"/>
          <w:szCs w:val="20"/>
        </w:rPr>
        <w:t xml:space="preserve">Submitted by </w:t>
      </w:r>
      <w:r w:rsidR="00753ACB" w:rsidRPr="00753ACB">
        <w:rPr>
          <w:rFonts w:ascii="Verdana" w:hAnsi="Verdana"/>
          <w:sz w:val="20"/>
          <w:szCs w:val="20"/>
        </w:rPr>
        <w:t>Stefan Klink</w:t>
      </w:r>
      <w:r w:rsidR="00753ACB" w:rsidRPr="00753ACB">
        <w:rPr>
          <w:rFonts w:ascii="Verdana" w:hAnsi="Verdana"/>
          <w:sz w:val="20"/>
          <w:szCs w:val="20"/>
        </w:rPr>
        <w:t xml:space="preserve"> (</w:t>
      </w:r>
      <w:r w:rsidR="00753ACB" w:rsidRPr="00753ACB">
        <w:rPr>
          <w:rFonts w:ascii="Verdana" w:hAnsi="Verdana"/>
          <w:sz w:val="20"/>
          <w:szCs w:val="20"/>
        </w:rPr>
        <w:t>EUMETNET</w:t>
      </w:r>
      <w:r w:rsidR="00753ACB" w:rsidRPr="00753ACB">
        <w:rPr>
          <w:rFonts w:ascii="Verdana" w:hAnsi="Verdana"/>
          <w:sz w:val="20"/>
          <w:szCs w:val="20"/>
        </w:rPr>
        <w:t>)</w:t>
      </w:r>
      <w:bookmarkStart w:id="2" w:name="_GoBack"/>
      <w:bookmarkEnd w:id="2"/>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753ACB" w:rsidRDefault="009F245F" w:rsidP="009F245F">
      <w:pPr>
        <w:rPr>
          <w:rFonts w:ascii="Verdana" w:hAnsi="Verdana"/>
          <w:b/>
          <w:sz w:val="20"/>
          <w:szCs w:val="20"/>
        </w:rPr>
      </w:pPr>
      <w:r w:rsidRPr="00F35A04">
        <w:rPr>
          <w:rFonts w:ascii="Verdana" w:hAnsi="Verdana"/>
          <w:b/>
          <w:sz w:val="20"/>
          <w:szCs w:val="20"/>
        </w:rPr>
        <w:br w:type="page"/>
      </w:r>
      <w:r w:rsidRPr="00753ACB">
        <w:rPr>
          <w:rFonts w:ascii="Verdana" w:hAnsi="Verdana"/>
          <w:b/>
          <w:sz w:val="20"/>
          <w:szCs w:val="20"/>
        </w:rPr>
        <w:lastRenderedPageBreak/>
        <w:t>DISCUSSIONS</w:t>
      </w:r>
    </w:p>
    <w:p w:rsidR="009F245F" w:rsidRPr="00753ACB" w:rsidRDefault="009F245F" w:rsidP="009F245F">
      <w:pPr>
        <w:rPr>
          <w:rFonts w:ascii="Verdana" w:hAnsi="Verdana"/>
          <w:sz w:val="20"/>
          <w:szCs w:val="20"/>
        </w:rPr>
      </w:pPr>
    </w:p>
    <w:p w:rsidR="00753ACB" w:rsidRPr="00753ACB" w:rsidRDefault="00753ACB" w:rsidP="00753ACB">
      <w:pPr>
        <w:rPr>
          <w:rFonts w:ascii="Verdana" w:hAnsi="Verdana"/>
          <w:sz w:val="20"/>
          <w:szCs w:val="20"/>
          <w:lang w:val="en-US"/>
        </w:rPr>
      </w:pPr>
      <w:r w:rsidRPr="00753ACB">
        <w:rPr>
          <w:rFonts w:ascii="Verdana" w:hAnsi="Verdana"/>
          <w:sz w:val="20"/>
          <w:szCs w:val="20"/>
          <w:lang w:val="en-US"/>
        </w:rPr>
        <w:t>The CBS MG Task Team on representing upper air information in BUFR has held its kick-off meeting as WebEx meeting on 21</w:t>
      </w:r>
      <w:r w:rsidRPr="00753ACB">
        <w:rPr>
          <w:rFonts w:ascii="Verdana" w:hAnsi="Verdana"/>
          <w:sz w:val="20"/>
          <w:szCs w:val="20"/>
          <w:vertAlign w:val="superscript"/>
          <w:lang w:val="en-US"/>
        </w:rPr>
        <w:t>st</w:t>
      </w:r>
      <w:r w:rsidRPr="00753ACB">
        <w:rPr>
          <w:rFonts w:ascii="Verdana" w:hAnsi="Verdana"/>
          <w:sz w:val="20"/>
          <w:szCs w:val="20"/>
          <w:lang w:val="en-US"/>
        </w:rPr>
        <w:t xml:space="preserve"> April 2016, 13:00-14:20 UTC. The WebEx meeting was hosted by WMO-Secretariat (Steve Foreman).</w:t>
      </w:r>
    </w:p>
    <w:p w:rsidR="00753ACB" w:rsidRPr="00753ACB" w:rsidRDefault="00753ACB" w:rsidP="00753ACB">
      <w:pPr>
        <w:rPr>
          <w:rFonts w:ascii="Verdana" w:hAnsi="Verdana"/>
          <w:sz w:val="20"/>
          <w:szCs w:val="20"/>
          <w:lang w:val="en-US"/>
        </w:rPr>
      </w:pPr>
      <w:r w:rsidRPr="00753ACB">
        <w:rPr>
          <w:rFonts w:ascii="Verdana" w:hAnsi="Verdana"/>
          <w:sz w:val="20"/>
          <w:szCs w:val="20"/>
          <w:lang w:val="en-US"/>
        </w:rPr>
        <w:t>The following table shows the participants of the kick-off meeting. There are a few more official nominations of experts to this Task Team (e.g. from Brazil, Canada and France). However, they haven’t been able to engaging actively in the work of the Task Team yet. The Task Team has asked Steve Foreman to motivating a few more persons to participate in this Task Team, e.g. representatives from RA III (South America) and RA I (Africa).</w:t>
      </w:r>
    </w:p>
    <w:p w:rsidR="00753ACB" w:rsidRPr="00753ACB" w:rsidRDefault="00753ACB" w:rsidP="00753ACB">
      <w:pPr>
        <w:rPr>
          <w:rFonts w:ascii="Verdana" w:hAnsi="Verdana"/>
          <w:sz w:val="20"/>
          <w:szCs w:val="20"/>
          <w:lang w:val="en-US"/>
        </w:rPr>
      </w:pPr>
    </w:p>
    <w:tbl>
      <w:tblPr>
        <w:tblStyle w:val="TableGrid"/>
        <w:tblW w:w="0" w:type="auto"/>
        <w:tblLook w:val="04A0" w:firstRow="1" w:lastRow="0" w:firstColumn="1" w:lastColumn="0" w:noHBand="0" w:noVBand="1"/>
      </w:tblPr>
      <w:tblGrid>
        <w:gridCol w:w="1973"/>
        <w:gridCol w:w="1792"/>
        <w:gridCol w:w="6061"/>
      </w:tblGrid>
      <w:tr w:rsidR="00753ACB" w:rsidRPr="00753ACB" w:rsidTr="00636C88">
        <w:tc>
          <w:tcPr>
            <w:tcW w:w="1973" w:type="dxa"/>
          </w:tcPr>
          <w:p w:rsidR="00753ACB" w:rsidRPr="00753ACB" w:rsidRDefault="00753ACB" w:rsidP="00636C88">
            <w:pPr>
              <w:rPr>
                <w:rFonts w:ascii="Verdana" w:hAnsi="Verdana"/>
                <w:b/>
                <w:sz w:val="20"/>
                <w:szCs w:val="20"/>
                <w:lang w:val="en-US"/>
              </w:rPr>
            </w:pPr>
            <w:r w:rsidRPr="00753ACB">
              <w:rPr>
                <w:rFonts w:ascii="Verdana" w:hAnsi="Verdana"/>
                <w:b/>
                <w:sz w:val="20"/>
                <w:szCs w:val="20"/>
                <w:lang w:val="en-US"/>
              </w:rPr>
              <w:t>Participants name</w:t>
            </w:r>
          </w:p>
        </w:tc>
        <w:tc>
          <w:tcPr>
            <w:tcW w:w="1254" w:type="dxa"/>
          </w:tcPr>
          <w:p w:rsidR="00753ACB" w:rsidRPr="00753ACB" w:rsidRDefault="00753ACB" w:rsidP="00636C88">
            <w:pPr>
              <w:rPr>
                <w:rFonts w:ascii="Verdana" w:hAnsi="Verdana"/>
                <w:b/>
                <w:sz w:val="20"/>
                <w:szCs w:val="20"/>
                <w:lang w:val="en-US"/>
              </w:rPr>
            </w:pPr>
            <w:proofErr w:type="spellStart"/>
            <w:r w:rsidRPr="00753ACB">
              <w:rPr>
                <w:rFonts w:ascii="Verdana" w:hAnsi="Verdana"/>
                <w:b/>
                <w:sz w:val="20"/>
                <w:szCs w:val="20"/>
                <w:lang w:val="en-US"/>
              </w:rPr>
              <w:t>Organisation</w:t>
            </w:r>
            <w:proofErr w:type="spellEnd"/>
          </w:p>
        </w:tc>
        <w:tc>
          <w:tcPr>
            <w:tcW w:w="6061" w:type="dxa"/>
          </w:tcPr>
          <w:p w:rsidR="00753ACB" w:rsidRPr="00753ACB" w:rsidRDefault="00753ACB" w:rsidP="00636C88">
            <w:pPr>
              <w:rPr>
                <w:rFonts w:ascii="Verdana" w:hAnsi="Verdana"/>
                <w:b/>
                <w:sz w:val="20"/>
                <w:szCs w:val="20"/>
                <w:lang w:val="en-US"/>
              </w:rPr>
            </w:pPr>
            <w:r w:rsidRPr="00753ACB">
              <w:rPr>
                <w:rFonts w:ascii="Verdana" w:hAnsi="Verdana"/>
                <w:b/>
                <w:sz w:val="20"/>
                <w:szCs w:val="20"/>
                <w:lang w:val="en-US"/>
              </w:rPr>
              <w:t>Participants background</w:t>
            </w:r>
          </w:p>
        </w:tc>
      </w:tr>
      <w:tr w:rsidR="00753ACB" w:rsidRPr="00753ACB" w:rsidTr="00636C88">
        <w:tc>
          <w:tcPr>
            <w:tcW w:w="197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Sasha</w:t>
            </w:r>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ROSHYDROMET</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Data provider</w:t>
            </w:r>
          </w:p>
        </w:tc>
      </w:tr>
      <w:tr w:rsidR="00753ACB" w:rsidRPr="00753ACB" w:rsidTr="00636C88">
        <w:tc>
          <w:tcPr>
            <w:tcW w:w="1973" w:type="dxa"/>
          </w:tcPr>
          <w:p w:rsidR="00753ACB" w:rsidRPr="00753ACB" w:rsidRDefault="00753ACB" w:rsidP="00636C88">
            <w:pPr>
              <w:rPr>
                <w:rFonts w:ascii="Verdana" w:hAnsi="Verdana"/>
                <w:sz w:val="20"/>
                <w:szCs w:val="20"/>
                <w:lang w:val="en-US"/>
              </w:rPr>
            </w:pPr>
            <w:proofErr w:type="spellStart"/>
            <w:r w:rsidRPr="00753ACB">
              <w:rPr>
                <w:rFonts w:ascii="Verdana" w:hAnsi="Verdana"/>
                <w:sz w:val="20"/>
                <w:szCs w:val="20"/>
                <w:lang w:val="en-US"/>
              </w:rPr>
              <w:t>Jitsuko</w:t>
            </w:r>
            <w:proofErr w:type="spellEnd"/>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JMA</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Data provider and member of IPET-DRMM</w:t>
            </w:r>
          </w:p>
        </w:tc>
      </w:tr>
      <w:tr w:rsidR="00753ACB" w:rsidRPr="00753ACB" w:rsidTr="00636C88">
        <w:tc>
          <w:tcPr>
            <w:tcW w:w="197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Ota</w:t>
            </w:r>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JMA</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Data user, processing of conv. Observations for usage in NWP model</w:t>
            </w:r>
          </w:p>
        </w:tc>
      </w:tr>
      <w:tr w:rsidR="00753ACB" w:rsidRPr="00753ACB" w:rsidTr="00636C88">
        <w:tc>
          <w:tcPr>
            <w:tcW w:w="197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Pat</w:t>
            </w:r>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NRL</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Data user, R&amp;D support for operational NWP data preprocessing</w:t>
            </w:r>
          </w:p>
        </w:tc>
      </w:tr>
      <w:tr w:rsidR="00753ACB" w:rsidRPr="00753ACB" w:rsidTr="00636C88">
        <w:tc>
          <w:tcPr>
            <w:tcW w:w="197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Richard</w:t>
            </w:r>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UK Met Office</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Member of IPET-DRMM</w:t>
            </w:r>
          </w:p>
        </w:tc>
      </w:tr>
      <w:tr w:rsidR="00753ACB" w:rsidRPr="00753ACB" w:rsidTr="00636C88">
        <w:tc>
          <w:tcPr>
            <w:tcW w:w="197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Warren</w:t>
            </w:r>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UK Met Office</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Data user, NWP</w:t>
            </w:r>
          </w:p>
        </w:tc>
      </w:tr>
      <w:tr w:rsidR="00753ACB" w:rsidRPr="00753ACB" w:rsidTr="00636C88">
        <w:tc>
          <w:tcPr>
            <w:tcW w:w="197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David</w:t>
            </w:r>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UK Met Office</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Data provider</w:t>
            </w:r>
          </w:p>
        </w:tc>
      </w:tr>
      <w:tr w:rsidR="00753ACB" w:rsidRPr="00753ACB" w:rsidTr="00636C88">
        <w:tc>
          <w:tcPr>
            <w:tcW w:w="197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Adam</w:t>
            </w:r>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UK Met Office</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Data user, data assimilation software</w:t>
            </w:r>
          </w:p>
        </w:tc>
      </w:tr>
      <w:tr w:rsidR="00753ACB" w:rsidRPr="00753ACB" w:rsidTr="00636C88">
        <w:tc>
          <w:tcPr>
            <w:tcW w:w="197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Bruce</w:t>
            </w:r>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ECMWF</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Data user, data assimilation</w:t>
            </w:r>
          </w:p>
        </w:tc>
      </w:tr>
      <w:tr w:rsidR="00753ACB" w:rsidRPr="00753ACB" w:rsidTr="00636C88">
        <w:tc>
          <w:tcPr>
            <w:tcW w:w="197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Tanja</w:t>
            </w:r>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EUMETNET</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Observation data quality monitoring in EUMETNET</w:t>
            </w:r>
          </w:p>
        </w:tc>
      </w:tr>
      <w:tr w:rsidR="00753ACB" w:rsidRPr="00753ACB" w:rsidTr="00636C88">
        <w:tc>
          <w:tcPr>
            <w:tcW w:w="1973" w:type="dxa"/>
          </w:tcPr>
          <w:p w:rsidR="00753ACB" w:rsidRPr="00753ACB" w:rsidRDefault="00753ACB" w:rsidP="00636C88">
            <w:pPr>
              <w:rPr>
                <w:rFonts w:ascii="Verdana" w:hAnsi="Verdana"/>
                <w:sz w:val="20"/>
                <w:szCs w:val="20"/>
                <w:lang w:val="en-US"/>
              </w:rPr>
            </w:pPr>
            <w:proofErr w:type="spellStart"/>
            <w:r w:rsidRPr="00753ACB">
              <w:rPr>
                <w:rFonts w:ascii="Verdana" w:hAnsi="Verdana"/>
                <w:sz w:val="20"/>
                <w:szCs w:val="20"/>
                <w:lang w:val="en-US"/>
              </w:rPr>
              <w:t>Weihong</w:t>
            </w:r>
            <w:proofErr w:type="spellEnd"/>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CMA</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 xml:space="preserve">Data user, observation data preprocessing at NWP </w:t>
            </w:r>
            <w:proofErr w:type="spellStart"/>
            <w:r w:rsidRPr="00753ACB">
              <w:rPr>
                <w:rFonts w:ascii="Verdana" w:hAnsi="Verdana"/>
                <w:sz w:val="20"/>
                <w:szCs w:val="20"/>
                <w:lang w:val="en-US"/>
              </w:rPr>
              <w:t>centre</w:t>
            </w:r>
            <w:proofErr w:type="spellEnd"/>
          </w:p>
        </w:tc>
      </w:tr>
      <w:tr w:rsidR="00753ACB" w:rsidRPr="00753ACB" w:rsidTr="00636C88">
        <w:tc>
          <w:tcPr>
            <w:tcW w:w="1973" w:type="dxa"/>
          </w:tcPr>
          <w:p w:rsidR="00753ACB" w:rsidRPr="00753ACB" w:rsidRDefault="00753ACB" w:rsidP="00636C88">
            <w:pPr>
              <w:rPr>
                <w:rFonts w:ascii="Verdana" w:hAnsi="Verdana"/>
                <w:sz w:val="20"/>
                <w:szCs w:val="20"/>
                <w:lang w:val="en-US"/>
              </w:rPr>
            </w:pPr>
            <w:proofErr w:type="spellStart"/>
            <w:r w:rsidRPr="00753ACB">
              <w:rPr>
                <w:rFonts w:ascii="Verdana" w:hAnsi="Verdana"/>
                <w:sz w:val="20"/>
                <w:szCs w:val="20"/>
                <w:lang w:val="en-US"/>
              </w:rPr>
              <w:t>Weiqing</w:t>
            </w:r>
            <w:proofErr w:type="spellEnd"/>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BoM Australia</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Member of IPET-DRMM, message-switching unit</w:t>
            </w:r>
          </w:p>
        </w:tc>
      </w:tr>
      <w:tr w:rsidR="00753ACB" w:rsidRPr="00753ACB" w:rsidTr="00636C88">
        <w:tc>
          <w:tcPr>
            <w:tcW w:w="197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Steve</w:t>
            </w:r>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WMO</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WMO Secretariat</w:t>
            </w:r>
          </w:p>
        </w:tc>
      </w:tr>
      <w:tr w:rsidR="00753ACB" w:rsidRPr="00753ACB" w:rsidTr="00636C88">
        <w:tc>
          <w:tcPr>
            <w:tcW w:w="197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Stefan</w:t>
            </w:r>
          </w:p>
        </w:tc>
        <w:tc>
          <w:tcPr>
            <w:tcW w:w="1254"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EUMETNET</w:t>
            </w:r>
          </w:p>
        </w:tc>
        <w:tc>
          <w:tcPr>
            <w:tcW w:w="606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 xml:space="preserve">Chair, EUMETNET Observations </w:t>
            </w:r>
            <w:proofErr w:type="spellStart"/>
            <w:r w:rsidRPr="00753ACB">
              <w:rPr>
                <w:rFonts w:ascii="Verdana" w:hAnsi="Verdana"/>
                <w:sz w:val="20"/>
                <w:szCs w:val="20"/>
                <w:lang w:val="en-US"/>
              </w:rPr>
              <w:t>Programme</w:t>
            </w:r>
            <w:proofErr w:type="spellEnd"/>
            <w:r w:rsidRPr="00753ACB">
              <w:rPr>
                <w:rFonts w:ascii="Verdana" w:hAnsi="Verdana"/>
                <w:sz w:val="20"/>
                <w:szCs w:val="20"/>
                <w:lang w:val="en-US"/>
              </w:rPr>
              <w:t xml:space="preserve"> Manager</w:t>
            </w:r>
          </w:p>
        </w:tc>
      </w:tr>
    </w:tbl>
    <w:p w:rsidR="00753ACB" w:rsidRPr="00753ACB" w:rsidRDefault="00753ACB" w:rsidP="00753ACB">
      <w:pPr>
        <w:rPr>
          <w:rFonts w:ascii="Verdana" w:hAnsi="Verdana"/>
          <w:sz w:val="20"/>
          <w:szCs w:val="20"/>
          <w:lang w:val="en-US"/>
        </w:rPr>
      </w:pPr>
    </w:p>
    <w:p w:rsidR="00753ACB" w:rsidRPr="00753ACB" w:rsidRDefault="00753ACB" w:rsidP="00753ACB">
      <w:pPr>
        <w:rPr>
          <w:rFonts w:ascii="Verdana" w:hAnsi="Verdana"/>
          <w:sz w:val="20"/>
          <w:szCs w:val="20"/>
          <w:lang w:val="en-US"/>
        </w:rPr>
      </w:pPr>
      <w:r w:rsidRPr="00753ACB">
        <w:rPr>
          <w:rFonts w:ascii="Verdana" w:hAnsi="Verdana"/>
          <w:sz w:val="20"/>
          <w:szCs w:val="20"/>
          <w:lang w:val="en-US"/>
        </w:rPr>
        <w:t>The Task Team discussed the Terms of Reference and with support from Steve Foreman got clarification on task descriptions, expected deliverables and corresponding deadlines. The latest status can be found in the following table.</w:t>
      </w:r>
    </w:p>
    <w:p w:rsidR="00753ACB" w:rsidRDefault="00753ACB" w:rsidP="00753ACB">
      <w:pPr>
        <w:rPr>
          <w:rFonts w:ascii="Verdana" w:hAnsi="Verdana"/>
          <w:sz w:val="20"/>
          <w:szCs w:val="20"/>
          <w:lang w:val="en-US"/>
        </w:rPr>
      </w:pPr>
      <w:r w:rsidRPr="00753ACB">
        <w:rPr>
          <w:rFonts w:ascii="Verdana" w:hAnsi="Verdana"/>
          <w:sz w:val="20"/>
          <w:szCs w:val="20"/>
          <w:lang w:val="en-US"/>
        </w:rPr>
        <w:t>The Task Team has started identifying who can contribute to which of the tasks. It was decided to establish sub-groups. The membership is shown in the following table. If names are given in parentheses the persons will engage in this group when not enough other members have been nominated.</w:t>
      </w:r>
    </w:p>
    <w:p w:rsidR="00753ACB" w:rsidRPr="00753ACB" w:rsidRDefault="00753ACB" w:rsidP="00753ACB">
      <w:pPr>
        <w:rPr>
          <w:rFonts w:ascii="Verdana" w:hAnsi="Verdana"/>
          <w:sz w:val="20"/>
          <w:szCs w:val="20"/>
          <w:lang w:val="en-US"/>
        </w:rPr>
      </w:pPr>
    </w:p>
    <w:tbl>
      <w:tblPr>
        <w:tblStyle w:val="TableGrid"/>
        <w:tblW w:w="9322" w:type="dxa"/>
        <w:tblLook w:val="04A0" w:firstRow="1" w:lastRow="0" w:firstColumn="1" w:lastColumn="0" w:noHBand="0" w:noVBand="1"/>
      </w:tblPr>
      <w:tblGrid>
        <w:gridCol w:w="3719"/>
        <w:gridCol w:w="2059"/>
        <w:gridCol w:w="1701"/>
        <w:gridCol w:w="1843"/>
      </w:tblGrid>
      <w:tr w:rsidR="00753ACB" w:rsidRPr="00753ACB" w:rsidTr="00636C88">
        <w:tc>
          <w:tcPr>
            <w:tcW w:w="3719" w:type="dxa"/>
          </w:tcPr>
          <w:p w:rsidR="00753ACB" w:rsidRPr="00753ACB" w:rsidRDefault="00753ACB" w:rsidP="00636C88">
            <w:pPr>
              <w:rPr>
                <w:rFonts w:ascii="Verdana" w:hAnsi="Verdana"/>
                <w:b/>
                <w:sz w:val="20"/>
                <w:szCs w:val="20"/>
                <w:lang w:val="en-US"/>
              </w:rPr>
            </w:pPr>
            <w:r w:rsidRPr="00753ACB">
              <w:rPr>
                <w:rFonts w:ascii="Verdana" w:hAnsi="Verdana"/>
                <w:b/>
                <w:sz w:val="20"/>
                <w:szCs w:val="20"/>
                <w:lang w:val="en-US"/>
              </w:rPr>
              <w:t>Tasks</w:t>
            </w:r>
          </w:p>
        </w:tc>
        <w:tc>
          <w:tcPr>
            <w:tcW w:w="2059" w:type="dxa"/>
          </w:tcPr>
          <w:p w:rsidR="00753ACB" w:rsidRPr="00753ACB" w:rsidRDefault="00753ACB" w:rsidP="00636C88">
            <w:pPr>
              <w:rPr>
                <w:rFonts w:ascii="Verdana" w:hAnsi="Verdana"/>
                <w:b/>
                <w:sz w:val="20"/>
                <w:szCs w:val="20"/>
                <w:lang w:val="en-US"/>
              </w:rPr>
            </w:pPr>
            <w:r w:rsidRPr="00753ACB">
              <w:rPr>
                <w:rFonts w:ascii="Verdana" w:hAnsi="Verdana"/>
                <w:b/>
                <w:sz w:val="20"/>
                <w:szCs w:val="20"/>
                <w:lang w:val="en-US"/>
              </w:rPr>
              <w:t>Deliverable</w:t>
            </w:r>
          </w:p>
        </w:tc>
        <w:tc>
          <w:tcPr>
            <w:tcW w:w="1701" w:type="dxa"/>
          </w:tcPr>
          <w:p w:rsidR="00753ACB" w:rsidRPr="00753ACB" w:rsidRDefault="00753ACB" w:rsidP="00636C88">
            <w:pPr>
              <w:rPr>
                <w:rFonts w:ascii="Verdana" w:hAnsi="Verdana"/>
                <w:b/>
                <w:sz w:val="20"/>
                <w:szCs w:val="20"/>
                <w:lang w:val="en-US"/>
              </w:rPr>
            </w:pPr>
            <w:r w:rsidRPr="00753ACB">
              <w:rPr>
                <w:rFonts w:ascii="Verdana" w:hAnsi="Verdana"/>
                <w:b/>
                <w:sz w:val="20"/>
                <w:szCs w:val="20"/>
                <w:lang w:val="en-US"/>
              </w:rPr>
              <w:t>Deadline</w:t>
            </w:r>
          </w:p>
        </w:tc>
        <w:tc>
          <w:tcPr>
            <w:tcW w:w="1843" w:type="dxa"/>
          </w:tcPr>
          <w:p w:rsidR="00753ACB" w:rsidRPr="00753ACB" w:rsidRDefault="00753ACB" w:rsidP="00636C88">
            <w:pPr>
              <w:rPr>
                <w:rFonts w:ascii="Verdana" w:hAnsi="Verdana"/>
                <w:b/>
                <w:sz w:val="20"/>
                <w:szCs w:val="20"/>
                <w:lang w:val="en-US"/>
              </w:rPr>
            </w:pPr>
            <w:r w:rsidRPr="00753ACB">
              <w:rPr>
                <w:rFonts w:ascii="Verdana" w:hAnsi="Verdana"/>
                <w:b/>
                <w:sz w:val="20"/>
                <w:szCs w:val="20"/>
                <w:lang w:val="en-US"/>
              </w:rPr>
              <w:t>Sub-group members</w:t>
            </w:r>
          </w:p>
        </w:tc>
      </w:tr>
      <w:tr w:rsidR="00753ACB" w:rsidRPr="00753ACB" w:rsidTr="00636C88">
        <w:tc>
          <w:tcPr>
            <w:tcW w:w="3719"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a1)</w:t>
            </w:r>
            <w:r w:rsidRPr="00753ACB">
              <w:rPr>
                <w:rFonts w:ascii="Verdana" w:hAnsi="Verdana"/>
                <w:sz w:val="20"/>
                <w:szCs w:val="20"/>
                <w:lang w:val="en-US"/>
              </w:rPr>
              <w:tab/>
              <w:t xml:space="preserve">to summarize general issues related to BUFR and requests on how to promote TDCF migration from the viewpoint of NWP </w:t>
            </w:r>
            <w:proofErr w:type="spellStart"/>
            <w:r w:rsidRPr="00753ACB">
              <w:rPr>
                <w:rFonts w:ascii="Verdana" w:hAnsi="Verdana"/>
                <w:sz w:val="20"/>
                <w:szCs w:val="20"/>
                <w:lang w:val="en-US"/>
              </w:rPr>
              <w:t>centres</w:t>
            </w:r>
            <w:proofErr w:type="spellEnd"/>
            <w:r w:rsidRPr="00753ACB">
              <w:rPr>
                <w:rFonts w:ascii="Verdana" w:hAnsi="Verdana"/>
                <w:sz w:val="20"/>
                <w:szCs w:val="20"/>
                <w:lang w:val="en-US"/>
              </w:rPr>
              <w:t xml:space="preserve"> and report them to IPET-DRMM;</w:t>
            </w:r>
          </w:p>
          <w:p w:rsidR="00753ACB" w:rsidRPr="00753ACB" w:rsidRDefault="00753ACB" w:rsidP="00636C88">
            <w:pPr>
              <w:rPr>
                <w:rFonts w:ascii="Verdana" w:hAnsi="Verdana"/>
                <w:sz w:val="20"/>
                <w:szCs w:val="20"/>
                <w:lang w:val="en-US"/>
              </w:rPr>
            </w:pPr>
          </w:p>
        </w:tc>
        <w:tc>
          <w:tcPr>
            <w:tcW w:w="2059"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Catalogue</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(document or wiki page?). Pull all the information into one place to avoid duplication of effort</w:t>
            </w:r>
          </w:p>
        </w:tc>
        <w:tc>
          <w:tcPr>
            <w:tcW w:w="1701" w:type="dxa"/>
          </w:tcPr>
          <w:p w:rsidR="00753ACB" w:rsidRPr="00753ACB" w:rsidRDefault="00753ACB" w:rsidP="00636C88">
            <w:pPr>
              <w:rPr>
                <w:rFonts w:ascii="Verdana" w:hAnsi="Verdana"/>
                <w:sz w:val="20"/>
                <w:szCs w:val="20"/>
                <w:lang w:val="en-US"/>
              </w:rPr>
            </w:pPr>
          </w:p>
        </w:tc>
        <w:tc>
          <w:tcPr>
            <w:tcW w:w="184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Sasha</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Bruce</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Ota</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(Pat)</w:t>
            </w:r>
          </w:p>
        </w:tc>
      </w:tr>
      <w:tr w:rsidR="00753ACB" w:rsidRPr="00753ACB" w:rsidTr="00636C88">
        <w:tc>
          <w:tcPr>
            <w:tcW w:w="3719"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a2)</w:t>
            </w:r>
            <w:r w:rsidRPr="00753ACB">
              <w:rPr>
                <w:rFonts w:ascii="Verdana" w:hAnsi="Verdana"/>
                <w:sz w:val="20"/>
                <w:szCs w:val="20"/>
                <w:lang w:val="en-US"/>
              </w:rPr>
              <w:tab/>
              <w:t xml:space="preserve">to advise IPET-DRMM on a method by which NWP </w:t>
            </w:r>
            <w:proofErr w:type="spellStart"/>
            <w:r w:rsidRPr="00753ACB">
              <w:rPr>
                <w:rFonts w:ascii="Verdana" w:hAnsi="Verdana"/>
                <w:sz w:val="20"/>
                <w:szCs w:val="20"/>
                <w:lang w:val="en-US"/>
              </w:rPr>
              <w:t>centres</w:t>
            </w:r>
            <w:proofErr w:type="spellEnd"/>
            <w:r w:rsidRPr="00753ACB">
              <w:rPr>
                <w:rFonts w:ascii="Verdana" w:hAnsi="Verdana"/>
                <w:sz w:val="20"/>
                <w:szCs w:val="20"/>
                <w:lang w:val="en-US"/>
              </w:rPr>
              <w:t xml:space="preserve"> report every issue they find in BUFR messages;</w:t>
            </w:r>
          </w:p>
          <w:p w:rsidR="00753ACB" w:rsidRPr="00753ACB" w:rsidRDefault="00753ACB" w:rsidP="00636C88">
            <w:pPr>
              <w:rPr>
                <w:rFonts w:ascii="Verdana" w:hAnsi="Verdana"/>
                <w:sz w:val="20"/>
                <w:szCs w:val="20"/>
                <w:lang w:val="en-US"/>
              </w:rPr>
            </w:pPr>
          </w:p>
        </w:tc>
        <w:tc>
          <w:tcPr>
            <w:tcW w:w="2059"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Recommendation to IPET-DRMM</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(short document)</w:t>
            </w:r>
          </w:p>
        </w:tc>
        <w:tc>
          <w:tcPr>
            <w:tcW w:w="170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 xml:space="preserve">Draft to DRMM by end July, draft changes to structures for CBS by </w:t>
            </w:r>
            <w:r w:rsidRPr="00753ACB">
              <w:rPr>
                <w:rFonts w:ascii="Verdana" w:hAnsi="Verdana"/>
                <w:sz w:val="20"/>
                <w:szCs w:val="20"/>
                <w:lang w:val="en-US"/>
              </w:rPr>
              <w:lastRenderedPageBreak/>
              <w:t>end August</w:t>
            </w:r>
          </w:p>
        </w:tc>
        <w:tc>
          <w:tcPr>
            <w:tcW w:w="184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lastRenderedPageBreak/>
              <w:t>Bruce</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Pat</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Richard</w:t>
            </w:r>
          </w:p>
          <w:p w:rsidR="00753ACB" w:rsidRPr="00753ACB" w:rsidRDefault="00753ACB" w:rsidP="00636C88">
            <w:pPr>
              <w:rPr>
                <w:rFonts w:ascii="Verdana" w:hAnsi="Verdana"/>
                <w:sz w:val="20"/>
                <w:szCs w:val="20"/>
                <w:lang w:val="en-US"/>
              </w:rPr>
            </w:pPr>
          </w:p>
        </w:tc>
      </w:tr>
      <w:tr w:rsidR="00753ACB" w:rsidRPr="00753ACB" w:rsidTr="00636C88">
        <w:tc>
          <w:tcPr>
            <w:tcW w:w="3719"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lastRenderedPageBreak/>
              <w:t>a3)</w:t>
            </w:r>
            <w:r w:rsidRPr="00753ACB">
              <w:rPr>
                <w:rFonts w:ascii="Verdana" w:hAnsi="Verdana"/>
                <w:sz w:val="20"/>
                <w:szCs w:val="20"/>
                <w:lang w:val="en-US"/>
              </w:rPr>
              <w:tab/>
              <w:t xml:space="preserve">to advise to IPET-DRMM on the role of NWP </w:t>
            </w:r>
            <w:proofErr w:type="spellStart"/>
            <w:r w:rsidRPr="00753ACB">
              <w:rPr>
                <w:rFonts w:ascii="Verdana" w:hAnsi="Verdana"/>
                <w:sz w:val="20"/>
                <w:szCs w:val="20"/>
                <w:lang w:val="en-US"/>
              </w:rPr>
              <w:t>centres</w:t>
            </w:r>
            <w:proofErr w:type="spellEnd"/>
            <w:r w:rsidRPr="00753ACB">
              <w:rPr>
                <w:rFonts w:ascii="Verdana" w:hAnsi="Verdana"/>
                <w:sz w:val="20"/>
                <w:szCs w:val="20"/>
                <w:lang w:val="en-US"/>
              </w:rPr>
              <w:t xml:space="preserve"> in the process for checking the quality of BUFR messages.</w:t>
            </w:r>
          </w:p>
          <w:p w:rsidR="00753ACB" w:rsidRPr="00753ACB" w:rsidRDefault="00753ACB" w:rsidP="00636C88">
            <w:pPr>
              <w:rPr>
                <w:rFonts w:ascii="Verdana" w:hAnsi="Verdana"/>
                <w:sz w:val="20"/>
                <w:szCs w:val="20"/>
                <w:lang w:val="en-US"/>
              </w:rPr>
            </w:pPr>
          </w:p>
        </w:tc>
        <w:tc>
          <w:tcPr>
            <w:tcW w:w="2059"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Recommendation to IPET-DRMM</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(short document)</w:t>
            </w:r>
          </w:p>
        </w:tc>
        <w:tc>
          <w:tcPr>
            <w:tcW w:w="170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End December</w:t>
            </w:r>
          </w:p>
        </w:tc>
        <w:tc>
          <w:tcPr>
            <w:tcW w:w="184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Warren</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(Pat)</w:t>
            </w:r>
          </w:p>
        </w:tc>
      </w:tr>
      <w:tr w:rsidR="00753ACB" w:rsidRPr="00753ACB" w:rsidTr="00636C88">
        <w:tc>
          <w:tcPr>
            <w:tcW w:w="3719"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b)</w:t>
            </w:r>
            <w:r w:rsidRPr="00753ACB">
              <w:rPr>
                <w:rFonts w:ascii="Verdana" w:hAnsi="Verdana"/>
                <w:sz w:val="20"/>
                <w:szCs w:val="20"/>
                <w:lang w:val="en-US"/>
              </w:rPr>
              <w:tab/>
              <w:t xml:space="preserve">Coordinate with Members and their </w:t>
            </w:r>
            <w:proofErr w:type="spellStart"/>
            <w:r w:rsidRPr="00753ACB">
              <w:rPr>
                <w:rFonts w:ascii="Verdana" w:hAnsi="Verdana"/>
                <w:sz w:val="20"/>
                <w:szCs w:val="20"/>
                <w:lang w:val="en-US"/>
              </w:rPr>
              <w:t>Centres</w:t>
            </w:r>
            <w:proofErr w:type="spellEnd"/>
            <w:r w:rsidRPr="00753ACB">
              <w:rPr>
                <w:rFonts w:ascii="Verdana" w:hAnsi="Verdana"/>
                <w:sz w:val="20"/>
                <w:szCs w:val="20"/>
                <w:lang w:val="en-US"/>
              </w:rPr>
              <w:t xml:space="preserve"> to resolve identified problems.</w:t>
            </w:r>
          </w:p>
          <w:p w:rsidR="00753ACB" w:rsidRPr="00753ACB" w:rsidRDefault="00753ACB" w:rsidP="00636C88">
            <w:pPr>
              <w:rPr>
                <w:rFonts w:ascii="Verdana" w:hAnsi="Verdana"/>
                <w:sz w:val="20"/>
                <w:szCs w:val="20"/>
                <w:lang w:val="en-US"/>
              </w:rPr>
            </w:pPr>
          </w:p>
        </w:tc>
        <w:tc>
          <w:tcPr>
            <w:tcW w:w="2059"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Day-to-day monitoring and error tracking, contacting Members…</w:t>
            </w:r>
          </w:p>
        </w:tc>
        <w:tc>
          <w:tcPr>
            <w:tcW w:w="170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Continuous,</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but identify how the work is going to be continued after the end of this group</w:t>
            </w:r>
          </w:p>
        </w:tc>
        <w:tc>
          <w:tcPr>
            <w:tcW w:w="184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Sasha (both globally and on behalf of RAVI)</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Ota</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(Pat)</w:t>
            </w:r>
          </w:p>
        </w:tc>
      </w:tr>
      <w:tr w:rsidR="00753ACB" w:rsidRPr="00753ACB" w:rsidTr="00636C88">
        <w:tc>
          <w:tcPr>
            <w:tcW w:w="3719"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c)</w:t>
            </w:r>
            <w:r w:rsidRPr="00753ACB">
              <w:rPr>
                <w:rFonts w:ascii="Verdana" w:hAnsi="Verdana"/>
                <w:sz w:val="20"/>
                <w:szCs w:val="20"/>
                <w:lang w:val="en-US"/>
              </w:rPr>
              <w:tab/>
              <w:t xml:space="preserve">Assess the additional costs to user </w:t>
            </w:r>
            <w:proofErr w:type="spellStart"/>
            <w:r w:rsidRPr="00753ACB">
              <w:rPr>
                <w:rFonts w:ascii="Verdana" w:hAnsi="Verdana"/>
                <w:sz w:val="20"/>
                <w:szCs w:val="20"/>
                <w:lang w:val="en-US"/>
              </w:rPr>
              <w:t>centres</w:t>
            </w:r>
            <w:proofErr w:type="spellEnd"/>
            <w:r w:rsidRPr="00753ACB">
              <w:rPr>
                <w:rFonts w:ascii="Verdana" w:hAnsi="Verdana"/>
                <w:sz w:val="20"/>
                <w:szCs w:val="20"/>
                <w:lang w:val="en-US"/>
              </w:rPr>
              <w:t xml:space="preserve"> of maintaining their systems to process upper air observations continuing to be being sent in TAC, and assess the costs of accelerating migration of observing systems to produce information in correctly formatted BUFR.</w:t>
            </w:r>
          </w:p>
          <w:p w:rsidR="00753ACB" w:rsidRPr="00753ACB" w:rsidRDefault="00753ACB" w:rsidP="00636C88">
            <w:pPr>
              <w:rPr>
                <w:rFonts w:ascii="Verdana" w:hAnsi="Verdana"/>
                <w:sz w:val="20"/>
                <w:szCs w:val="20"/>
                <w:lang w:val="en-US"/>
              </w:rPr>
            </w:pPr>
          </w:p>
        </w:tc>
        <w:tc>
          <w:tcPr>
            <w:tcW w:w="2059"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Document</w:t>
            </w:r>
          </w:p>
        </w:tc>
        <w:tc>
          <w:tcPr>
            <w:tcW w:w="170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 xml:space="preserve">For consideration by IPET-DRMM in May (?) 2017 alongside </w:t>
            </w:r>
          </w:p>
        </w:tc>
        <w:tc>
          <w:tcPr>
            <w:tcW w:w="184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Sasha (from observing systems’ prospect)</w:t>
            </w:r>
          </w:p>
        </w:tc>
      </w:tr>
      <w:tr w:rsidR="00753ACB" w:rsidRPr="00753ACB" w:rsidTr="00636C88">
        <w:tc>
          <w:tcPr>
            <w:tcW w:w="3719"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w:t>
            </w:r>
            <w:r w:rsidRPr="00753ACB">
              <w:rPr>
                <w:rFonts w:ascii="Verdana" w:hAnsi="Verdana"/>
                <w:sz w:val="20"/>
                <w:szCs w:val="20"/>
                <w:lang w:val="en-US"/>
              </w:rPr>
              <w:tab/>
              <w:t xml:space="preserve">Summarize the benefits of using TDCF in preference to TAC from the perspective of NWP </w:t>
            </w:r>
            <w:proofErr w:type="spellStart"/>
            <w:r w:rsidRPr="00753ACB">
              <w:rPr>
                <w:rFonts w:ascii="Verdana" w:hAnsi="Verdana"/>
                <w:sz w:val="20"/>
                <w:szCs w:val="20"/>
                <w:lang w:val="en-US"/>
              </w:rPr>
              <w:t>centres</w:t>
            </w:r>
            <w:proofErr w:type="spellEnd"/>
            <w:r w:rsidRPr="00753ACB">
              <w:rPr>
                <w:rFonts w:ascii="Verdana" w:hAnsi="Verdana"/>
                <w:sz w:val="20"/>
                <w:szCs w:val="20"/>
                <w:lang w:val="en-US"/>
              </w:rPr>
              <w:t>. Collate information into a (short) form that can be used in discussions with high level managers to help convince them of the need to migrate properly.</w:t>
            </w:r>
          </w:p>
          <w:p w:rsidR="00753ACB" w:rsidRPr="00753ACB" w:rsidRDefault="00753ACB" w:rsidP="00636C88">
            <w:pPr>
              <w:rPr>
                <w:rFonts w:ascii="Verdana" w:hAnsi="Verdana"/>
                <w:sz w:val="20"/>
                <w:szCs w:val="20"/>
                <w:lang w:val="en-US"/>
              </w:rPr>
            </w:pPr>
          </w:p>
        </w:tc>
        <w:tc>
          <w:tcPr>
            <w:tcW w:w="2059"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Document</w:t>
            </w:r>
          </w:p>
        </w:tc>
        <w:tc>
          <w:tcPr>
            <w:tcW w:w="1701"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End May 2016</w:t>
            </w:r>
          </w:p>
        </w:tc>
        <w:tc>
          <w:tcPr>
            <w:tcW w:w="1843" w:type="dxa"/>
          </w:tcPr>
          <w:p w:rsidR="00753ACB" w:rsidRPr="00753ACB" w:rsidRDefault="00753ACB" w:rsidP="00636C88">
            <w:pPr>
              <w:rPr>
                <w:rFonts w:ascii="Verdana" w:hAnsi="Verdana"/>
                <w:sz w:val="20"/>
                <w:szCs w:val="20"/>
                <w:lang w:val="en-US"/>
              </w:rPr>
            </w:pPr>
            <w:r w:rsidRPr="00753ACB">
              <w:rPr>
                <w:rFonts w:ascii="Verdana" w:hAnsi="Verdana"/>
                <w:sz w:val="20"/>
                <w:szCs w:val="20"/>
                <w:lang w:val="en-US"/>
              </w:rPr>
              <w:t>Stefan</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Pat</w:t>
            </w:r>
          </w:p>
          <w:p w:rsidR="00753ACB" w:rsidRPr="00753ACB" w:rsidRDefault="00753ACB" w:rsidP="00636C88">
            <w:pPr>
              <w:rPr>
                <w:rFonts w:ascii="Verdana" w:hAnsi="Verdana"/>
                <w:sz w:val="20"/>
                <w:szCs w:val="20"/>
                <w:lang w:val="en-US"/>
              </w:rPr>
            </w:pPr>
            <w:r w:rsidRPr="00753ACB">
              <w:rPr>
                <w:rFonts w:ascii="Verdana" w:hAnsi="Verdana"/>
                <w:sz w:val="20"/>
                <w:szCs w:val="20"/>
                <w:lang w:val="en-US"/>
              </w:rPr>
              <w:t>Adam</w:t>
            </w:r>
          </w:p>
          <w:p w:rsidR="00753ACB" w:rsidRPr="00753ACB" w:rsidRDefault="00753ACB" w:rsidP="00636C88">
            <w:pPr>
              <w:rPr>
                <w:rFonts w:ascii="Verdana" w:hAnsi="Verdana"/>
                <w:sz w:val="20"/>
                <w:szCs w:val="20"/>
                <w:lang w:val="en-US"/>
              </w:rPr>
            </w:pPr>
          </w:p>
        </w:tc>
      </w:tr>
    </w:tbl>
    <w:p w:rsidR="00753ACB" w:rsidRPr="00753ACB" w:rsidRDefault="00753ACB" w:rsidP="00753ACB">
      <w:pPr>
        <w:rPr>
          <w:rFonts w:ascii="Verdana" w:hAnsi="Verdana"/>
          <w:b/>
          <w:sz w:val="20"/>
          <w:szCs w:val="20"/>
          <w:lang w:val="en-US"/>
        </w:rPr>
      </w:pPr>
    </w:p>
    <w:p w:rsidR="009F245F" w:rsidRPr="00753ACB" w:rsidRDefault="00753ACB" w:rsidP="00753ACB">
      <w:pPr>
        <w:rPr>
          <w:rFonts w:ascii="Verdana" w:hAnsi="Verdana"/>
          <w:sz w:val="20"/>
          <w:szCs w:val="20"/>
        </w:rPr>
      </w:pPr>
      <w:r w:rsidRPr="00753ACB">
        <w:rPr>
          <w:rFonts w:ascii="Verdana" w:hAnsi="Verdana"/>
          <w:sz w:val="20"/>
          <w:szCs w:val="20"/>
          <w:lang w:val="en-US"/>
        </w:rPr>
        <w:t>The sub-groups have started working by email on task a2 and d. The work on task d has almost been finished.</w:t>
      </w:r>
      <w:r w:rsidRPr="00753ACB">
        <w:rPr>
          <w:rFonts w:ascii="Verdana" w:hAnsi="Verdana"/>
          <w:sz w:val="20"/>
          <w:szCs w:val="20"/>
          <w:lang w:val="en-US"/>
        </w:rPr>
        <w:br/>
        <w:t>A draft final version of the document to be drafted under task d will be submitted to IPET-DRMM on 30</w:t>
      </w:r>
      <w:r w:rsidRPr="00753ACB">
        <w:rPr>
          <w:rFonts w:ascii="Verdana" w:hAnsi="Verdana"/>
          <w:sz w:val="20"/>
          <w:szCs w:val="20"/>
          <w:vertAlign w:val="superscript"/>
          <w:lang w:val="en-US"/>
        </w:rPr>
        <w:t>th</w:t>
      </w:r>
      <w:r w:rsidRPr="00753ACB">
        <w:rPr>
          <w:rFonts w:ascii="Verdana" w:hAnsi="Verdana"/>
          <w:sz w:val="20"/>
          <w:szCs w:val="20"/>
          <w:lang w:val="en-US"/>
        </w:rPr>
        <w:t xml:space="preserve"> May 2016.</w:t>
      </w:r>
    </w:p>
    <w:p w:rsidR="00202193" w:rsidRPr="00F35A04" w:rsidRDefault="00202193" w:rsidP="009F245F">
      <w:pPr>
        <w:rPr>
          <w:rFonts w:ascii="Verdana" w:hAnsi="Verdana"/>
          <w:sz w:val="20"/>
          <w:szCs w:val="20"/>
        </w:rPr>
      </w:pPr>
    </w:p>
    <w:p w:rsidR="00FC7FE8" w:rsidRPr="00F35A04" w:rsidRDefault="00FC7FE8" w:rsidP="009F245F">
      <w:pPr>
        <w:jc w:val="both"/>
        <w:rPr>
          <w:rFonts w:ascii="Verdana" w:hAnsi="Verdana"/>
          <w:sz w:val="20"/>
          <w:szCs w:val="20"/>
        </w:rPr>
      </w:pPr>
    </w:p>
    <w:p w:rsidR="00D51173" w:rsidRPr="00F35A04" w:rsidRDefault="00D51173">
      <w:pPr>
        <w:jc w:val="both"/>
        <w:rPr>
          <w:rFonts w:ascii="Verdana" w:hAnsi="Verdana"/>
          <w:sz w:val="20"/>
          <w:szCs w:val="20"/>
          <w:lang w:val="en-US"/>
        </w:rPr>
      </w:pPr>
    </w:p>
    <w:sectPr w:rsidR="00D51173"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CB" w:rsidRDefault="00753ACB" w:rsidP="00753ACB">
      <w:r>
        <w:separator/>
      </w:r>
    </w:p>
  </w:endnote>
  <w:endnote w:type="continuationSeparator" w:id="0">
    <w:p w:rsidR="00753ACB" w:rsidRDefault="00753ACB" w:rsidP="0075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CB" w:rsidRDefault="00753ACB" w:rsidP="00753ACB">
      <w:r>
        <w:separator/>
      </w:r>
    </w:p>
  </w:footnote>
  <w:footnote w:type="continuationSeparator" w:id="0">
    <w:p w:rsidR="00753ACB" w:rsidRDefault="00753ACB" w:rsidP="0075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53ACB"/>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82178"/>
    <w:rsid w:val="008A4415"/>
    <w:rsid w:val="008A48FF"/>
    <w:rsid w:val="008E669E"/>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E6561"/>
    <w:rsid w:val="00EF54F0"/>
    <w:rsid w:val="00F018F3"/>
    <w:rsid w:val="00F04F34"/>
    <w:rsid w:val="00F2595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Header">
    <w:name w:val="header"/>
    <w:basedOn w:val="Normal"/>
    <w:link w:val="HeaderChar"/>
    <w:rsid w:val="00753ACB"/>
    <w:pPr>
      <w:tabs>
        <w:tab w:val="center" w:pos="4513"/>
        <w:tab w:val="right" w:pos="9026"/>
      </w:tabs>
    </w:pPr>
  </w:style>
  <w:style w:type="character" w:customStyle="1" w:styleId="HeaderChar">
    <w:name w:val="Header Char"/>
    <w:basedOn w:val="DefaultParagraphFont"/>
    <w:link w:val="Header"/>
    <w:rsid w:val="00753ACB"/>
    <w:rPr>
      <w:rFonts w:ascii="Arial" w:hAnsi="Arial"/>
      <w:snapToGrid w:val="0"/>
      <w:sz w:val="22"/>
      <w:szCs w:val="22"/>
      <w:lang w:eastAsia="en-US"/>
    </w:rPr>
  </w:style>
  <w:style w:type="paragraph" w:styleId="Footer">
    <w:name w:val="footer"/>
    <w:basedOn w:val="Normal"/>
    <w:link w:val="FooterChar"/>
    <w:rsid w:val="00753ACB"/>
    <w:pPr>
      <w:tabs>
        <w:tab w:val="center" w:pos="4513"/>
        <w:tab w:val="right" w:pos="9026"/>
      </w:tabs>
    </w:pPr>
  </w:style>
  <w:style w:type="character" w:customStyle="1" w:styleId="FooterChar">
    <w:name w:val="Footer Char"/>
    <w:basedOn w:val="DefaultParagraphFont"/>
    <w:link w:val="Footer"/>
    <w:rsid w:val="00753ACB"/>
    <w:rPr>
      <w:rFonts w:ascii="Arial" w:hAnsi="Arial"/>
      <w:snapToGrid w:val="0"/>
      <w:sz w:val="22"/>
      <w:szCs w:val="22"/>
      <w:lang w:eastAsia="en-US"/>
    </w:rPr>
  </w:style>
  <w:style w:type="table" w:styleId="TableGrid">
    <w:name w:val="Table Grid"/>
    <w:basedOn w:val="TableNormal"/>
    <w:uiPriority w:val="59"/>
    <w:rsid w:val="00753ACB"/>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Header">
    <w:name w:val="header"/>
    <w:basedOn w:val="Normal"/>
    <w:link w:val="HeaderChar"/>
    <w:rsid w:val="00753ACB"/>
    <w:pPr>
      <w:tabs>
        <w:tab w:val="center" w:pos="4513"/>
        <w:tab w:val="right" w:pos="9026"/>
      </w:tabs>
    </w:pPr>
  </w:style>
  <w:style w:type="character" w:customStyle="1" w:styleId="HeaderChar">
    <w:name w:val="Header Char"/>
    <w:basedOn w:val="DefaultParagraphFont"/>
    <w:link w:val="Header"/>
    <w:rsid w:val="00753ACB"/>
    <w:rPr>
      <w:rFonts w:ascii="Arial" w:hAnsi="Arial"/>
      <w:snapToGrid w:val="0"/>
      <w:sz w:val="22"/>
      <w:szCs w:val="22"/>
      <w:lang w:eastAsia="en-US"/>
    </w:rPr>
  </w:style>
  <w:style w:type="paragraph" w:styleId="Footer">
    <w:name w:val="footer"/>
    <w:basedOn w:val="Normal"/>
    <w:link w:val="FooterChar"/>
    <w:rsid w:val="00753ACB"/>
    <w:pPr>
      <w:tabs>
        <w:tab w:val="center" w:pos="4513"/>
        <w:tab w:val="right" w:pos="9026"/>
      </w:tabs>
    </w:pPr>
  </w:style>
  <w:style w:type="character" w:customStyle="1" w:styleId="FooterChar">
    <w:name w:val="Footer Char"/>
    <w:basedOn w:val="DefaultParagraphFont"/>
    <w:link w:val="Footer"/>
    <w:rsid w:val="00753ACB"/>
    <w:rPr>
      <w:rFonts w:ascii="Arial" w:hAnsi="Arial"/>
      <w:snapToGrid w:val="0"/>
      <w:sz w:val="22"/>
      <w:szCs w:val="22"/>
      <w:lang w:eastAsia="en-US"/>
    </w:rPr>
  </w:style>
  <w:style w:type="table" w:styleId="TableGrid">
    <w:name w:val="Table Grid"/>
    <w:basedOn w:val="TableNormal"/>
    <w:uiPriority w:val="59"/>
    <w:rsid w:val="00753ACB"/>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2016-05-30T17:14:00Z</dcterms:created>
  <dcterms:modified xsi:type="dcterms:W3CDTF">2016-05-30T17:14:00Z</dcterms:modified>
</cp:coreProperties>
</file>