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74" w:rsidRPr="00D454D9" w:rsidRDefault="00B44874">
      <w:pPr>
        <w:pStyle w:val="Body"/>
        <w:pBdr>
          <w:top w:val="none" w:sz="0" w:space="0" w:color="auto"/>
          <w:left w:val="none" w:sz="0" w:space="0" w:color="auto"/>
          <w:bottom w:val="none" w:sz="0" w:space="0" w:color="auto"/>
          <w:right w:val="none" w:sz="0" w:space="0" w:color="auto"/>
          <w:bar w:val="none" w:sz="0" w:color="auto"/>
        </w:pBdr>
        <w:rPr>
          <w:b/>
          <w:sz w:val="36"/>
        </w:rPr>
      </w:pPr>
      <w:r w:rsidRPr="00D454D9">
        <w:rPr>
          <w:b/>
          <w:sz w:val="36"/>
        </w:rPr>
        <w:t>Annex 1</w:t>
      </w: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Default="00B44874">
      <w:pPr>
        <w:pStyle w:val="Body"/>
        <w:pBdr>
          <w:top w:val="none" w:sz="0" w:space="0" w:color="auto"/>
          <w:left w:val="none" w:sz="0" w:space="0" w:color="auto"/>
          <w:bottom w:val="none" w:sz="0" w:space="0" w:color="auto"/>
          <w:right w:val="none" w:sz="0" w:space="0" w:color="auto"/>
          <w:bar w:val="none" w:sz="0" w:color="auto"/>
        </w:pBdr>
        <w:rPr>
          <w:b/>
        </w:rP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rPr>
          <w:b/>
        </w:rPr>
      </w:pPr>
      <w:bookmarkStart w:id="0" w:name="_GoBack"/>
      <w:bookmarkEnd w:id="0"/>
      <w:r w:rsidRPr="00CE1C70">
        <w:rPr>
          <w:b/>
        </w:rPr>
        <w:t>COMMON CODE TABLE C-15: Physical quantity kinds</w:t>
      </w: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r w:rsidRPr="00CE1C70">
        <w:t>The Unique Resource Identifier (URI) of each physical quantity kind is composed by the prefix http://codes.wmo.int/common/c-15/ and the notation. As an example the URI of airTemperature is http://codes.wmo.int/common/c-15/airTemperature . The URI can be used in the XML code format and is also a URL providing comprehensive information regarding the physical quantity kind.</w:t>
      </w: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3807"/>
        <w:gridCol w:w="7552"/>
        <w:gridCol w:w="1484"/>
      </w:tblGrid>
      <w:tr w:rsidR="00B44874" w:rsidRPr="00CE1C70" w:rsidTr="00741319">
        <w:trPr>
          <w:trHeight w:val="488"/>
          <w:tblHeader/>
        </w:trPr>
        <w:tc>
          <w:tcPr>
            <w:tcW w:w="0" w:type="auto"/>
            <w:shd w:val="clear" w:color="auto" w:fill="BFBFBF"/>
            <w:vAlign w:val="center"/>
          </w:tcPr>
          <w:p w:rsidR="00B44874" w:rsidRPr="00741319" w:rsidRDefault="00B44874" w:rsidP="00741319">
            <w:pPr>
              <w:pStyle w:val="TableStyle1"/>
              <w:pBdr>
                <w:top w:val="none" w:sz="0" w:space="0" w:color="auto"/>
                <w:left w:val="none" w:sz="0" w:space="0" w:color="auto"/>
                <w:bottom w:val="none" w:sz="0" w:space="0" w:color="auto"/>
                <w:right w:val="none" w:sz="0" w:space="0" w:color="auto"/>
                <w:bar w:val="none" w:sz="0" w:color="auto"/>
              </w:pBdr>
              <w:jc w:val="center"/>
              <w:rPr>
                <w:rFonts w:hAnsi="Arial Unicode MS" w:cs="Arial Unicode MS"/>
              </w:rPr>
            </w:pPr>
            <w:r w:rsidRPr="00741319">
              <w:rPr>
                <w:rFonts w:hAnsi="Arial Unicode MS" w:cs="Arial Unicode MS"/>
              </w:rPr>
              <w:t>Label</w:t>
            </w:r>
          </w:p>
        </w:tc>
        <w:tc>
          <w:tcPr>
            <w:tcW w:w="0" w:type="auto"/>
            <w:shd w:val="clear" w:color="auto" w:fill="BFBFBF"/>
            <w:vAlign w:val="center"/>
          </w:tcPr>
          <w:p w:rsidR="00B44874" w:rsidRPr="00CE1C70" w:rsidRDefault="00B44874" w:rsidP="00741319">
            <w:pPr>
              <w:pStyle w:val="TableStyle1"/>
              <w:pBdr>
                <w:top w:val="none" w:sz="0" w:space="0" w:color="auto"/>
                <w:left w:val="none" w:sz="0" w:space="0" w:color="auto"/>
                <w:bottom w:val="none" w:sz="0" w:space="0" w:color="auto"/>
                <w:right w:val="none" w:sz="0" w:space="0" w:color="auto"/>
                <w:bar w:val="none" w:sz="0" w:color="auto"/>
              </w:pBdr>
              <w:jc w:val="center"/>
            </w:pPr>
            <w:r w:rsidRPr="00741319">
              <w:rPr>
                <w:rFonts w:hAnsi="Arial Unicode MS" w:cs="Arial Unicode MS"/>
              </w:rPr>
              <w:t>Notation</w:t>
            </w:r>
          </w:p>
        </w:tc>
        <w:tc>
          <w:tcPr>
            <w:tcW w:w="0" w:type="auto"/>
            <w:shd w:val="clear" w:color="auto" w:fill="BFBFBF"/>
            <w:vAlign w:val="center"/>
          </w:tcPr>
          <w:p w:rsidR="00B44874" w:rsidRPr="00CE1C70" w:rsidRDefault="00B44874" w:rsidP="00741319">
            <w:pPr>
              <w:pStyle w:val="TableStyle1"/>
              <w:pBdr>
                <w:top w:val="none" w:sz="0" w:space="0" w:color="auto"/>
                <w:left w:val="none" w:sz="0" w:space="0" w:color="auto"/>
                <w:bottom w:val="none" w:sz="0" w:space="0" w:color="auto"/>
                <w:right w:val="none" w:sz="0" w:space="0" w:color="auto"/>
                <w:bar w:val="none" w:sz="0" w:color="auto"/>
              </w:pBdr>
              <w:jc w:val="center"/>
            </w:pPr>
            <w:r w:rsidRPr="00CE1C70">
              <w:t>Description</w:t>
            </w:r>
          </w:p>
        </w:tc>
        <w:tc>
          <w:tcPr>
            <w:tcW w:w="0" w:type="auto"/>
            <w:shd w:val="clear" w:color="auto" w:fill="BFBFBF"/>
            <w:vAlign w:val="center"/>
          </w:tcPr>
          <w:p w:rsidR="00B44874" w:rsidRPr="00CE1C70" w:rsidRDefault="00B44874" w:rsidP="00741319">
            <w:pPr>
              <w:pStyle w:val="TableStyle1"/>
              <w:pBdr>
                <w:top w:val="none" w:sz="0" w:space="0" w:color="auto"/>
                <w:left w:val="none" w:sz="0" w:space="0" w:color="auto"/>
                <w:bottom w:val="none" w:sz="0" w:space="0" w:color="auto"/>
                <w:right w:val="none" w:sz="0" w:space="0" w:color="auto"/>
                <w:bar w:val="none" w:sz="0" w:color="auto"/>
              </w:pBdr>
              <w:jc w:val="center"/>
            </w:pPr>
            <w:r w:rsidRPr="00741319">
              <w:rPr>
                <w:rFonts w:hAnsi="Arial Unicode MS" w:cs="Arial Unicode MS"/>
              </w:rPr>
              <w:t>Dimensions</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 maximum wind gust speed</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aerodromeMaximumWindGustSpeed</w:t>
            </w:r>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Maximum wind speed in the 10 minute period of observation. It is reported only if exceeds the mean speed by 5 m s</w:t>
            </w:r>
            <w:r w:rsidRPr="00741319">
              <w:rPr>
                <w:vertAlign w:val="superscript"/>
              </w:rPr>
              <w:t>–1</w:t>
            </w:r>
            <w:r w:rsidRPr="00CE1C70">
              <w:t xml:space="preserve"> (10 knots).</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Fonts w:cs="Arial Unicode MS"/>
              </w:rPr>
            </w:pPr>
            <w:r w:rsidRPr="00741319">
              <w:rPr>
                <w:rFonts w:cs="Arial Unicode MS"/>
              </w:rPr>
              <w:t>LT</w:t>
            </w:r>
            <w:r w:rsidRPr="00741319">
              <w:rPr>
                <w:rFonts w:cs="Arial Unicode MS"/>
                <w:vertAlign w:val="superscript"/>
              </w:rPr>
              <w:t>-1</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 mean wind direction</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aerodromeMeanWindDirection</w:t>
            </w:r>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The mean true direction in degrees from which the wind is blowing over the 10-minute period immediately preceding the observation. When the 10-minute period includes a marked discontinuity in the wind characteristics (1), only data after the discontinuity shall be used for mean wind direction and variations of the wind direction, hence the time interval in these circumstances shall be correspondingly reduced.</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Fonts w:cs="Arial Unicode MS"/>
              </w:rPr>
            </w:pPr>
            <w:r w:rsidRPr="00741319">
              <w:rPr>
                <w:rFonts w:cs="Arial Unicode MS"/>
              </w:rPr>
              <w:t>dimensionless</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 mean wind speed</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aerodromeMeanWindSpeed</w:t>
            </w:r>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The mean speed of the wind over the 10-minute period immediately preceding the observation. When the 10-minute period includes a marked discontinuity in the wind characteristics (1), only data after the discontinuity shall be used for obtaining mean wind speed, hence the time interval in these circumstances shall be correspondingly reduced.</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Fonts w:cs="Arial Unicode MS"/>
              </w:rPr>
            </w:pPr>
            <w:r w:rsidRPr="00741319">
              <w:rPr>
                <w:rFonts w:cs="Arial Unicode MS"/>
              </w:rPr>
              <w:t>LT</w:t>
            </w:r>
            <w:r w:rsidRPr="00741319">
              <w:rPr>
                <w:rFonts w:cs="Arial Unicode MS"/>
                <w:vertAlign w:val="superscript"/>
              </w:rPr>
              <w:t>-1</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 minimum horizontal visibility</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aerodromeMinimumHorizontalVisibility</w:t>
            </w:r>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The minimum horizontal visibility that is reported when the horizontal visibility is not the same in different directions and when the minimum visibility is different from the prevailing visibility, and less than 1500 metres or less than 50% of the prevailing visibility, and less than 5000 metres.</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Fonts w:cs="Arial Unicode MS"/>
              </w:rPr>
            </w:pPr>
            <w:r w:rsidRPr="00741319">
              <w:rPr>
                <w:rFonts w:cs="Arial Unicode MS"/>
              </w:rPr>
              <w:t>L</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 minimum visibility</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aerodromeMinimumVisibilityDirection</w:t>
            </w:r>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When the minimum horizontal visibility is reported, its general direction in relation to the aerodrome reference point has to be reported and indicated by reference to one of the eight points of the compass. If the minimum visibility is observed in more than one direction, the Dv shall represent the most operationally significant direction.</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Fonts w:cs="Arial Unicode MS"/>
              </w:rPr>
            </w:pPr>
            <w:r w:rsidRPr="00741319">
              <w:rPr>
                <w:rFonts w:cs="Arial Unicode MS"/>
              </w:rPr>
              <w:t>dimensionless</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Aeronautical prevailing horizontal visibility</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aeronauticalPrevailingHorizontalVisibility</w:t>
            </w:r>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 xml:space="preserve">The greatest visibility value, observed in accordance with the definition of </w:t>
            </w:r>
            <w:r w:rsidRPr="00741319">
              <w:rPr>
                <w:rFonts w:hAnsi="Arial Unicode MS" w:cs="Arial Unicode MS" w:hint="eastAsia"/>
              </w:rPr>
              <w:t>“</w:t>
            </w:r>
            <w:r w:rsidRPr="00741319">
              <w:rPr>
                <w:rFonts w:hAnsi="Arial Unicode MS" w:cs="Arial Unicode MS"/>
              </w:rPr>
              <w:t>visibility</w:t>
            </w:r>
            <w:r w:rsidRPr="00741319">
              <w:rPr>
                <w:rFonts w:hAnsi="Arial Unicode MS" w:cs="Arial Unicode MS" w:hint="eastAsia"/>
              </w:rPr>
              <w:t>”</w:t>
            </w:r>
            <w:r w:rsidRPr="00741319">
              <w:rPr>
                <w:rFonts w:hAnsi="Arial Unicode MS" w:cs="Arial Unicode MS"/>
              </w:rPr>
              <w:t>, which is reached within at least half the horizon circle or within at least half of the surface of the aerodrome. These areas could comprise contiguous or non-contiguous sectors.</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Aeronautical visibility</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aeronauticalVisibility</w:t>
            </w:r>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The greater of:(a) The greatest distance at which a black object of suitable dimensions, situated near the ground, can be seen and recognized when observed against a bright background;</w:t>
            </w:r>
          </w:p>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(b) The greatest distance at which lights in the vicinity of 1000 candelas can be seen and identified against an unlit background.</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w:t>
            </w:r>
          </w:p>
        </w:tc>
      </w:tr>
      <w:tr w:rsidR="00B44874" w:rsidRPr="00CE1C70" w:rsidTr="00741319">
        <w:trPr>
          <w:cantSplit/>
          <w:trHeight w:val="728"/>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Air temperature</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7" w:history="1">
              <w:r w:rsidRPr="00741319">
                <w:rPr>
                  <w:rStyle w:val="Hyperlink0"/>
                  <w:rFonts w:hAnsi="Arial Unicode MS" w:cs="Arial Unicode MS"/>
                  <w:u w:val="none"/>
                </w:rPr>
                <w:t>airTemperature</w:t>
              </w:r>
            </w:hyperlink>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CE1C70">
              <w:t>The temperature indicated by a thermometer exposed to the air in a place sheltered from direct solar radiation.</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741319">
              <w:rPr>
                <w:rFonts w:cs="Arial Unicode MS"/>
              </w:rPr>
              <w:t>Θ</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Altimeter setting (QNH)</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8" w:history="1">
              <w:r w:rsidRPr="00741319">
                <w:rPr>
                  <w:rStyle w:val="Hyperlink0"/>
                  <w:rFonts w:hAnsi="Arial Unicode MS" w:cs="Arial Unicode MS"/>
                  <w:u w:val="none"/>
                </w:rPr>
                <w:t>altimeterSettingQnh</w:t>
              </w:r>
            </w:hyperlink>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741319">
              <w:rPr>
                <w:rFonts w:hAnsi="Arial Unicode MS" w:cs="Arial Unicode MS"/>
              </w:rPr>
              <w:t>Altimeter setting (also known as QNH) is defined as barometric pressure adjusted to sea level. It is a pressure setting used by pilots, air traffic control (ATC), and low frequency weather beacons to refer to the barometric setting which, when set on an aircraft's altimeter, will cause the altimeter to read altitude above mean sea level within a certain defined region.</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ML</w:t>
            </w:r>
            <w:r w:rsidRPr="00741319">
              <w:rPr>
                <w:sz w:val="20"/>
                <w:szCs w:val="20"/>
                <w:vertAlign w:val="superscript"/>
                <w:lang w:val="en-GB"/>
              </w:rPr>
              <w:t>-1</w:t>
            </w:r>
            <w:r w:rsidRPr="00741319">
              <w:rPr>
                <w:sz w:val="20"/>
                <w:szCs w:val="20"/>
                <w:lang w:val="en-GB"/>
              </w:rPr>
              <w:t>T</w:t>
            </w:r>
            <w:r w:rsidRPr="00741319">
              <w:rPr>
                <w:sz w:val="20"/>
                <w:szCs w:val="20"/>
                <w:vertAlign w:val="superscript"/>
                <w:lang w:val="en-GB"/>
              </w:rPr>
              <w:t>-2</w:t>
            </w:r>
          </w:p>
        </w:tc>
      </w:tr>
      <w:tr w:rsidR="00B44874" w:rsidRPr="00CE1C70" w:rsidTr="00741319">
        <w:trPr>
          <w:cantSplit/>
          <w:trHeight w:val="245"/>
        </w:trPr>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color w:val="auto"/>
              </w:rPr>
            </w:pPr>
            <w:r w:rsidRPr="00741319">
              <w:rPr>
                <w:color w:val="auto"/>
              </w:rPr>
              <w:t>Atmospheric pressure</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color w:val="auto"/>
              </w:rPr>
            </w:pPr>
            <w:hyperlink r:id="rId9" w:history="1">
              <w:r w:rsidRPr="00741319">
                <w:rPr>
                  <w:rStyle w:val="Hyperlink0"/>
                  <w:rFonts w:hAnsi="Arial Unicode MS" w:cs="Arial Unicode MS"/>
                  <w:color w:val="auto"/>
                  <w:u w:val="none"/>
                </w:rPr>
                <w:t>atmosphericPressure</w:t>
              </w:r>
            </w:hyperlink>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color w:val="auto"/>
              </w:rPr>
            </w:pPr>
            <w:r w:rsidRPr="00741319">
              <w:rPr>
                <w:rFonts w:hAnsi="Arial Unicode MS" w:cs="Arial Unicode MS"/>
                <w:color w:val="auto"/>
              </w:rPr>
              <w:t>The atmospheric pressure on a given surface is the force per unit area exerted by virtue of the weight of the atmosphere above.</w:t>
            </w:r>
            <w:r w:rsidRPr="00741319">
              <w:rPr>
                <w:color w:val="auto"/>
              </w:rPr>
              <w:t xml:space="preserve"> </w:t>
            </w:r>
            <w:r w:rsidRPr="00741319">
              <w:rPr>
                <w:rFonts w:hAnsi="Arial Unicode MS" w:cs="Arial Unicode MS"/>
                <w:color w:val="auto"/>
              </w:rPr>
              <w:t>The pressure is thus equal to the weight of a vertical column of air above a horizontal projection of the surface, extending to the outer limit of the atmosphere.</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ML</w:t>
            </w:r>
            <w:r w:rsidRPr="00741319">
              <w:rPr>
                <w:sz w:val="20"/>
                <w:szCs w:val="20"/>
                <w:vertAlign w:val="superscript"/>
                <w:lang w:val="en-GB"/>
              </w:rPr>
              <w:t>-1</w:t>
            </w:r>
            <w:r w:rsidRPr="00741319">
              <w:rPr>
                <w:sz w:val="20"/>
                <w:szCs w:val="20"/>
                <w:lang w:val="en-GB"/>
              </w:rPr>
              <w:t>T</w:t>
            </w:r>
            <w:r w:rsidRPr="00741319">
              <w:rPr>
                <w:sz w:val="20"/>
                <w:szCs w:val="20"/>
                <w:vertAlign w:val="superscript"/>
                <w:lang w:val="en-GB"/>
              </w:rPr>
              <w:t>-2</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Depth of runway deposit</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depthOfRunwayDeposit</w:t>
            </w:r>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Depth of deposit on surface of runway</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w:t>
            </w:r>
          </w:p>
        </w:tc>
      </w:tr>
      <w:tr w:rsidR="00B44874" w:rsidRPr="00CE1C70" w:rsidTr="00741319">
        <w:trPr>
          <w:cantSplit/>
          <w:trHeight w:val="72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Dew-point temperature</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10" w:history="1">
              <w:r w:rsidRPr="00741319">
                <w:rPr>
                  <w:rStyle w:val="Hyperlink0"/>
                  <w:rFonts w:hAnsi="Arial Unicode MS" w:cs="Arial Unicode MS"/>
                  <w:u w:val="none"/>
                </w:rPr>
                <w:t>dewPointTemperature</w:t>
              </w:r>
            </w:hyperlink>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741319">
              <w:rPr>
                <w:rFonts w:hAnsi="Arial Unicode MS" w:cs="Arial Unicode MS"/>
                <w:color w:val="auto"/>
                <w:lang w:eastAsia="en-US"/>
              </w:rPr>
              <w:t>The temperature to which a given air parcel must be cooled at constant pressure and constant water vapour content in order for saturation to occur.</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741319">
              <w:rPr>
                <w:rFonts w:cs="Arial Unicode MS"/>
              </w:rPr>
              <w:t>Θ</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Height of base of cloud</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11" w:history="1">
              <w:r w:rsidRPr="00741319">
                <w:rPr>
                  <w:rStyle w:val="Hyperlink0"/>
                  <w:rFonts w:hAnsi="Arial Unicode MS" w:cs="Arial Unicode MS"/>
                  <w:u w:val="none"/>
                </w:rPr>
                <w:t>heightOfBaseOfCloud</w:t>
              </w:r>
            </w:hyperlink>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741319">
              <w:rPr>
                <w:rFonts w:hAnsi="Arial Unicode MS" w:cs="Arial Unicode MS"/>
              </w:rPr>
              <w:t>For a given cloud or cloud layer, vertical distance (measured from local ground surface) of the lowest level in the atmosphere at which the air contains a perceptible quantity of cloud particles.</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Horizontal visibility</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12" w:history="1">
              <w:r w:rsidRPr="00741319">
                <w:rPr>
                  <w:rStyle w:val="Hyperlink0"/>
                  <w:rFonts w:hAnsi="Arial Unicode MS" w:cs="Arial Unicode MS"/>
                  <w:u w:val="none"/>
                </w:rPr>
                <w:t>horizontalVisibility</w:t>
              </w:r>
            </w:hyperlink>
          </w:p>
        </w:tc>
        <w:tc>
          <w:tcPr>
            <w:tcW w:w="0" w:type="auto"/>
            <w:vAlign w:val="center"/>
          </w:tcPr>
          <w:p w:rsidR="00B44874" w:rsidRPr="00CE1C70" w:rsidRDefault="00B44874" w:rsidP="00D44136">
            <w:pPr>
              <w:pStyle w:val="TableStyle2"/>
              <w:pBdr>
                <w:top w:val="none" w:sz="0" w:space="0" w:color="auto"/>
                <w:left w:val="none" w:sz="0" w:space="0" w:color="auto"/>
                <w:bottom w:val="none" w:sz="0" w:space="0" w:color="auto"/>
                <w:right w:val="none" w:sz="0" w:space="0" w:color="auto"/>
                <w:bar w:val="none" w:sz="0" w:color="auto"/>
              </w:pBdr>
            </w:pPr>
            <w:r w:rsidRPr="00741319">
              <w:rPr>
                <w:rFonts w:hAnsi="Arial Unicode MS" w:cs="Arial Unicode MS"/>
              </w:rPr>
              <w:t>The greatest distance determined in the horizontal plane at the ground surface that prominent objects can be seen and identified by unaided, normal eyes.</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w:t>
            </w:r>
          </w:p>
        </w:tc>
      </w:tr>
      <w:tr w:rsidR="00B44874" w:rsidRPr="00CE1C70" w:rsidTr="00741319">
        <w:trPr>
          <w:cantSplit/>
          <w:trHeight w:val="48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Maximum wind gust speed</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hyperlink r:id="rId13" w:history="1">
              <w:r w:rsidRPr="00741319">
                <w:rPr>
                  <w:rStyle w:val="Hyperlink0"/>
                  <w:rFonts w:hAnsi="Arial Unicode MS" w:cs="Arial Unicode MS"/>
                  <w:u w:val="none"/>
                </w:rPr>
                <w:t>maximumWindGustSpeed</w:t>
              </w:r>
            </w:hyperlink>
          </w:p>
        </w:tc>
        <w:tc>
          <w:tcPr>
            <w:tcW w:w="0" w:type="auto"/>
            <w:vAlign w:val="center"/>
          </w:tcPr>
          <w:p w:rsidR="00B44874" w:rsidRPr="00CE1C70" w:rsidRDefault="00B44874" w:rsidP="00280DC1">
            <w:pPr>
              <w:pStyle w:val="TableStyle2"/>
              <w:pBdr>
                <w:top w:val="none" w:sz="0" w:space="0" w:color="auto"/>
                <w:left w:val="none" w:sz="0" w:space="0" w:color="auto"/>
                <w:bottom w:val="none" w:sz="0" w:space="0" w:color="auto"/>
                <w:right w:val="none" w:sz="0" w:space="0" w:color="auto"/>
                <w:bar w:val="none" w:sz="0" w:color="auto"/>
              </w:pBdr>
            </w:pPr>
            <w:r w:rsidRPr="00741319">
              <w:rPr>
                <w:rFonts w:hAnsi="Arial Unicode MS" w:cs="Arial Unicode MS"/>
                <w:color w:val="auto"/>
                <w:lang w:eastAsia="en-US"/>
              </w:rPr>
              <w:t>Nominal maximum speed of wind during a given period; usually determined as a mean wind speed over a short duration (e.g. 1-minute) within a longer period (e.g. 10-minutes).</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LT</w:t>
            </w:r>
            <w:r w:rsidRPr="00741319">
              <w:rPr>
                <w:sz w:val="20"/>
                <w:szCs w:val="20"/>
                <w:vertAlign w:val="superscript"/>
                <w:lang w:val="en-GB"/>
              </w:rPr>
              <w:t>-1</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Runway contamination coverage</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runwayContaminationCoverage</w:t>
            </w:r>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Proportion of runway that is contaminated. A runway is considered to be contaminated when more than 25% of the runway surface area(whether in isolated areas or not) within the required length and width being used is covered by the following:(a)  Surface water more than 3 mm deep, or by slush or loose snow equivalent to more than 3 mm of water;</w:t>
            </w:r>
          </w:p>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(b) Snow which has been compressed into a solid mass which resists further compression and will hold together or break into lumps if picked up (compacted snow); or</w:t>
            </w:r>
          </w:p>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Fonts w:hAnsi="Arial Unicode MS" w:cs="Arial Unicode MS"/>
              </w:rPr>
            </w:pPr>
            <w:r w:rsidRPr="00741319">
              <w:rPr>
                <w:rFonts w:hAnsi="Arial Unicode MS" w:cs="Arial Unicode MS"/>
              </w:rPr>
              <w:t>(c) Ice, including wet ice.</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sz w:val="20"/>
                <w:szCs w:val="20"/>
                <w:lang w:val="en-GB"/>
              </w:rPr>
            </w:pPr>
            <w:r w:rsidRPr="00741319">
              <w:rPr>
                <w:sz w:val="20"/>
                <w:szCs w:val="20"/>
                <w:lang w:val="en-GB"/>
              </w:rPr>
              <w:t>dimensionless</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Runway friction coefficient</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u w:val="none"/>
              </w:rPr>
            </w:pPr>
            <w:hyperlink r:id="rId14" w:history="1">
              <w:r w:rsidRPr="00741319">
                <w:rPr>
                  <w:rStyle w:val="Hyperlink0"/>
                  <w:rFonts w:hAnsi="Arial Unicode MS" w:cs="Arial Unicode MS"/>
                  <w:u w:val="none"/>
                </w:rPr>
                <w:t>runwayFrictionCoefficient</w:t>
              </w:r>
            </w:hyperlink>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Style w:val="Hyperlink0"/>
                <w:rFonts w:hAnsi="Arial Unicode MS" w:cs="Arial Unicode MS"/>
                <w:u w:val="none"/>
              </w:rPr>
            </w:pPr>
            <w:r w:rsidRPr="00741319">
              <w:rPr>
                <w:rStyle w:val="Hyperlink0"/>
                <w:rFonts w:eastAsia="Times New Roman" w:hAnsi="Arial Unicode MS" w:cs="Helvetica"/>
                <w:u w:val="none"/>
              </w:rPr>
              <w:t>Quantitative assessment of friction coefficient of runway surface.</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color w:val="000000"/>
                <w:sz w:val="20"/>
                <w:szCs w:val="20"/>
                <w:u w:val="none"/>
                <w:lang w:val="en-GB" w:eastAsia="en-GB"/>
              </w:rPr>
            </w:pPr>
            <w:r w:rsidRPr="00741319">
              <w:rPr>
                <w:rStyle w:val="Hyperlink0"/>
                <w:rFonts w:hAnsi="Arial Unicode MS" w:cs="Arial Unicode MS"/>
                <w:color w:val="000000"/>
                <w:sz w:val="20"/>
                <w:szCs w:val="20"/>
                <w:u w:val="none"/>
                <w:lang w:val="en-GB" w:eastAsia="en-GB"/>
              </w:rPr>
              <w:t>dimensionless</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Runway visual range (RVR)</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u w:val="none"/>
              </w:rPr>
            </w:pPr>
            <w:hyperlink r:id="rId15" w:history="1">
              <w:r w:rsidRPr="00741319">
                <w:rPr>
                  <w:rStyle w:val="Hyperlink0"/>
                  <w:rFonts w:hAnsi="Arial Unicode MS" w:cs="Arial Unicode MS"/>
                  <w:u w:val="none"/>
                </w:rPr>
                <w:t>runwayVisualRangeRvr</w:t>
              </w:r>
            </w:hyperlink>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Style w:val="Hyperlink0"/>
                <w:rFonts w:hAnsi="Arial Unicode MS" w:cs="Arial Unicode MS"/>
                <w:u w:val="none"/>
              </w:rPr>
            </w:pPr>
            <w:r w:rsidRPr="00741319">
              <w:rPr>
                <w:rStyle w:val="Hyperlink0"/>
                <w:rFonts w:eastAsia="Times New Roman" w:hAnsi="Arial Unicode MS" w:cs="Helvetica"/>
                <w:u w:val="none"/>
              </w:rPr>
              <w:t>The range over which the pilot of an aircraft on the centre line of a runway can see the runway surface markings or the lights delineating the runway or identifying its centre line.</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color w:val="000000"/>
                <w:sz w:val="20"/>
                <w:szCs w:val="20"/>
                <w:u w:val="none"/>
                <w:lang w:val="en-GB" w:eastAsia="en-GB"/>
              </w:rPr>
            </w:pPr>
            <w:r w:rsidRPr="00741319">
              <w:rPr>
                <w:rStyle w:val="Hyperlink0"/>
                <w:rFonts w:hAnsi="Arial Unicode MS" w:cs="Arial Unicode MS"/>
                <w:color w:val="000000"/>
                <w:sz w:val="20"/>
                <w:szCs w:val="20"/>
                <w:u w:val="none"/>
                <w:lang w:val="en-GB" w:eastAsia="en-GB"/>
              </w:rPr>
              <w:t>L</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Sea surface temperature</w:t>
            </w:r>
          </w:p>
        </w:tc>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seaSurfaceTemperature</w:t>
            </w:r>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Style w:val="Hyperlink0"/>
                <w:rFonts w:eastAsia="Times New Roman" w:hAnsi="Arial Unicode MS" w:cs="Helvetica"/>
                <w:u w:val="none"/>
              </w:rPr>
            </w:pPr>
            <w:r w:rsidRPr="00741319">
              <w:rPr>
                <w:rStyle w:val="Hyperlink0"/>
                <w:rFonts w:eastAsia="Times New Roman" w:hAnsi="Arial Unicode MS" w:cs="Helvetica"/>
                <w:u w:val="none"/>
              </w:rPr>
              <w:t>Temperature of the sea water at surface.</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color w:val="000000"/>
                <w:sz w:val="20"/>
                <w:szCs w:val="20"/>
                <w:u w:val="none"/>
                <w:lang w:val="en-GB" w:eastAsia="en-GB"/>
              </w:rPr>
            </w:pPr>
            <w:r w:rsidRPr="00741319">
              <w:rPr>
                <w:rFonts w:cs="Arial Unicode MS"/>
                <w:lang w:val="en-GB"/>
              </w:rPr>
              <w:t>Θ</w:t>
            </w:r>
          </w:p>
        </w:tc>
      </w:tr>
      <w:tr w:rsidR="00B44874" w:rsidRPr="00CE1C70" w:rsidTr="00741319">
        <w:trPr>
          <w:cantSplit/>
          <w:trHeight w:val="245"/>
        </w:trPr>
        <w:tc>
          <w:tcPr>
            <w:tcW w:w="0" w:type="auto"/>
            <w:vAlign w:val="center"/>
          </w:tcPr>
          <w:p w:rsidR="00B44874" w:rsidRPr="00CE1C70"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pPr>
            <w:r w:rsidRPr="00CE1C70">
              <w:t>Vertical visibility</w:t>
            </w:r>
          </w:p>
        </w:tc>
        <w:tc>
          <w:tcPr>
            <w:tcW w:w="0" w:type="auto"/>
            <w:vAlign w:val="center"/>
          </w:tcPr>
          <w:p w:rsidR="00B44874" w:rsidRPr="00741319" w:rsidRDefault="00B44874" w:rsidP="00741319">
            <w:pPr>
              <w:pStyle w:val="TableStyle2"/>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u w:val="none"/>
              </w:rPr>
            </w:pPr>
            <w:hyperlink r:id="rId16" w:history="1">
              <w:r w:rsidRPr="00741319">
                <w:rPr>
                  <w:rStyle w:val="Hyperlink0"/>
                  <w:rFonts w:hAnsi="Arial Unicode MS" w:cs="Arial Unicode MS"/>
                  <w:u w:val="none"/>
                </w:rPr>
                <w:t>verticalVisibility</w:t>
              </w:r>
            </w:hyperlink>
          </w:p>
        </w:tc>
        <w:tc>
          <w:tcPr>
            <w:tcW w:w="0" w:type="auto"/>
            <w:vAlign w:val="center"/>
          </w:tcPr>
          <w:p w:rsidR="00B44874" w:rsidRPr="00741319" w:rsidRDefault="00B44874" w:rsidP="00D44136">
            <w:pPr>
              <w:pStyle w:val="TableStyle2"/>
              <w:pBdr>
                <w:top w:val="none" w:sz="0" w:space="0" w:color="auto"/>
                <w:left w:val="none" w:sz="0" w:space="0" w:color="auto"/>
                <w:bottom w:val="none" w:sz="0" w:space="0" w:color="auto"/>
                <w:right w:val="none" w:sz="0" w:space="0" w:color="auto"/>
                <w:bar w:val="none" w:sz="0" w:color="auto"/>
              </w:pBdr>
              <w:rPr>
                <w:rStyle w:val="Hyperlink0"/>
                <w:rFonts w:hAnsi="Arial Unicode MS" w:cs="Arial Unicode MS"/>
                <w:u w:val="none"/>
              </w:rPr>
            </w:pPr>
            <w:r w:rsidRPr="00741319">
              <w:rPr>
                <w:rStyle w:val="Hyperlink0"/>
                <w:rFonts w:eastAsia="Times New Roman" w:hAnsi="Arial Unicode MS" w:cs="Helvetica"/>
                <w:u w:val="none"/>
              </w:rPr>
              <w:t>Maximum distance at which an observer can see and identify an object on the same vertical as himself, above or below.</w:t>
            </w:r>
          </w:p>
        </w:tc>
        <w:tc>
          <w:tcPr>
            <w:tcW w:w="0" w:type="auto"/>
            <w:vAlign w:val="center"/>
          </w:tcPr>
          <w:p w:rsidR="00B44874" w:rsidRPr="00741319" w:rsidRDefault="00B44874" w:rsidP="00741319">
            <w:pPr>
              <w:pBdr>
                <w:top w:val="none" w:sz="0" w:space="0" w:color="auto"/>
                <w:left w:val="none" w:sz="0" w:space="0" w:color="auto"/>
                <w:bottom w:val="none" w:sz="0" w:space="0" w:color="auto"/>
                <w:right w:val="none" w:sz="0" w:space="0" w:color="auto"/>
                <w:bar w:val="none" w:sz="0" w:color="auto"/>
              </w:pBdr>
              <w:jc w:val="center"/>
              <w:rPr>
                <w:rStyle w:val="Hyperlink0"/>
                <w:rFonts w:hAnsi="Arial Unicode MS" w:cs="Arial Unicode MS"/>
                <w:color w:val="000000"/>
                <w:sz w:val="20"/>
                <w:szCs w:val="20"/>
                <w:u w:val="none"/>
                <w:lang w:val="en-GB" w:eastAsia="en-GB"/>
              </w:rPr>
            </w:pPr>
            <w:r w:rsidRPr="00741319">
              <w:rPr>
                <w:rStyle w:val="Hyperlink0"/>
                <w:rFonts w:hAnsi="Arial Unicode MS" w:cs="Arial Unicode MS"/>
                <w:color w:val="000000"/>
                <w:sz w:val="20"/>
                <w:szCs w:val="20"/>
                <w:u w:val="none"/>
                <w:lang w:val="en-GB" w:eastAsia="en-GB"/>
              </w:rPr>
              <w:t>L</w:t>
            </w:r>
          </w:p>
        </w:tc>
      </w:tr>
    </w:tbl>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rPr>
          <w:b/>
        </w:rPr>
      </w:pPr>
      <w:r w:rsidRPr="00CE1C70">
        <w:rPr>
          <w:b/>
        </w:rPr>
        <w:t>NOTES:</w:t>
      </w: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p w:rsidR="00B44874" w:rsidRPr="00CE1C70" w:rsidRDefault="00B44874" w:rsidP="00061549">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CE1C70">
        <w:t>A marked discontinuity occurs when there is an abrupt and sustained change in wind direction of 30</w:t>
      </w:r>
      <w:r w:rsidRPr="00CE1C70">
        <w:rPr>
          <w:rFonts w:hint="eastAsia"/>
        </w:rPr>
        <w:t>°</w:t>
      </w:r>
      <w:r w:rsidRPr="00CE1C70">
        <w:t xml:space="preserve">  or  more,  with  a  wind  speed  of  5  ms</w:t>
      </w:r>
      <w:r w:rsidRPr="00CE1C70">
        <w:rPr>
          <w:vertAlign w:val="superscript"/>
        </w:rPr>
        <w:t>–</w:t>
      </w:r>
      <w:r w:rsidRPr="00CE1C70">
        <w:rPr>
          <w:vertAlign w:val="superscript"/>
        </w:rPr>
        <w:t>1</w:t>
      </w:r>
      <w:r w:rsidRPr="00CE1C70">
        <w:t xml:space="preserve"> (10  KT)  or  more  before  or  after  the change, or a change in wind speed of 5 ms</w:t>
      </w:r>
      <w:r w:rsidRPr="00CE1C70">
        <w:rPr>
          <w:vertAlign w:val="superscript"/>
        </w:rPr>
        <w:t>–</w:t>
      </w:r>
      <w:r w:rsidRPr="00CE1C70">
        <w:rPr>
          <w:vertAlign w:val="superscript"/>
        </w:rPr>
        <w:t>1</w:t>
      </w:r>
      <w:r w:rsidRPr="00CE1C70">
        <w:t xml:space="preserve"> (10 KT) or more, lasting at least two minutes.</w:t>
      </w:r>
    </w:p>
    <w:p w:rsidR="00B44874" w:rsidRPr="00CE1C70" w:rsidRDefault="00B44874">
      <w:pPr>
        <w:pStyle w:val="Body"/>
        <w:pBdr>
          <w:top w:val="none" w:sz="0" w:space="0" w:color="auto"/>
          <w:left w:val="none" w:sz="0" w:space="0" w:color="auto"/>
          <w:bottom w:val="none" w:sz="0" w:space="0" w:color="auto"/>
          <w:right w:val="none" w:sz="0" w:space="0" w:color="auto"/>
          <w:bar w:val="none" w:sz="0" w:color="auto"/>
        </w:pBdr>
      </w:pPr>
    </w:p>
    <w:sectPr w:rsidR="00B44874" w:rsidRPr="00CE1C70" w:rsidSect="00770BFB">
      <w:headerReference w:type="default" r:id="rId17"/>
      <w:footerReference w:type="default" r:id="rId18"/>
      <w:pgSz w:w="16840" w:h="11900" w:orient="landscape"/>
      <w:pgMar w:top="1134" w:right="1134" w:bottom="1134"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74" w:rsidRDefault="00B4487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44874" w:rsidRDefault="00B4487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74" w:rsidRDefault="00B4487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74" w:rsidRDefault="00B4487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44874" w:rsidRDefault="00B4487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74" w:rsidRDefault="00B44874">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B1"/>
    <w:multiLevelType w:val="hybridMultilevel"/>
    <w:tmpl w:val="981E28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AA7A40"/>
    <w:multiLevelType w:val="hybridMultilevel"/>
    <w:tmpl w:val="83CE06C0"/>
    <w:lvl w:ilvl="0" w:tplc="5E985D8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BE5"/>
    <w:rsid w:val="00017BDF"/>
    <w:rsid w:val="00061549"/>
    <w:rsid w:val="000D3604"/>
    <w:rsid w:val="001073A4"/>
    <w:rsid w:val="001165CB"/>
    <w:rsid w:val="001C2FAC"/>
    <w:rsid w:val="001F326B"/>
    <w:rsid w:val="00280DC1"/>
    <w:rsid w:val="00340721"/>
    <w:rsid w:val="00360557"/>
    <w:rsid w:val="003B386F"/>
    <w:rsid w:val="003E4EDB"/>
    <w:rsid w:val="004310A7"/>
    <w:rsid w:val="00446B71"/>
    <w:rsid w:val="004D71D2"/>
    <w:rsid w:val="00531DB1"/>
    <w:rsid w:val="005663DB"/>
    <w:rsid w:val="00591174"/>
    <w:rsid w:val="0059141E"/>
    <w:rsid w:val="005F5EF0"/>
    <w:rsid w:val="00641D65"/>
    <w:rsid w:val="00646057"/>
    <w:rsid w:val="006B5383"/>
    <w:rsid w:val="006D2C18"/>
    <w:rsid w:val="007055A3"/>
    <w:rsid w:val="00705C72"/>
    <w:rsid w:val="00741319"/>
    <w:rsid w:val="00770BB6"/>
    <w:rsid w:val="00770BFB"/>
    <w:rsid w:val="00806BE5"/>
    <w:rsid w:val="00845D27"/>
    <w:rsid w:val="008A01A3"/>
    <w:rsid w:val="009436A4"/>
    <w:rsid w:val="00943901"/>
    <w:rsid w:val="00951D86"/>
    <w:rsid w:val="00960717"/>
    <w:rsid w:val="009C1770"/>
    <w:rsid w:val="009D2DE0"/>
    <w:rsid w:val="00B01AFC"/>
    <w:rsid w:val="00B44874"/>
    <w:rsid w:val="00B51424"/>
    <w:rsid w:val="00C665CB"/>
    <w:rsid w:val="00CE1C70"/>
    <w:rsid w:val="00D1427B"/>
    <w:rsid w:val="00D277F5"/>
    <w:rsid w:val="00D44136"/>
    <w:rsid w:val="00D454D9"/>
    <w:rsid w:val="00D83F26"/>
    <w:rsid w:val="00D90117"/>
    <w:rsid w:val="00DA1857"/>
    <w:rsid w:val="00DD3207"/>
    <w:rsid w:val="00DF1DC6"/>
    <w:rsid w:val="00E51E15"/>
    <w:rsid w:val="00EB4393"/>
    <w:rsid w:val="00EC5126"/>
    <w:rsid w:val="00F02D35"/>
    <w:rsid w:val="00F45864"/>
    <w:rsid w:val="00FA3C1B"/>
    <w:rsid w:val="00FB341D"/>
    <w:rsid w:val="00FD684D"/>
    <w:rsid w:val="00FE4E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3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2D35"/>
    <w:rPr>
      <w:rFonts w:cs="Times New Roman"/>
      <w:u w:val="single"/>
    </w:rPr>
  </w:style>
  <w:style w:type="paragraph" w:customStyle="1" w:styleId="Body">
    <w:name w:val="Body"/>
    <w:uiPriority w:val="99"/>
    <w:rsid w:val="00F02D3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GB" w:eastAsia="en-GB"/>
    </w:rPr>
  </w:style>
  <w:style w:type="paragraph" w:customStyle="1" w:styleId="TableStyle1">
    <w:name w:val="Table Style 1"/>
    <w:uiPriority w:val="99"/>
    <w:rsid w:val="00F02D3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lang w:val="en-GB" w:eastAsia="en-GB"/>
    </w:rPr>
  </w:style>
  <w:style w:type="character" w:customStyle="1" w:styleId="Hyperlink0">
    <w:name w:val="Hyperlink.0"/>
    <w:basedOn w:val="Hyperlink"/>
    <w:uiPriority w:val="99"/>
    <w:rsid w:val="00F02D35"/>
  </w:style>
  <w:style w:type="paragraph" w:customStyle="1" w:styleId="TableStyle2">
    <w:name w:val="Table Style 2"/>
    <w:uiPriority w:val="99"/>
    <w:rsid w:val="00F02D3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en-GB" w:eastAsia="en-GB"/>
    </w:rPr>
  </w:style>
  <w:style w:type="table" w:styleId="TableGrid">
    <w:name w:val="Table Grid"/>
    <w:basedOn w:val="TableNormal"/>
    <w:uiPriority w:val="99"/>
    <w:rsid w:val="00641D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wmo.int/common/c-15/altimeterSettingQnh" TargetMode="External"/><Relationship Id="rId13" Type="http://schemas.openxmlformats.org/officeDocument/2006/relationships/hyperlink" Target="http://codes.wmo.int/common/c-15/maximumWindGustSpe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des.wmo.int/common/c-15/airTemperature" TargetMode="External"/><Relationship Id="rId12" Type="http://schemas.openxmlformats.org/officeDocument/2006/relationships/hyperlink" Target="http://codes.wmo.int/common/c-15/horizontalVisib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des.wmo.int/common/c-15/verticalVisi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wmo.int/common/c-15/heightOfBaseOfCloud" TargetMode="External"/><Relationship Id="rId5" Type="http://schemas.openxmlformats.org/officeDocument/2006/relationships/footnotes" Target="footnotes.xml"/><Relationship Id="rId15" Type="http://schemas.openxmlformats.org/officeDocument/2006/relationships/hyperlink" Target="http://codes.wmo.int/common/c-15/runwayVisualRangeRvr" TargetMode="External"/><Relationship Id="rId10" Type="http://schemas.openxmlformats.org/officeDocument/2006/relationships/hyperlink" Target="http://codes.wmo.int/common/c-15/dewPointTemperat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des.wmo.int/common/c-15/pressureReducedToMeanSeaLevel" TargetMode="External"/><Relationship Id="rId14" Type="http://schemas.openxmlformats.org/officeDocument/2006/relationships/hyperlink" Target="http://codes.wmo.int/common/c-15/runwayFrictionCoeffi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1068</Words>
  <Characters>6090</Characters>
  <Application>Microsoft Office Outlook</Application>
  <DocSecurity>0</DocSecurity>
  <Lines>0</Lines>
  <Paragraphs>0</Paragraphs>
  <ScaleCrop>false</ScaleCrop>
  <Company>ECMWF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Enrico Fucile</dc:creator>
  <cp:keywords/>
  <dc:description/>
  <cp:lastModifiedBy>Autologon</cp:lastModifiedBy>
  <cp:revision>2</cp:revision>
  <dcterms:created xsi:type="dcterms:W3CDTF">2014-04-11T12:42:00Z</dcterms:created>
  <dcterms:modified xsi:type="dcterms:W3CDTF">2014-04-11T12:42:00Z</dcterms:modified>
</cp:coreProperties>
</file>