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062B66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F47614" w:rsidRPr="00062B66" w:rsidRDefault="00F47614" w:rsidP="003A33A9">
            <w:pPr>
              <w:jc w:val="center"/>
              <w:rPr>
                <w:rFonts w:cs="Arial"/>
                <w:bCs/>
              </w:rPr>
            </w:pPr>
            <w:r w:rsidRPr="00062B66">
              <w:rPr>
                <w:rFonts w:cs="Arial"/>
                <w:bCs/>
              </w:rPr>
              <w:t>WORLD METEOROLOGICAL ORGANIZATION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COMMISSION FOR BASIC SYSTEMS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-----------------------------</w:t>
            </w:r>
          </w:p>
          <w:p w:rsidR="00F47614" w:rsidRPr="00062B66" w:rsidRDefault="00D814DF" w:rsidP="003A33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F47614" w:rsidRPr="00062B66">
              <w:rPr>
                <w:rFonts w:cs="Arial"/>
              </w:rPr>
              <w:t xml:space="preserve"> MEETING OF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 xml:space="preserve"> INTER-PROGRAMME EXPERT TEAM ON</w:t>
            </w:r>
            <w:r w:rsidRPr="00062B66">
              <w:rPr>
                <w:rFonts w:cs="Arial"/>
              </w:rPr>
              <w:br/>
              <w:t>DATA REPRESENTATION MAINTENANCE AND MONITORING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</w:p>
          <w:p w:rsidR="00F47614" w:rsidRPr="00062B66" w:rsidRDefault="00D814DF" w:rsidP="00D814D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BEIJING, CHINA</w:t>
            </w:r>
            <w:r w:rsidR="00F47614" w:rsidRPr="00062B66">
              <w:rPr>
                <w:rFonts w:cs="Arial"/>
              </w:rPr>
              <w:t>, 2</w:t>
            </w:r>
            <w:r>
              <w:rPr>
                <w:rFonts w:cs="Arial"/>
              </w:rPr>
              <w:t>0</w:t>
            </w:r>
            <w:r w:rsidR="00F47614" w:rsidRPr="00062B66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4</w:t>
            </w:r>
            <w:r w:rsidR="00F47614" w:rsidRPr="00062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7614" w:rsidRPr="00062B66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47614" w:rsidRPr="00062B66" w:rsidRDefault="00F47614" w:rsidP="003A33A9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F47614" w:rsidRPr="00062B66" w:rsidRDefault="00F47614" w:rsidP="003A33A9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062B66">
              <w:rPr>
                <w:rFonts w:cs="Arial"/>
                <w:lang w:val="en-US"/>
              </w:rPr>
              <w:t>IPET-DRMM-II</w:t>
            </w:r>
            <w:r w:rsidR="00D814DF">
              <w:rPr>
                <w:rFonts w:cs="Arial"/>
                <w:lang w:val="en-US"/>
              </w:rPr>
              <w:t>I</w:t>
            </w:r>
            <w:r w:rsidRPr="00062B66">
              <w:rPr>
                <w:rFonts w:cs="Arial"/>
                <w:lang w:val="en-US"/>
              </w:rPr>
              <w:t xml:space="preserve"> / </w:t>
            </w:r>
            <w:r w:rsidRPr="00062B66">
              <w:t>Doc. 4.1</w:t>
            </w:r>
          </w:p>
          <w:p w:rsidR="00F47614" w:rsidRPr="00062B66" w:rsidRDefault="00F47614" w:rsidP="003A33A9">
            <w:r w:rsidRPr="00062B66">
              <w:t>(</w:t>
            </w:r>
            <w:r w:rsidR="00D814DF">
              <w:t>10</w:t>
            </w:r>
            <w:r w:rsidRPr="00062B66">
              <w:t xml:space="preserve">. </w:t>
            </w:r>
            <w:r w:rsidR="00D814DF">
              <w:t>6</w:t>
            </w:r>
            <w:r w:rsidRPr="00062B66">
              <w:t>. 201</w:t>
            </w:r>
            <w:r w:rsidR="00D814DF">
              <w:t>5</w:t>
            </w:r>
            <w:r w:rsidRPr="00062B66">
              <w:t>)</w:t>
            </w:r>
          </w:p>
          <w:p w:rsidR="00F47614" w:rsidRPr="00062B66" w:rsidRDefault="00F47614" w:rsidP="003A33A9">
            <w:pPr>
              <w:rPr>
                <w:rFonts w:cs="Arial"/>
              </w:rPr>
            </w:pPr>
            <w:r w:rsidRPr="00062B66">
              <w:rPr>
                <w:rFonts w:cs="Arial"/>
              </w:rPr>
              <w:t>-------------------------</w:t>
            </w:r>
          </w:p>
          <w:p w:rsidR="00F47614" w:rsidRPr="00062B66" w:rsidRDefault="00F47614" w:rsidP="003A33A9"/>
          <w:p w:rsidR="00F47614" w:rsidRPr="00062B66" w:rsidRDefault="00F47614" w:rsidP="003A33A9">
            <w:r w:rsidRPr="00062B66">
              <w:t>ITEM 4.1</w:t>
            </w:r>
          </w:p>
          <w:p w:rsidR="00F47614" w:rsidRPr="00062B66" w:rsidRDefault="00F47614" w:rsidP="003A33A9"/>
          <w:p w:rsidR="00F47614" w:rsidRPr="00062B66" w:rsidRDefault="00F47614" w:rsidP="003A33A9">
            <w:pPr>
              <w:widowControl w:val="0"/>
              <w:snapToGrid w:val="0"/>
            </w:pPr>
            <w:r w:rsidRPr="00062B66"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F47614" w:rsidRDefault="00F47614" w:rsidP="00CC1596">
      <w:pPr>
        <w:ind w:left="1208" w:right="1389"/>
        <w:jc w:val="center"/>
        <w:rPr>
          <w:rFonts w:cs="Arial"/>
        </w:rPr>
      </w:pPr>
      <w:r w:rsidRPr="00F47614">
        <w:rPr>
          <w:rFonts w:cs="Arial"/>
          <w:color w:val="000000"/>
          <w:lang w:val="en-US"/>
        </w:rPr>
        <w:t>SUMMARY AND CONCLUSION OF PROPOSALS</w:t>
      </w:r>
    </w:p>
    <w:p w:rsidR="00385109" w:rsidRPr="00F47614" w:rsidRDefault="0092721A" w:rsidP="003F1849">
      <w:pPr>
        <w:spacing w:before="240"/>
        <w:ind w:left="770" w:right="839"/>
        <w:jc w:val="center"/>
        <w:rPr>
          <w:rFonts w:cs="Arial"/>
          <w:b/>
          <w:sz w:val="24"/>
          <w:szCs w:val="24"/>
        </w:rPr>
      </w:pPr>
      <w:r>
        <w:t>Summary on amendments after IPET-DRMM-II</w:t>
      </w:r>
    </w:p>
    <w:p w:rsidR="00385109" w:rsidRPr="00871F4B" w:rsidRDefault="00385109" w:rsidP="00385109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>
        <w:rPr>
          <w:i/>
        </w:rPr>
        <w:t>the Secretariat</w:t>
      </w:r>
    </w:p>
    <w:p w:rsidR="00385109" w:rsidRPr="00871F4B" w:rsidRDefault="0038510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b/>
        </w:rPr>
      </w:pPr>
      <w:r w:rsidRPr="00871F4B">
        <w:rPr>
          <w:b/>
        </w:rPr>
        <w:t>Summary and Purpose of Document</w:t>
      </w:r>
    </w:p>
    <w:p w:rsidR="00385109" w:rsidRPr="00871F4B" w:rsidRDefault="00385109" w:rsidP="00385109">
      <w:pPr>
        <w:tabs>
          <w:tab w:val="center" w:pos="4680"/>
        </w:tabs>
        <w:ind w:left="440" w:right="399"/>
        <w:jc w:val="center"/>
      </w:pPr>
    </w:p>
    <w:p w:rsidR="009B25D3" w:rsidRPr="00871F4B" w:rsidRDefault="00385109" w:rsidP="009B25D3">
      <w:pPr>
        <w:ind w:left="770" w:right="839"/>
        <w:jc w:val="both"/>
      </w:pPr>
      <w:r>
        <w:t>T</w:t>
      </w:r>
      <w:r w:rsidRPr="00871F4B">
        <w:t xml:space="preserve">his document </w:t>
      </w:r>
      <w:r w:rsidR="00EA0AFA">
        <w:t xml:space="preserve">records </w:t>
      </w:r>
      <w:r w:rsidR="00F47614">
        <w:t xml:space="preserve">implementation of amendments </w:t>
      </w:r>
      <w:r>
        <w:t>to GRIB edition 2</w:t>
      </w:r>
      <w:r w:rsidR="00E07D7D">
        <w:t xml:space="preserve">, </w:t>
      </w:r>
      <w:r w:rsidR="00F47614">
        <w:t xml:space="preserve">BUFR and CREX, and </w:t>
      </w:r>
      <w:r>
        <w:t>the Common Code tables</w:t>
      </w:r>
      <w:r w:rsidR="00F47614">
        <w:t xml:space="preserve"> after the previous meeting of IPET-DRMM</w:t>
      </w:r>
      <w:r w:rsidR="00EA0AFA">
        <w:t xml:space="preserve">, and presents </w:t>
      </w:r>
      <w:r w:rsidR="009B25D3">
        <w:t>status of the past proposals</w:t>
      </w:r>
      <w:r w:rsidR="00EA0AFA">
        <w:t xml:space="preserve"> to be updated</w:t>
      </w:r>
      <w:r w:rsidR="009B25D3">
        <w:t>.</w:t>
      </w: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385109">
      <w:pPr>
        <w:jc w:val="center"/>
      </w:pPr>
    </w:p>
    <w:p w:rsidR="00076289" w:rsidRPr="00871F4B" w:rsidRDefault="0007628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385109" w:rsidRPr="00871F4B" w:rsidRDefault="00385109" w:rsidP="00385109">
      <w:pPr>
        <w:jc w:val="center"/>
      </w:pPr>
    </w:p>
    <w:p w:rsidR="00385109" w:rsidRDefault="007413D6" w:rsidP="00385109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is invited </w:t>
      </w:r>
      <w:r w:rsidR="009B25D3">
        <w:rPr>
          <w:rFonts w:ascii="Arial" w:hAnsi="Arial"/>
        </w:rPr>
        <w:t xml:space="preserve">to </w:t>
      </w:r>
      <w:r w:rsidR="00385109" w:rsidRPr="00E472EA">
        <w:rPr>
          <w:rFonts w:ascii="Arial" w:hAnsi="Arial"/>
        </w:rPr>
        <w:t xml:space="preserve">review </w:t>
      </w:r>
      <w:r w:rsidR="00385109">
        <w:rPr>
          <w:rFonts w:ascii="Arial" w:hAnsi="Arial"/>
        </w:rPr>
        <w:t xml:space="preserve">and update </w:t>
      </w:r>
      <w:r w:rsidR="00385109" w:rsidRPr="00E472EA">
        <w:rPr>
          <w:rFonts w:ascii="Arial" w:hAnsi="Arial"/>
        </w:rPr>
        <w:t xml:space="preserve">status </w:t>
      </w:r>
      <w:r w:rsidR="009B25D3">
        <w:rPr>
          <w:rFonts w:ascii="Arial" w:hAnsi="Arial"/>
        </w:rPr>
        <w:t xml:space="preserve">of the past proposals </w:t>
      </w:r>
      <w:r w:rsidR="00385109" w:rsidRPr="00E472EA">
        <w:rPr>
          <w:rFonts w:ascii="Arial" w:hAnsi="Arial"/>
        </w:rPr>
        <w:t>and</w:t>
      </w:r>
      <w:r w:rsidR="007D6927">
        <w:rPr>
          <w:rFonts w:ascii="Arial" w:hAnsi="Arial"/>
        </w:rPr>
        <w:t>, if needed,</w:t>
      </w:r>
      <w:r w:rsidR="00385109" w:rsidRPr="00E472EA">
        <w:rPr>
          <w:rFonts w:ascii="Arial" w:hAnsi="Arial"/>
        </w:rPr>
        <w:t xml:space="preserve"> to discuss </w:t>
      </w:r>
      <w:r w:rsidR="00385109">
        <w:rPr>
          <w:rFonts w:ascii="Arial" w:hAnsi="Arial"/>
        </w:rPr>
        <w:t xml:space="preserve">further actions </w:t>
      </w:r>
      <w:r w:rsidR="004A36CB">
        <w:rPr>
          <w:rFonts w:ascii="Arial" w:hAnsi="Arial"/>
        </w:rPr>
        <w:t>for</w:t>
      </w:r>
      <w:r w:rsidR="00385109">
        <w:rPr>
          <w:rFonts w:ascii="Arial" w:hAnsi="Arial"/>
        </w:rPr>
        <w:t xml:space="preserve"> </w:t>
      </w:r>
      <w:r w:rsidR="004A36CB">
        <w:rPr>
          <w:rFonts w:ascii="Arial" w:hAnsi="Arial"/>
        </w:rPr>
        <w:t>implementation of</w:t>
      </w:r>
      <w:r w:rsidR="00924B22">
        <w:rPr>
          <w:rFonts w:ascii="Arial" w:hAnsi="Arial"/>
        </w:rPr>
        <w:t xml:space="preserve"> the past proposals</w:t>
      </w:r>
      <w:r w:rsidR="00385109" w:rsidRPr="00E472EA">
        <w:rPr>
          <w:rFonts w:ascii="Arial" w:hAnsi="Arial"/>
        </w:rPr>
        <w:t>.</w:t>
      </w:r>
    </w:p>
    <w:p w:rsidR="00385109" w:rsidRPr="00E472EA" w:rsidRDefault="00385109" w:rsidP="00385109">
      <w:pPr>
        <w:pStyle w:val="BodyText"/>
        <w:rPr>
          <w:rFonts w:ascii="Arial" w:hAnsi="Arial"/>
        </w:rPr>
      </w:pPr>
    </w:p>
    <w:p w:rsidR="00385109" w:rsidRPr="00871F4B" w:rsidRDefault="00385109" w:rsidP="00385109">
      <w:pPr>
        <w:jc w:val="center"/>
      </w:pPr>
    </w:p>
    <w:p w:rsidR="00385109" w:rsidRPr="00605A5A" w:rsidRDefault="00385109" w:rsidP="00924B22">
      <w:pPr>
        <w:rPr>
          <w:b/>
          <w:bCs/>
        </w:rPr>
      </w:pPr>
      <w:r w:rsidRPr="00605A5A">
        <w:rPr>
          <w:b/>
          <w:bCs/>
        </w:rPr>
        <w:t>REFERENCES:</w:t>
      </w:r>
    </w:p>
    <w:p w:rsidR="00780D9A" w:rsidRDefault="00780D9A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 xml:space="preserve">Abridged final report of </w:t>
      </w:r>
      <w:r w:rsidRPr="00780D9A">
        <w:rPr>
          <w:sz w:val="21"/>
          <w:szCs w:val="21"/>
        </w:rPr>
        <w:t>with resolutions and recommendations (Asunción</w:t>
      </w:r>
      <w:r>
        <w:rPr>
          <w:sz w:val="21"/>
          <w:szCs w:val="21"/>
        </w:rPr>
        <w:t xml:space="preserve">, </w:t>
      </w:r>
      <w:r w:rsidRPr="00780D9A">
        <w:rPr>
          <w:sz w:val="21"/>
          <w:szCs w:val="21"/>
        </w:rPr>
        <w:t>8</w:t>
      </w:r>
      <w:r w:rsidR="00342D7D">
        <w:rPr>
          <w:sz w:val="21"/>
          <w:szCs w:val="21"/>
        </w:rPr>
        <w:t>-</w:t>
      </w:r>
      <w:r w:rsidRPr="00780D9A">
        <w:rPr>
          <w:sz w:val="21"/>
          <w:szCs w:val="21"/>
        </w:rPr>
        <w:t>12 September</w:t>
      </w:r>
      <w:r w:rsidR="00342D7D">
        <w:rPr>
          <w:sz w:val="21"/>
          <w:szCs w:val="21"/>
        </w:rPr>
        <w:t xml:space="preserve"> </w:t>
      </w:r>
      <w:r w:rsidRPr="00780D9A">
        <w:rPr>
          <w:sz w:val="21"/>
          <w:szCs w:val="21"/>
        </w:rPr>
        <w:t>2014)</w:t>
      </w:r>
    </w:p>
    <w:p w:rsidR="00780D9A" w:rsidRDefault="00780D9A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 xml:space="preserve">Report of the second meeting of IPET-DRMM (College Park, USA, </w:t>
      </w:r>
      <w:r w:rsidRPr="00780D9A">
        <w:rPr>
          <w:sz w:val="21"/>
          <w:szCs w:val="21"/>
        </w:rPr>
        <w:t>28 April-2 May 2014</w:t>
      </w:r>
      <w:r>
        <w:rPr>
          <w:sz w:val="21"/>
          <w:szCs w:val="21"/>
        </w:rPr>
        <w:t>)</w:t>
      </w:r>
    </w:p>
    <w:p w:rsidR="00924B22" w:rsidRDefault="00924B22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Report of the first meeting of IPET-DRMM (Tokyo, Japan, 1-5 July 2013)</w:t>
      </w:r>
    </w:p>
    <w:p w:rsidR="00FB5880" w:rsidRPr="00904CAC" w:rsidRDefault="00FB5880" w:rsidP="0092721A">
      <w:pPr>
        <w:snapToGrid w:val="0"/>
        <w:ind w:left="663" w:hanging="442"/>
        <w:jc w:val="both"/>
        <w:rPr>
          <w:sz w:val="21"/>
          <w:szCs w:val="21"/>
        </w:rPr>
      </w:pPr>
      <w:r w:rsidRPr="00904CAC">
        <w:rPr>
          <w:sz w:val="21"/>
          <w:szCs w:val="21"/>
        </w:rPr>
        <w:t>-</w:t>
      </w:r>
      <w:r w:rsidR="00F47614">
        <w:rPr>
          <w:sz w:val="21"/>
          <w:szCs w:val="21"/>
        </w:rPr>
        <w:tab/>
      </w:r>
      <w:r>
        <w:rPr>
          <w:sz w:val="21"/>
          <w:szCs w:val="21"/>
        </w:rPr>
        <w:t>Report of the fourth meeting of IPET-DRC (Exeter, UK, 21-25 May 2012)</w:t>
      </w:r>
    </w:p>
    <w:p w:rsidR="00385109" w:rsidRPr="00904CAC" w:rsidRDefault="00385109" w:rsidP="0092721A">
      <w:pPr>
        <w:snapToGrid w:val="0"/>
        <w:ind w:left="663" w:hanging="442"/>
        <w:jc w:val="both"/>
        <w:rPr>
          <w:sz w:val="21"/>
          <w:szCs w:val="21"/>
        </w:rPr>
      </w:pPr>
      <w:r w:rsidRPr="00904CAC">
        <w:rPr>
          <w:sz w:val="21"/>
          <w:szCs w:val="21"/>
        </w:rPr>
        <w:t>-</w:t>
      </w:r>
      <w:r w:rsidR="00F47614">
        <w:rPr>
          <w:sz w:val="21"/>
          <w:szCs w:val="21"/>
        </w:rPr>
        <w:tab/>
      </w:r>
      <w:r>
        <w:rPr>
          <w:sz w:val="21"/>
          <w:szCs w:val="21"/>
        </w:rPr>
        <w:t>Report of the third meeting of IPET-DRC (Melbourne, Australia, 20-23 September 2011)</w:t>
      </w:r>
    </w:p>
    <w:p w:rsidR="00385109" w:rsidRPr="00904CAC" w:rsidRDefault="00385109" w:rsidP="0092721A">
      <w:pPr>
        <w:snapToGrid w:val="0"/>
        <w:ind w:left="663" w:hanging="442"/>
        <w:jc w:val="both"/>
        <w:rPr>
          <w:sz w:val="21"/>
          <w:szCs w:val="21"/>
        </w:rPr>
      </w:pPr>
      <w:r w:rsidRPr="00904CAC">
        <w:rPr>
          <w:sz w:val="21"/>
          <w:szCs w:val="21"/>
        </w:rPr>
        <w:t>-</w:t>
      </w:r>
      <w:r w:rsidR="00F47614">
        <w:rPr>
          <w:sz w:val="21"/>
          <w:szCs w:val="21"/>
        </w:rPr>
        <w:tab/>
      </w:r>
      <w:r>
        <w:rPr>
          <w:sz w:val="21"/>
          <w:szCs w:val="21"/>
        </w:rPr>
        <w:t>Report of the second meeting of IPET-DRC (Brasilia, Brazil, 31 August-3 September 2010)</w:t>
      </w:r>
    </w:p>
    <w:p w:rsidR="00385109" w:rsidRPr="00693F31" w:rsidRDefault="00F47614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385109" w:rsidRPr="00693F31">
        <w:rPr>
          <w:sz w:val="21"/>
          <w:szCs w:val="21"/>
        </w:rPr>
        <w:t xml:space="preserve">Report of the </w:t>
      </w:r>
      <w:r w:rsidR="00385109">
        <w:rPr>
          <w:sz w:val="21"/>
          <w:szCs w:val="21"/>
        </w:rPr>
        <w:t xml:space="preserve">first </w:t>
      </w:r>
      <w:r w:rsidR="00385109" w:rsidRPr="00693F31">
        <w:rPr>
          <w:sz w:val="21"/>
          <w:szCs w:val="21"/>
        </w:rPr>
        <w:t>meeting of IPET-DRC (Geneva, 15-18 September 2009)</w:t>
      </w:r>
    </w:p>
    <w:p w:rsidR="00385109" w:rsidRDefault="00385109" w:rsidP="0092721A">
      <w:pPr>
        <w:snapToGrid w:val="0"/>
        <w:ind w:left="663" w:hanging="442"/>
        <w:jc w:val="both"/>
        <w:rPr>
          <w:sz w:val="21"/>
          <w:szCs w:val="21"/>
        </w:rPr>
      </w:pPr>
      <w:r w:rsidRPr="00693F31">
        <w:rPr>
          <w:sz w:val="21"/>
          <w:szCs w:val="21"/>
        </w:rPr>
        <w:t>-</w:t>
      </w:r>
      <w:r w:rsidR="00F47614">
        <w:rPr>
          <w:sz w:val="21"/>
          <w:szCs w:val="21"/>
        </w:rPr>
        <w:tab/>
      </w:r>
      <w:r w:rsidRPr="00693F31">
        <w:rPr>
          <w:sz w:val="21"/>
          <w:szCs w:val="21"/>
        </w:rPr>
        <w:t>Report of the Joint meeting of CT-MTDCF and ET-DRC (Geneva, 1-5 September 2008)</w:t>
      </w:r>
    </w:p>
    <w:p w:rsidR="0092721A" w:rsidRDefault="0092721A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 xml:space="preserve">Report of the </w:t>
      </w:r>
      <w:r w:rsidRPr="0092721A">
        <w:rPr>
          <w:sz w:val="21"/>
          <w:szCs w:val="21"/>
        </w:rPr>
        <w:t xml:space="preserve">Joint </w:t>
      </w:r>
      <w:r>
        <w:rPr>
          <w:sz w:val="21"/>
          <w:szCs w:val="21"/>
        </w:rPr>
        <w:t>m</w:t>
      </w:r>
      <w:r w:rsidRPr="0092721A">
        <w:rPr>
          <w:sz w:val="21"/>
          <w:szCs w:val="21"/>
        </w:rPr>
        <w:t xml:space="preserve">eeting of </w:t>
      </w:r>
      <w:r w:rsidRPr="00693F31">
        <w:rPr>
          <w:sz w:val="21"/>
          <w:szCs w:val="21"/>
        </w:rPr>
        <w:t>CT-MTDCF and ET-DRC</w:t>
      </w:r>
      <w:r>
        <w:rPr>
          <w:sz w:val="21"/>
          <w:szCs w:val="21"/>
        </w:rPr>
        <w:t xml:space="preserve"> (</w:t>
      </w:r>
      <w:r w:rsidRPr="0092721A">
        <w:rPr>
          <w:sz w:val="21"/>
          <w:szCs w:val="21"/>
        </w:rPr>
        <w:t>Montreal, 8-12 May 2006</w:t>
      </w:r>
      <w:r>
        <w:rPr>
          <w:sz w:val="21"/>
          <w:szCs w:val="21"/>
        </w:rPr>
        <w:t>)</w:t>
      </w:r>
    </w:p>
    <w:p w:rsidR="00385109" w:rsidRPr="00E048C0" w:rsidRDefault="00F47614" w:rsidP="00342D7D">
      <w:pPr>
        <w:spacing w:before="120"/>
        <w:jc w:val="both"/>
        <w:rPr>
          <w:b/>
        </w:rPr>
      </w:pPr>
      <w:r>
        <w:rPr>
          <w:b/>
        </w:rPr>
        <w:t>ANNEXES</w:t>
      </w:r>
      <w:r w:rsidR="00385109" w:rsidRPr="00E048C0">
        <w:rPr>
          <w:b/>
        </w:rPr>
        <w:t>:</w:t>
      </w:r>
    </w:p>
    <w:p w:rsidR="00922D53" w:rsidRDefault="00385109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I.</w:t>
      </w:r>
      <w:r>
        <w:rPr>
          <w:sz w:val="21"/>
          <w:szCs w:val="21"/>
        </w:rPr>
        <w:tab/>
      </w:r>
      <w:r w:rsidR="0092721A" w:rsidRPr="0092721A">
        <w:rPr>
          <w:sz w:val="21"/>
          <w:szCs w:val="21"/>
        </w:rPr>
        <w:t>Implementation of amendments during the intersessional period</w:t>
      </w:r>
    </w:p>
    <w:p w:rsidR="00924B22" w:rsidRDefault="00F47614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II.</w:t>
      </w:r>
      <w:r w:rsidR="00924B22">
        <w:rPr>
          <w:sz w:val="21"/>
          <w:szCs w:val="21"/>
        </w:rPr>
        <w:tab/>
        <w:t>Status of proposals</w:t>
      </w:r>
    </w:p>
    <w:p w:rsidR="00385109" w:rsidRPr="00FA10AA" w:rsidRDefault="0092721A" w:rsidP="0092721A">
      <w:pPr>
        <w:rPr>
          <w:b/>
        </w:rPr>
      </w:pPr>
      <w:r>
        <w:rPr>
          <w:b/>
        </w:rPr>
        <w:br w:type="page"/>
      </w:r>
      <w:r w:rsidR="00385109">
        <w:rPr>
          <w:b/>
        </w:rPr>
        <w:lastRenderedPageBreak/>
        <w:t>DISCUSSIONS</w:t>
      </w:r>
    </w:p>
    <w:p w:rsidR="00385109" w:rsidRDefault="00385109" w:rsidP="00385109"/>
    <w:p w:rsidR="003F1849" w:rsidRDefault="003F1849" w:rsidP="003F1849">
      <w:pPr>
        <w:jc w:val="both"/>
      </w:pPr>
      <w:r>
        <w:t>1.</w:t>
      </w:r>
      <w:r>
        <w:tab/>
        <w:t xml:space="preserve">In accordance with the </w:t>
      </w:r>
      <w:r w:rsidR="00780D9A" w:rsidRPr="008E468A">
        <w:t>previous</w:t>
      </w:r>
      <w:r w:rsidR="00780D9A">
        <w:t xml:space="preserve"> </w:t>
      </w:r>
      <w:r w:rsidRPr="008E468A">
        <w:rPr>
          <w:i/>
        </w:rPr>
        <w:t>Procedures for Amending the Manual on Codes</w:t>
      </w:r>
      <w:r>
        <w:t xml:space="preserve">, amendments to the Manual on Codes have come into force during </w:t>
      </w:r>
      <w:r w:rsidR="0007780B">
        <w:t xml:space="preserve">the </w:t>
      </w:r>
      <w:r>
        <w:t xml:space="preserve">intersessional period of </w:t>
      </w:r>
      <w:r w:rsidR="008E468A">
        <w:t xml:space="preserve">the </w:t>
      </w:r>
      <w:r>
        <w:t>IPET-DRMM without going through CBS and EC sessions.</w:t>
      </w:r>
    </w:p>
    <w:p w:rsidR="003F1849" w:rsidRDefault="003F1849" w:rsidP="003F1849">
      <w:pPr>
        <w:ind w:left="660" w:hanging="660"/>
        <w:jc w:val="both"/>
      </w:pPr>
    </w:p>
    <w:p w:rsidR="003F1849" w:rsidRDefault="00B51D06" w:rsidP="003F1849">
      <w:pPr>
        <w:jc w:val="both"/>
      </w:pPr>
      <w:r>
        <w:t>2</w:t>
      </w:r>
      <w:r w:rsidR="003F1849">
        <w:t>.</w:t>
      </w:r>
      <w:r w:rsidR="003F1849">
        <w:tab/>
        <w:t xml:space="preserve">This document is to </w:t>
      </w:r>
      <w:r>
        <w:t xml:space="preserve">place </w:t>
      </w:r>
      <w:r w:rsidR="003F1849">
        <w:t>these amendments</w:t>
      </w:r>
      <w:r>
        <w:t xml:space="preserve"> on record</w:t>
      </w:r>
      <w:r w:rsidR="003F1849">
        <w:t>, which</w:t>
      </w:r>
      <w:r w:rsidR="009179D1">
        <w:t xml:space="preserve"> </w:t>
      </w:r>
      <w:r w:rsidR="00562D91">
        <w:t xml:space="preserve">details </w:t>
      </w:r>
      <w:r w:rsidR="009179D1">
        <w:t xml:space="preserve">are not </w:t>
      </w:r>
      <w:r w:rsidR="007769BD">
        <w:t>s</w:t>
      </w:r>
      <w:r w:rsidR="003F1849">
        <w:t>hown in the "</w:t>
      </w:r>
      <w:r w:rsidR="003F1849" w:rsidRPr="004634C6">
        <w:t>Abridged final report with resolutions and recommendations</w:t>
      </w:r>
      <w:r w:rsidR="003F1849">
        <w:t>" of sessions of the Commission for Basic Systems (CBS).</w:t>
      </w:r>
    </w:p>
    <w:p w:rsidR="003F1849" w:rsidRDefault="003F1849" w:rsidP="003F1849">
      <w:pPr>
        <w:jc w:val="both"/>
      </w:pPr>
    </w:p>
    <w:p w:rsidR="003F1849" w:rsidRDefault="003F1849" w:rsidP="003F1849">
      <w:pPr>
        <w:jc w:val="both"/>
      </w:pPr>
      <w:r>
        <w:t>3.</w:t>
      </w:r>
      <w:r>
        <w:tab/>
        <w:t xml:space="preserve">After </w:t>
      </w:r>
      <w:r w:rsidR="007413D6">
        <w:t xml:space="preserve">the </w:t>
      </w:r>
      <w:r>
        <w:t>previous meeting of IPET-DR</w:t>
      </w:r>
      <w:r w:rsidR="0007780B">
        <w:t>MM</w:t>
      </w:r>
      <w:r>
        <w:t xml:space="preserve">, the amendments </w:t>
      </w:r>
      <w:r w:rsidR="007413D6">
        <w:t xml:space="preserve">listed in the Annex I </w:t>
      </w:r>
      <w:r>
        <w:t>were approved and implemented</w:t>
      </w:r>
      <w:r w:rsidR="00922D53">
        <w:t xml:space="preserve"> or waiting for implementation</w:t>
      </w:r>
      <w:r>
        <w:t xml:space="preserve">. </w:t>
      </w:r>
      <w:r w:rsidR="0007780B">
        <w:t xml:space="preserve"> </w:t>
      </w:r>
      <w:r>
        <w:t>English document</w:t>
      </w:r>
      <w:r w:rsidR="00922D53">
        <w:t>s</w:t>
      </w:r>
      <w:r>
        <w:t xml:space="preserve"> </w:t>
      </w:r>
      <w:r w:rsidR="00922D53">
        <w:t>are</w:t>
      </w:r>
      <w:r>
        <w:t xml:space="preserve"> available from the link</w:t>
      </w:r>
      <w:r w:rsidR="007413D6">
        <w:t>s in the Annex</w:t>
      </w:r>
      <w:r w:rsidR="0007780B">
        <w:t xml:space="preserve">, </w:t>
      </w:r>
      <w:r w:rsidR="00922D53">
        <w:t xml:space="preserve">and </w:t>
      </w:r>
      <w:r w:rsidR="0007780B">
        <w:t>o</w:t>
      </w:r>
      <w:r>
        <w:t xml:space="preserve">ther </w:t>
      </w:r>
      <w:r w:rsidR="007413D6">
        <w:t xml:space="preserve">language </w:t>
      </w:r>
      <w:r>
        <w:t>versions are available</w:t>
      </w:r>
      <w:r w:rsidR="00922D53">
        <w:t xml:space="preserve">, </w:t>
      </w:r>
      <w:r>
        <w:t>replacing "e</w:t>
      </w:r>
      <w:r w:rsidR="007413D6">
        <w:t xml:space="preserve">n" </w:t>
      </w:r>
      <w:r w:rsidR="00922D53">
        <w:t xml:space="preserve">with </w:t>
      </w:r>
      <w:r w:rsidR="007413D6">
        <w:t>"</w:t>
      </w:r>
      <w:proofErr w:type="spellStart"/>
      <w:r w:rsidR="007413D6">
        <w:t>fr</w:t>
      </w:r>
      <w:proofErr w:type="spellEnd"/>
      <w:r w:rsidR="007413D6">
        <w:t>", "</w:t>
      </w:r>
      <w:proofErr w:type="spellStart"/>
      <w:r w:rsidR="007413D6">
        <w:t>ru</w:t>
      </w:r>
      <w:proofErr w:type="spellEnd"/>
      <w:r w:rsidR="007413D6">
        <w:t>", "</w:t>
      </w:r>
      <w:proofErr w:type="spellStart"/>
      <w:r w:rsidR="007413D6">
        <w:t>es</w:t>
      </w:r>
      <w:proofErr w:type="spellEnd"/>
      <w:r w:rsidR="007413D6">
        <w:t>" or "</w:t>
      </w:r>
      <w:proofErr w:type="spellStart"/>
      <w:r w:rsidR="007413D6">
        <w:t>ar</w:t>
      </w:r>
      <w:proofErr w:type="spellEnd"/>
      <w:r w:rsidR="00922D53">
        <w:t>"</w:t>
      </w:r>
      <w:r w:rsidR="007413D6">
        <w:t xml:space="preserve"> (</w:t>
      </w:r>
      <w:r w:rsidR="00922D53">
        <w:t xml:space="preserve">Arabic is </w:t>
      </w:r>
      <w:r w:rsidR="007413D6">
        <w:t xml:space="preserve">available for </w:t>
      </w:r>
      <w:r w:rsidR="008E468A">
        <w:t xml:space="preserve">the item </w:t>
      </w:r>
      <w:r w:rsidR="007413D6">
        <w:t>1</w:t>
      </w:r>
      <w:r w:rsidR="00342D7D">
        <w:t xml:space="preserve"> only</w:t>
      </w:r>
      <w:r>
        <w:t>) in the links.</w:t>
      </w:r>
    </w:p>
    <w:p w:rsidR="003F1849" w:rsidRDefault="003F1849" w:rsidP="00C664C1">
      <w:pPr>
        <w:jc w:val="both"/>
      </w:pPr>
    </w:p>
    <w:p w:rsidR="00385109" w:rsidRPr="0014798E" w:rsidRDefault="003D387A" w:rsidP="00C664C1">
      <w:pPr>
        <w:jc w:val="both"/>
      </w:pPr>
      <w:r>
        <w:t>4</w:t>
      </w:r>
      <w:r w:rsidR="00385109">
        <w:t>.</w:t>
      </w:r>
      <w:r w:rsidR="00385109">
        <w:tab/>
        <w:t>Proposals on amendments to GRIB edition 2 (GRIB2)</w:t>
      </w:r>
      <w:r w:rsidR="00157798">
        <w:t>, BUFR and CREX, and the Common Code tables</w:t>
      </w:r>
      <w:r w:rsidR="009179D1">
        <w:t>, which have been</w:t>
      </w:r>
      <w:r w:rsidR="00157798">
        <w:t xml:space="preserve"> </w:t>
      </w:r>
      <w:r w:rsidR="00197AD9">
        <w:t>approved for validation</w:t>
      </w:r>
      <w:r w:rsidR="009179D1">
        <w:t>,</w:t>
      </w:r>
      <w:r w:rsidR="00197AD9">
        <w:t xml:space="preserve"> are </w:t>
      </w:r>
      <w:r w:rsidR="00385109">
        <w:t>listed in the A</w:t>
      </w:r>
      <w:r w:rsidR="007413D6">
        <w:t>nnex I</w:t>
      </w:r>
      <w:r w:rsidR="00076289">
        <w:t>I</w:t>
      </w:r>
      <w:r w:rsidR="00922D53">
        <w:t xml:space="preserve"> along with th</w:t>
      </w:r>
      <w:r w:rsidR="009179D1">
        <w:t>o</w:t>
      </w:r>
      <w:r w:rsidR="00922D53">
        <w:t>se waiting for implementation</w:t>
      </w:r>
      <w:r w:rsidR="00385109">
        <w:t>.</w:t>
      </w:r>
    </w:p>
    <w:p w:rsidR="00385109" w:rsidRDefault="00385109" w:rsidP="00385109">
      <w:pPr>
        <w:ind w:left="284" w:hanging="284"/>
        <w:jc w:val="both"/>
      </w:pPr>
    </w:p>
    <w:p w:rsidR="00385109" w:rsidRDefault="003D387A" w:rsidP="00C664C1">
      <w:pPr>
        <w:jc w:val="both"/>
      </w:pPr>
      <w:r>
        <w:t>5</w:t>
      </w:r>
      <w:r w:rsidR="00385109">
        <w:t>.</w:t>
      </w:r>
      <w:r w:rsidR="00385109">
        <w:tab/>
        <w:t>The meeting will review and update the status of th</w:t>
      </w:r>
      <w:r w:rsidR="00197AD9">
        <w:t>e</w:t>
      </w:r>
      <w:r w:rsidR="00385109">
        <w:t xml:space="preserve">se proposals, and </w:t>
      </w:r>
      <w:r w:rsidR="00984D1B">
        <w:t xml:space="preserve">make arrangements for </w:t>
      </w:r>
      <w:r w:rsidR="00385109">
        <w:t xml:space="preserve">validation to be </w:t>
      </w:r>
      <w:r w:rsidR="00984D1B">
        <w:t xml:space="preserve">conducted by </w:t>
      </w:r>
      <w:r w:rsidR="00385109">
        <w:t>centres concerned, if needed.</w:t>
      </w:r>
    </w:p>
    <w:p w:rsidR="00385109" w:rsidRDefault="00385109" w:rsidP="00385109">
      <w:pPr>
        <w:ind w:left="284" w:hanging="284"/>
        <w:jc w:val="both"/>
      </w:pPr>
    </w:p>
    <w:p w:rsidR="00385109" w:rsidRDefault="003D387A" w:rsidP="00C664C1">
      <w:pPr>
        <w:jc w:val="both"/>
      </w:pPr>
      <w:r>
        <w:t>6</w:t>
      </w:r>
      <w:r w:rsidR="00385109">
        <w:t>.</w:t>
      </w:r>
      <w:r w:rsidR="00385109">
        <w:tab/>
      </w:r>
      <w:r w:rsidR="00342D7D">
        <w:t>P</w:t>
      </w:r>
      <w:r w:rsidR="00385109">
        <w:t>roposals</w:t>
      </w:r>
      <w:r w:rsidR="00342D7D">
        <w:t xml:space="preserve"> in the Annex II</w:t>
      </w:r>
      <w:r w:rsidR="00F17B14">
        <w:t xml:space="preserve">, which </w:t>
      </w:r>
      <w:r w:rsidR="009179D1">
        <w:t xml:space="preserve">have been </w:t>
      </w:r>
      <w:r w:rsidR="00F17B14">
        <w:t>significantly modified through validation process,</w:t>
      </w:r>
      <w:r w:rsidR="00342D7D">
        <w:t xml:space="preserve"> </w:t>
      </w:r>
      <w:r w:rsidR="000C4543">
        <w:t xml:space="preserve">should </w:t>
      </w:r>
      <w:r w:rsidR="007413D6">
        <w:t xml:space="preserve">be discussed separately </w:t>
      </w:r>
      <w:r w:rsidR="008E468A">
        <w:t>under a specific agenda item</w:t>
      </w:r>
      <w:r w:rsidR="00385109">
        <w:t>.</w:t>
      </w:r>
    </w:p>
    <w:p w:rsidR="00385109" w:rsidRDefault="00385109" w:rsidP="00385109"/>
    <w:p w:rsidR="00F40DF4" w:rsidRDefault="00385109" w:rsidP="00F40DF4">
      <w:pPr>
        <w:spacing w:after="40"/>
        <w:jc w:val="both"/>
      </w:pPr>
      <w:r>
        <w:br w:type="page"/>
      </w:r>
    </w:p>
    <w:p w:rsidR="00F40DF4" w:rsidRDefault="002C10F3" w:rsidP="00F40DF4">
      <w:pPr>
        <w:spacing w:after="40"/>
        <w:jc w:val="both"/>
      </w:pPr>
      <w:r>
        <w:rPr>
          <w:noProof/>
          <w:snapToGrid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6.05pt;margin-top:-45.7pt;width:66pt;height:24.45pt;z-index:2" filled="f" stroked="f">
            <v:textbox style="mso-next-textbox:#_x0000_s1037">
              <w:txbxContent>
                <w:p w:rsidR="00FC5BBC" w:rsidRPr="00CD2CDA" w:rsidRDefault="00FC5BBC" w:rsidP="00F40DF4">
                  <w:pPr>
                    <w:rPr>
                      <w:b/>
                      <w:lang w:val="fr-CH"/>
                    </w:rPr>
                  </w:pPr>
                  <w:r w:rsidRPr="00CD2CDA">
                    <w:rPr>
                      <w:b/>
                      <w:lang w:val="fr-CH"/>
                    </w:rPr>
                    <w:t>ANNEX</w:t>
                  </w:r>
                  <w:r>
                    <w:rPr>
                      <w:b/>
                      <w:lang w:val="fr-CH"/>
                    </w:rPr>
                    <w:t xml:space="preserve"> I</w:t>
                  </w:r>
                </w:p>
              </w:txbxContent>
            </v:textbox>
          </v:shape>
        </w:pict>
      </w:r>
    </w:p>
    <w:p w:rsidR="00922D53" w:rsidRDefault="00F40DF4" w:rsidP="00922D53">
      <w:pPr>
        <w:jc w:val="center"/>
        <w:rPr>
          <w:sz w:val="24"/>
          <w:szCs w:val="24"/>
        </w:rPr>
      </w:pPr>
      <w:r w:rsidRPr="00C1358E">
        <w:rPr>
          <w:sz w:val="24"/>
          <w:szCs w:val="24"/>
        </w:rPr>
        <w:t>Implementation of amendments during the intersessional period</w:t>
      </w:r>
    </w:p>
    <w:p w:rsidR="00C1358E" w:rsidRDefault="00C1358E" w:rsidP="00922D53"/>
    <w:p w:rsidR="00CA736E" w:rsidRDefault="00CA736E" w:rsidP="00F40DF4">
      <w:pPr>
        <w:spacing w:after="40"/>
        <w:jc w:val="both"/>
      </w:pPr>
    </w:p>
    <w:p w:rsidR="00F40DF4" w:rsidRPr="00537E5E" w:rsidRDefault="005A37B5" w:rsidP="00F40DF4">
      <w:pPr>
        <w:spacing w:after="40"/>
        <w:jc w:val="both"/>
        <w:rPr>
          <w:sz w:val="21"/>
          <w:szCs w:val="21"/>
        </w:rPr>
      </w:pPr>
      <w:r w:rsidRPr="00537E5E">
        <w:rPr>
          <w:sz w:val="21"/>
          <w:szCs w:val="21"/>
        </w:rPr>
        <w:t>1</w:t>
      </w:r>
      <w:r w:rsidR="00C1358E" w:rsidRPr="00537E5E">
        <w:rPr>
          <w:sz w:val="21"/>
          <w:szCs w:val="21"/>
        </w:rPr>
        <w:t>.</w:t>
      </w:r>
      <w:r w:rsidR="00C1358E" w:rsidRPr="00537E5E">
        <w:rPr>
          <w:sz w:val="21"/>
          <w:szCs w:val="21"/>
        </w:rPr>
        <w:tab/>
      </w:r>
      <w:hyperlink r:id="rId7" w:history="1">
        <w:r w:rsidR="00325264" w:rsidRPr="00537E5E">
          <w:rPr>
            <w:rStyle w:val="Hyperlink"/>
            <w:sz w:val="21"/>
            <w:szCs w:val="21"/>
          </w:rPr>
          <w:t>Adoption between CBS sessions 2014</w:t>
        </w:r>
      </w:hyperlink>
      <w:r w:rsidR="00F40DF4" w:rsidRPr="00537E5E">
        <w:rPr>
          <w:sz w:val="21"/>
          <w:szCs w:val="21"/>
        </w:rPr>
        <w:t xml:space="preserve"> (5 November 2014)</w:t>
      </w:r>
    </w:p>
    <w:p w:rsidR="00A90500" w:rsidRPr="00537E5E" w:rsidRDefault="00A90500" w:rsidP="00A90500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hyperlink r:id="rId8" w:history="1">
        <w:r w:rsidRPr="00A90500">
          <w:rPr>
            <w:rStyle w:val="Hyperlink"/>
            <w:sz w:val="21"/>
            <w:szCs w:val="21"/>
          </w:rPr>
          <w:t>Pre-operational</w:t>
        </w:r>
      </w:hyperlink>
      <w:r>
        <w:rPr>
          <w:sz w:val="21"/>
          <w:szCs w:val="21"/>
        </w:rPr>
        <w:t xml:space="preserve"> (14 October 2014)</w:t>
      </w:r>
    </w:p>
    <w:p w:rsidR="005A37B5" w:rsidRDefault="00A90500" w:rsidP="005A37B5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5A37B5" w:rsidRPr="00537E5E">
        <w:rPr>
          <w:sz w:val="21"/>
          <w:szCs w:val="21"/>
        </w:rPr>
        <w:t>.</w:t>
      </w:r>
      <w:r w:rsidR="005A37B5" w:rsidRPr="00537E5E">
        <w:rPr>
          <w:sz w:val="21"/>
          <w:szCs w:val="21"/>
        </w:rPr>
        <w:tab/>
      </w:r>
      <w:hyperlink r:id="rId9" w:history="1">
        <w:r w:rsidR="005A37B5" w:rsidRPr="00537E5E">
          <w:rPr>
            <w:rStyle w:val="Hyperlink"/>
            <w:sz w:val="21"/>
            <w:szCs w:val="21"/>
          </w:rPr>
          <w:t>Fast-track 2014-2</w:t>
        </w:r>
      </w:hyperlink>
      <w:r>
        <w:rPr>
          <w:sz w:val="21"/>
          <w:szCs w:val="21"/>
        </w:rPr>
        <w:t xml:space="preserve"> (</w:t>
      </w:r>
      <w:r w:rsidR="005A37B5" w:rsidRPr="00537E5E">
        <w:rPr>
          <w:sz w:val="21"/>
          <w:szCs w:val="21"/>
        </w:rPr>
        <w:t>5 November 2014)</w:t>
      </w:r>
    </w:p>
    <w:p w:rsidR="005A37B5" w:rsidRDefault="00A90500" w:rsidP="005A37B5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5A37B5" w:rsidRPr="00537E5E">
        <w:rPr>
          <w:sz w:val="21"/>
          <w:szCs w:val="21"/>
        </w:rPr>
        <w:t>.</w:t>
      </w:r>
      <w:r w:rsidR="005A37B5" w:rsidRPr="00537E5E">
        <w:rPr>
          <w:sz w:val="21"/>
          <w:szCs w:val="21"/>
        </w:rPr>
        <w:tab/>
      </w:r>
      <w:hyperlink r:id="rId10" w:history="1">
        <w:r w:rsidR="005A37B5" w:rsidRPr="00537E5E">
          <w:rPr>
            <w:rStyle w:val="Hyperlink"/>
            <w:sz w:val="21"/>
            <w:szCs w:val="21"/>
          </w:rPr>
          <w:t>Fast-track 2015-1</w:t>
        </w:r>
      </w:hyperlink>
      <w:r>
        <w:rPr>
          <w:sz w:val="21"/>
          <w:szCs w:val="21"/>
        </w:rPr>
        <w:t xml:space="preserve"> (6</w:t>
      </w:r>
      <w:r w:rsidR="005A37B5" w:rsidRPr="00537E5E">
        <w:rPr>
          <w:sz w:val="21"/>
          <w:szCs w:val="21"/>
        </w:rPr>
        <w:t xml:space="preserve"> May 2015)</w:t>
      </w:r>
    </w:p>
    <w:p w:rsidR="00A90500" w:rsidRPr="00537E5E" w:rsidRDefault="00A90500" w:rsidP="005A37B5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</w:r>
      <w:hyperlink r:id="rId11" w:history="1">
        <w:r w:rsidRPr="00A90500">
          <w:rPr>
            <w:rStyle w:val="Hyperlink"/>
            <w:sz w:val="21"/>
            <w:szCs w:val="21"/>
          </w:rPr>
          <w:t>Pre-Operational</w:t>
        </w:r>
      </w:hyperlink>
      <w:r>
        <w:rPr>
          <w:sz w:val="21"/>
          <w:szCs w:val="21"/>
        </w:rPr>
        <w:t xml:space="preserve"> (7 May 2015)</w:t>
      </w:r>
    </w:p>
    <w:p w:rsidR="00834988" w:rsidRDefault="00834988" w:rsidP="005A37B5">
      <w:pPr>
        <w:spacing w:after="40"/>
        <w:jc w:val="both"/>
        <w:rPr>
          <w:sz w:val="21"/>
          <w:szCs w:val="21"/>
        </w:rPr>
      </w:pPr>
    </w:p>
    <w:p w:rsidR="005A37B5" w:rsidRPr="00197AD9" w:rsidRDefault="00A90500" w:rsidP="005A37B5">
      <w:pPr>
        <w:spacing w:after="40"/>
        <w:jc w:val="both"/>
        <w:rPr>
          <w:i/>
          <w:sz w:val="21"/>
          <w:szCs w:val="21"/>
        </w:rPr>
      </w:pPr>
      <w:r w:rsidRPr="00197AD9">
        <w:rPr>
          <w:i/>
          <w:sz w:val="21"/>
          <w:szCs w:val="21"/>
        </w:rPr>
        <w:t>6</w:t>
      </w:r>
      <w:r w:rsidR="00834988" w:rsidRPr="00197AD9">
        <w:rPr>
          <w:i/>
          <w:sz w:val="21"/>
          <w:szCs w:val="21"/>
        </w:rPr>
        <w:t>.</w:t>
      </w:r>
      <w:r w:rsidR="00834988" w:rsidRPr="00197AD9">
        <w:rPr>
          <w:i/>
          <w:sz w:val="21"/>
          <w:szCs w:val="21"/>
        </w:rPr>
        <w:tab/>
      </w:r>
      <w:hyperlink r:id="rId12" w:history="1">
        <w:r w:rsidR="00834988" w:rsidRPr="00197AD9">
          <w:rPr>
            <w:rStyle w:val="Hyperlink"/>
            <w:i/>
            <w:sz w:val="21"/>
            <w:szCs w:val="21"/>
          </w:rPr>
          <w:t>Rec. 6 and 7 (CBS Ext. (2014))</w:t>
        </w:r>
      </w:hyperlink>
      <w:r w:rsidR="00834988" w:rsidRPr="00197AD9">
        <w:rPr>
          <w:i/>
          <w:sz w:val="21"/>
          <w:szCs w:val="21"/>
        </w:rPr>
        <w:t xml:space="preserve"> (4 November 2015</w:t>
      </w:r>
      <w:r w:rsidR="00197AD9" w:rsidRPr="00197AD9">
        <w:rPr>
          <w:i/>
          <w:sz w:val="21"/>
          <w:szCs w:val="21"/>
        </w:rPr>
        <w:t>)</w:t>
      </w:r>
    </w:p>
    <w:p w:rsidR="005A37B5" w:rsidRPr="003D387A" w:rsidRDefault="000021EF" w:rsidP="005A37B5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Note: </w:t>
      </w:r>
      <w:r w:rsidR="00834988">
        <w:rPr>
          <w:sz w:val="21"/>
          <w:szCs w:val="21"/>
        </w:rPr>
        <w:t xml:space="preserve">The recommendations </w:t>
      </w:r>
      <w:r w:rsidR="005A37B5">
        <w:rPr>
          <w:sz w:val="21"/>
          <w:szCs w:val="21"/>
        </w:rPr>
        <w:t>have been adopted by the World Meteorological Congress</w:t>
      </w:r>
      <w:r w:rsidR="00834988">
        <w:rPr>
          <w:sz w:val="21"/>
          <w:szCs w:val="21"/>
        </w:rPr>
        <w:t xml:space="preserve"> </w:t>
      </w:r>
      <w:r w:rsidR="009607C1">
        <w:rPr>
          <w:sz w:val="21"/>
          <w:szCs w:val="21"/>
        </w:rPr>
        <w:t>Seventeenth</w:t>
      </w:r>
      <w:r w:rsidR="00197AD9">
        <w:rPr>
          <w:sz w:val="21"/>
          <w:szCs w:val="21"/>
        </w:rPr>
        <w:t xml:space="preserve"> </w:t>
      </w:r>
      <w:r w:rsidR="009607C1">
        <w:rPr>
          <w:sz w:val="21"/>
          <w:szCs w:val="21"/>
        </w:rPr>
        <w:t xml:space="preserve">session </w:t>
      </w:r>
      <w:r w:rsidR="00834988">
        <w:rPr>
          <w:sz w:val="21"/>
          <w:szCs w:val="21"/>
        </w:rPr>
        <w:t>(Cg-17)</w:t>
      </w:r>
      <w:r w:rsidR="005A37B5">
        <w:rPr>
          <w:sz w:val="21"/>
          <w:szCs w:val="21"/>
        </w:rPr>
        <w:t>.</w:t>
      </w:r>
    </w:p>
    <w:p w:rsidR="002756B9" w:rsidRDefault="002756B9" w:rsidP="00385109">
      <w:pPr>
        <w:rPr>
          <w:sz w:val="18"/>
          <w:szCs w:val="18"/>
        </w:rPr>
        <w:sectPr w:rsidR="002756B9" w:rsidSect="00EB60DA">
          <w:type w:val="continuous"/>
          <w:pgSz w:w="11907" w:h="16840" w:code="9"/>
          <w:pgMar w:top="1134" w:right="1134" w:bottom="1134" w:left="1134" w:header="567" w:footer="567" w:gutter="0"/>
          <w:paperSrc w:first="7" w:other="7"/>
          <w:cols w:space="708"/>
          <w:docGrid w:type="linesAndChars" w:linePitch="326"/>
        </w:sectPr>
      </w:pPr>
    </w:p>
    <w:p w:rsidR="002756B9" w:rsidRPr="002756B9" w:rsidRDefault="002C10F3" w:rsidP="002756B9">
      <w:pPr>
        <w:spacing w:before="150" w:after="150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cs="Arial"/>
          <w:noProof/>
          <w:sz w:val="20"/>
          <w:szCs w:val="20"/>
          <w:lang w:val="en-US" w:eastAsia="ja-JP"/>
        </w:rPr>
        <w:lastRenderedPageBreak/>
        <w:pict>
          <v:shape id="_x0000_s1034" type="#_x0000_t202" style="position:absolute;left:0;text-align:left;margin-left:678.45pt;margin-top:-43.3pt;width:66pt;height:24.45pt;z-index:1;mso-position-horizontal-relative:text;mso-position-vertical-relative:text" filled="f" stroked="f">
            <v:textbox style="mso-next-textbox:#_x0000_s1034">
              <w:txbxContent>
                <w:p w:rsidR="00FC5BBC" w:rsidRPr="00CD2CDA" w:rsidRDefault="00FC5BBC" w:rsidP="00385109">
                  <w:pPr>
                    <w:rPr>
                      <w:b/>
                      <w:lang w:val="fr-CH"/>
                    </w:rPr>
                  </w:pPr>
                  <w:r w:rsidRPr="00CD2CDA">
                    <w:rPr>
                      <w:b/>
                      <w:lang w:val="fr-CH"/>
                    </w:rPr>
                    <w:t>ANNEX</w:t>
                  </w:r>
                  <w:r>
                    <w:rPr>
                      <w:b/>
                      <w:lang w:val="fr-CH"/>
                    </w:rPr>
                    <w:t xml:space="preserve"> II</w:t>
                  </w:r>
                </w:p>
              </w:txbxContent>
            </v:textbox>
          </v:shape>
        </w:pict>
      </w:r>
      <w:r w:rsidR="002756B9" w:rsidRPr="002756B9">
        <w:rPr>
          <w:rFonts w:eastAsia="Times New Roman" w:cs="Arial"/>
          <w:b/>
          <w:bCs/>
          <w:color w:val="000000"/>
          <w:sz w:val="24"/>
          <w:szCs w:val="24"/>
        </w:rPr>
        <w:t>STATUS OF PROPOSALS</w:t>
      </w:r>
    </w:p>
    <w:p w:rsidR="002756B9" w:rsidRPr="002756B9" w:rsidRDefault="002756B9" w:rsidP="002756B9">
      <w:pPr>
        <w:spacing w:before="150" w:after="150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 </w:t>
      </w:r>
    </w:p>
    <w:p w:rsidR="002756B9" w:rsidRPr="002756B9" w:rsidRDefault="002756B9" w:rsidP="003B42BD">
      <w:pPr>
        <w:spacing w:after="60"/>
        <w:ind w:left="426" w:hanging="426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1.</w:t>
      </w:r>
      <w:r w:rsidR="003B42BD">
        <w:rPr>
          <w:rFonts w:eastAsia="Times New Roman" w:cs="Arial"/>
          <w:color w:val="000000"/>
          <w:sz w:val="21"/>
          <w:szCs w:val="21"/>
        </w:rPr>
        <w:tab/>
      </w:r>
      <w:r w:rsidRPr="002756B9">
        <w:rPr>
          <w:rFonts w:eastAsia="Times New Roman" w:cs="Arial"/>
          <w:color w:val="000000"/>
          <w:sz w:val="21"/>
          <w:szCs w:val="21"/>
        </w:rPr>
        <w:t>The following tables are to show the proposals at validation stage to facilitate validation exercise.</w:t>
      </w:r>
    </w:p>
    <w:p w:rsidR="002756B9" w:rsidRPr="002756B9" w:rsidRDefault="002756B9" w:rsidP="003B42BD">
      <w:pPr>
        <w:spacing w:after="60"/>
        <w:ind w:left="426" w:hanging="426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2.</w:t>
      </w:r>
      <w:r w:rsidR="003B42BD">
        <w:rPr>
          <w:rFonts w:eastAsia="Times New Roman" w:cs="Arial"/>
          <w:color w:val="000000"/>
          <w:sz w:val="21"/>
          <w:szCs w:val="21"/>
        </w:rPr>
        <w:tab/>
      </w:r>
      <w:r w:rsidRPr="002756B9">
        <w:rPr>
          <w:rFonts w:eastAsia="Times New Roman" w:cs="Arial"/>
          <w:color w:val="000000"/>
          <w:sz w:val="21"/>
          <w:szCs w:val="21"/>
        </w:rPr>
        <w:t>Proposals at validation stage have no status of the Manual on Codes (WMO-No. 306) and MAY NOT be used in operational data and products.</w:t>
      </w:r>
    </w:p>
    <w:p w:rsidR="002756B9" w:rsidRPr="002756B9" w:rsidRDefault="002756B9" w:rsidP="003B42BD">
      <w:pPr>
        <w:spacing w:after="60"/>
        <w:ind w:left="426" w:hanging="426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3.</w:t>
      </w:r>
      <w:r w:rsidR="003B42BD">
        <w:rPr>
          <w:rFonts w:eastAsia="Times New Roman" w:cs="Arial"/>
          <w:color w:val="000000"/>
          <w:sz w:val="21"/>
          <w:szCs w:val="21"/>
        </w:rPr>
        <w:tab/>
      </w:r>
      <w:r w:rsidRPr="002756B9">
        <w:rPr>
          <w:rFonts w:eastAsia="Times New Roman" w:cs="Arial"/>
          <w:color w:val="000000"/>
          <w:sz w:val="21"/>
          <w:szCs w:val="21"/>
        </w:rPr>
        <w:t>It should be noted proposals at validation stage may be modified during validation exercise.  It is recommended to update the proposals whenever modified.</w:t>
      </w:r>
    </w:p>
    <w:p w:rsidR="002756B9" w:rsidRPr="002756B9" w:rsidRDefault="002756B9" w:rsidP="002756B9">
      <w:pPr>
        <w:spacing w:before="150" w:after="150"/>
        <w:jc w:val="right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Information as of: 24 July 2015</w:t>
      </w:r>
    </w:p>
    <w:p w:rsidR="002756B9" w:rsidRPr="002756B9" w:rsidRDefault="002756B9" w:rsidP="002756B9">
      <w:pPr>
        <w:spacing w:before="150" w:after="150"/>
        <w:rPr>
          <w:rFonts w:eastAsia="Times New Roman" w:cs="Arial"/>
          <w:b/>
          <w:bCs/>
          <w:color w:val="000000"/>
          <w:sz w:val="21"/>
          <w:szCs w:val="21"/>
        </w:rPr>
      </w:pPr>
      <w:r w:rsidRPr="002756B9">
        <w:rPr>
          <w:rFonts w:eastAsia="Times New Roman" w:cs="Arial"/>
          <w:b/>
          <w:bCs/>
          <w:color w:val="000000"/>
          <w:sz w:val="21"/>
          <w:szCs w:val="21"/>
        </w:rPr>
        <w:t>FM 92 GRIB</w:t>
      </w: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1891"/>
        <w:gridCol w:w="8812"/>
        <w:gridCol w:w="1471"/>
        <w:gridCol w:w="1221"/>
      </w:tblGrid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ID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3B42BD" w:rsidP="003B42BD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Approval for Validation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Proposals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Last update</w:t>
            </w:r>
          </w:p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for validation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Stage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2014-2.2.1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3" w:anchor="A2014_2_2_1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New parameters and fixed surface types to represent ground surface conditions in analyses or models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Pre-operational</w:t>
            </w:r>
          </w:p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07/05/2015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2014-2.2.2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4" w:anchor="A2014_2_2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A product definition template for statistics over an ensemble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2014-2.2.5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5" w:anchor="A2014_2_2_5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 xml:space="preserve">Review of GRIB templates for </w:t>
              </w:r>
              <w:proofErr w:type="spellStart"/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spatio</w:t>
              </w:r>
              <w:proofErr w:type="spellEnd"/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-temporal changing tiles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2014-2.2.7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C10F3" w:rsidP="00F043AA">
            <w:pPr>
              <w:rPr>
                <w:rFonts w:cs="Arial"/>
                <w:sz w:val="21"/>
                <w:szCs w:val="21"/>
              </w:rPr>
            </w:pPr>
            <w:hyperlink r:id="rId16" w:anchor="A2014_2_2_7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Octets of forecast time in product definition template 4.44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CBS-Ext. (2014)</w:t>
            </w:r>
            <w:bookmarkStart w:id="0" w:name="_GoBack"/>
            <w:bookmarkEnd w:id="0"/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2013-2.1.1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7" w:anchor="A2013_2_1_1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Reporting quality information in GRIB2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2013-2.2.1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8" w:anchor="A2013_2_2_1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GRIB2 new compression method – CCSDS libaec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2013-2.2.5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9" w:anchor="A2013_2_2_5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Proposed amendments to GRIB2 Code table</w:t>
              </w:r>
            </w:hyperlink>
            <w:r w:rsidR="002756B9" w:rsidRPr="002756B9">
              <w:rPr>
                <w:rFonts w:eastAsia="Times New Roman" w:cs="Arial"/>
                <w:strike/>
                <w:sz w:val="21"/>
                <w:szCs w:val="21"/>
              </w:rPr>
              <w:t>s 4.2, 4.3 and</w:t>
            </w:r>
            <w:r w:rsidR="002756B9" w:rsidRPr="002756B9">
              <w:rPr>
                <w:rFonts w:eastAsia="Times New Roman" w:cs="Arial"/>
                <w:sz w:val="21"/>
                <w:szCs w:val="21"/>
              </w:rPr>
              <w:t> 4.10</w:t>
            </w:r>
            <w:r w:rsidR="002756B9" w:rsidRPr="002756B9">
              <w:rPr>
                <w:rFonts w:eastAsia="Times New Roman" w:cs="Arial"/>
                <w:color w:val="0033CC"/>
                <w:sz w:val="21"/>
                <w:szCs w:val="21"/>
              </w:rPr>
              <w:t xml:space="preserve"> </w:t>
            </w:r>
            <w:r w:rsidR="002756B9" w:rsidRPr="002756B9">
              <w:rPr>
                <w:rFonts w:eastAsia="Times New Roman" w:cs="Arial"/>
                <w:color w:val="000000"/>
                <w:sz w:val="21"/>
                <w:szCs w:val="21"/>
              </w:rPr>
              <w:t>(amendments other than Code table 4.10 were implemented by FT2014-1)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2012-2.2.9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0" w:anchor="A2012_2_2_9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GRIB template for 4-D Trajectory grid definition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2011-2.3.5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1" w:anchor="A2011_2_3_5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GRIB template for rotated tilted Mercator projection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2011-2.3.12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2" w:anchor="A2011_2_3_1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Space Weather in GRIB2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2010-2.3.1/2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3" w:anchor="A2010_2_3_1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Encoding wave spectra in GRIB Edition 2 Waves parameters</w:t>
              </w:r>
            </w:hyperlink>
            <w:r w:rsidR="002756B9" w:rsidRPr="002756B9">
              <w:rPr>
                <w:rFonts w:eastAsia="Times New Roman" w:cs="Arial"/>
                <w:color w:val="0033CC"/>
                <w:sz w:val="21"/>
                <w:szCs w:val="21"/>
              </w:rPr>
              <w:t xml:space="preserve"> </w:t>
            </w:r>
            <w:r w:rsidR="002756B9" w:rsidRPr="002756B9">
              <w:rPr>
                <w:rFonts w:eastAsia="Times New Roman" w:cs="Arial"/>
                <w:color w:val="000000"/>
                <w:sz w:val="21"/>
                <w:szCs w:val="21"/>
              </w:rPr>
              <w:t>(amendments other than 46-48 were implemented)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</w:tbl>
    <w:p w:rsidR="00076289" w:rsidRPr="002756B9" w:rsidRDefault="002756B9" w:rsidP="002756B9">
      <w:pPr>
        <w:spacing w:before="150" w:after="150"/>
        <w:rPr>
          <w:rFonts w:eastAsia="Times New Roman" w:cs="Arial"/>
          <w:color w:val="000000"/>
          <w:sz w:val="21"/>
          <w:szCs w:val="21"/>
        </w:rPr>
      </w:pPr>
      <w:r w:rsidRPr="002756B9">
        <w:rPr>
          <w:rFonts w:eastAsia="Times New Roman" w:cs="Arial"/>
          <w:color w:val="000000"/>
          <w:sz w:val="21"/>
          <w:szCs w:val="21"/>
        </w:rPr>
        <w:t> </w:t>
      </w:r>
    </w:p>
    <w:p w:rsidR="002756B9" w:rsidRPr="002756B9" w:rsidRDefault="002756B9" w:rsidP="002756B9">
      <w:pPr>
        <w:spacing w:before="150" w:after="150"/>
        <w:rPr>
          <w:rFonts w:eastAsia="Times New Roman" w:cs="Arial"/>
          <w:b/>
          <w:bCs/>
          <w:color w:val="000000"/>
          <w:sz w:val="21"/>
          <w:szCs w:val="21"/>
        </w:rPr>
      </w:pPr>
      <w:r w:rsidRPr="002756B9">
        <w:rPr>
          <w:rFonts w:eastAsia="Times New Roman" w:cs="Arial"/>
          <w:b/>
          <w:bCs/>
          <w:color w:val="000000"/>
          <w:sz w:val="21"/>
          <w:szCs w:val="21"/>
        </w:rPr>
        <w:t>FM 94 BUFR/FM 95 CREX</w:t>
      </w: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0"/>
        <w:gridCol w:w="1900"/>
        <w:gridCol w:w="8817"/>
        <w:gridCol w:w="1477"/>
        <w:gridCol w:w="1192"/>
      </w:tblGrid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ID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3B42BD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Approval </w:t>
            </w:r>
            <w:r w:rsidR="002756B9" w:rsidRPr="002756B9">
              <w:rPr>
                <w:rFonts w:eastAsia="Times New Roman" w:cs="Arial"/>
                <w:color w:val="000000"/>
                <w:sz w:val="21"/>
                <w:szCs w:val="21"/>
              </w:rPr>
              <w:t>for Validation</w:t>
            </w:r>
          </w:p>
        </w:tc>
        <w:tc>
          <w:tcPr>
            <w:tcW w:w="2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Proposals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Last update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Stage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2014-3.1.2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C10F3" w:rsidP="00F043AA">
            <w:pPr>
              <w:rPr>
                <w:rFonts w:cs="Arial"/>
                <w:sz w:val="21"/>
                <w:szCs w:val="21"/>
              </w:rPr>
            </w:pPr>
            <w:hyperlink r:id="rId24" w:anchor="A2014_3_1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Clarification of Regulation 94.1.5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CBS-Ext. (2014)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2014-3.2.7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5" w:anchor="A2014_3_2_7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BUFR template for n-minute AWS data (3 07 092)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2014-3.2.8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6" w:anchor="A2014_3_2_8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Revised BUFR sequence for synoptic reports from sea stations suitable for VOS observation 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2014-3.2.9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7" w:anchor="A2014_3_2_9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Proposed BUFR sequence for reporting observations from offshore platforms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2014-3.2.10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8" w:anchor="A2014_3_2_10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Proposed modifications to the BUFR template for reporting data from Argo profiling floats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2014-11.2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29" w:anchor="A2014_11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WIGOS Station Identifier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2013-3.2.1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D84157" w:rsidRDefault="002756B9" w:rsidP="00F043AA">
            <w:pPr>
              <w:rPr>
                <w:rFonts w:eastAsia="Times New Roman" w:cs="Arial"/>
                <w:sz w:val="21"/>
                <w:szCs w:val="21"/>
              </w:rPr>
            </w:pPr>
            <w:r w:rsidRPr="00D84157">
              <w:rPr>
                <w:rFonts w:eastAsia="Times New Roman" w:cs="Arial"/>
                <w:sz w:val="21"/>
                <w:szCs w:val="21"/>
              </w:rPr>
              <w:t>Additions to the BUFR template for n-minute AWS data (3 07 092)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D84157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Combined to 2014-3.2.7</w:t>
            </w:r>
            <w:r w:rsidR="002756B9"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2013-3.2.2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0" w:anchor="A2013_3_2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Proposal for a BUFR template for radar wind profiler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2013-3.2.4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DRMM-I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1" w:anchor="A2013_3_2_4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Satellite-derived winds in BUFR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lastRenderedPageBreak/>
              <w:t>2012-3.2.7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2" w:anchor="A2012_3_2_7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Sequence 3 02 067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2012-3.2.11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3" w:anchor="A2012_3_2_11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A BUFR Sequence to append data for national use to Canadian SYNOP reports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2012-3.2.12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4" w:anchor="A2012_3_2_1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New BUFR/CREX entries for dual polarization radar 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jc w:val="center"/>
              <w:rPr>
                <w:rFonts w:eastAsia="Times New Roman" w:cs="Arial"/>
                <w:color w:val="548DD4"/>
                <w:sz w:val="21"/>
                <w:szCs w:val="21"/>
              </w:rPr>
            </w:pPr>
            <w:hyperlink r:id="rId35" w:anchor="A2012_3_2_12r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19/12/2014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2009-3.3.2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DRC-I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33CC"/>
                <w:sz w:val="21"/>
                <w:szCs w:val="21"/>
              </w:rPr>
            </w:pPr>
            <w:hyperlink r:id="rId36" w:anchor="A2009_3_3_2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Update from JCOMM on developments for BUFR templates: New XBT template and queries about a revised VOS template</w:t>
              </w:r>
            </w:hyperlink>
          </w:p>
          <w:p w:rsidR="002756B9" w:rsidRPr="002756B9" w:rsidRDefault="002756B9" w:rsidP="00123D41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sz w:val="21"/>
                <w:szCs w:val="21"/>
              </w:rPr>
              <w:t xml:space="preserve">* </w:t>
            </w: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Proposals other than 3 06 032 and 3 15 006 have been implemented.  3 06 032 and 3 15 006 were proposed in association with the 2006-</w:t>
            </w:r>
            <w:r w:rsidR="00123D41">
              <w:rPr>
                <w:rFonts w:eastAsia="Times New Roman" w:cs="Arial"/>
                <w:color w:val="000000"/>
                <w:sz w:val="21"/>
                <w:szCs w:val="21"/>
              </w:rPr>
              <w:t>5.4.3</w:t>
            </w: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 xml:space="preserve"> and considered under validation.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Val?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2008-3.1.15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JM-MTDCF/DRC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7" w:anchor="A2008_3_1_15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Templates for the wave observations from different platforms suitable for WAVEOB data (revision 4)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</w:t>
            </w: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="002756B9" w:rsidRPr="002756B9" w:rsidTr="0092721A">
        <w:trPr>
          <w:tblCellSpacing w:w="6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2756B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2006-5.4.3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JM-MTDCF/DRC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6B9" w:rsidRPr="002756B9" w:rsidRDefault="002C10F3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38" w:anchor="A2006_5_4_3" w:history="1">
              <w:r w:rsidR="002756B9" w:rsidRPr="002756B9">
                <w:rPr>
                  <w:rFonts w:eastAsia="Times New Roman" w:cs="Arial"/>
                  <w:color w:val="0033CC"/>
                  <w:sz w:val="21"/>
                  <w:szCs w:val="21"/>
                </w:rPr>
                <w:t>BUFR template for buoy wave data</w:t>
              </w:r>
            </w:hyperlink>
          </w:p>
          <w:p w:rsidR="002756B9" w:rsidRPr="002756B9" w:rsidRDefault="002756B9" w:rsidP="00F043A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* It was confirmed in 2013 that this template is under validation.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6B9" w:rsidRPr="002756B9" w:rsidRDefault="002756B9" w:rsidP="00F043A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2756B9">
              <w:rPr>
                <w:rFonts w:eastAsia="Times New Roman" w:cs="Arial"/>
                <w:color w:val="000000"/>
                <w:sz w:val="21"/>
                <w:szCs w:val="21"/>
              </w:rPr>
              <w:t>Val?</w:t>
            </w:r>
          </w:p>
        </w:tc>
      </w:tr>
    </w:tbl>
    <w:p w:rsidR="006A54A2" w:rsidRDefault="006A54A2" w:rsidP="00157798"/>
    <w:sectPr w:rsidR="006A54A2" w:rsidSect="002756B9">
      <w:pgSz w:w="16840" w:h="11907" w:orient="landscape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F3" w:rsidRDefault="002C10F3">
      <w:r>
        <w:separator/>
      </w:r>
    </w:p>
  </w:endnote>
  <w:endnote w:type="continuationSeparator" w:id="0">
    <w:p w:rsidR="002C10F3" w:rsidRDefault="002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F3" w:rsidRDefault="002C10F3">
      <w:r>
        <w:separator/>
      </w:r>
    </w:p>
  </w:footnote>
  <w:footnote w:type="continuationSeparator" w:id="0">
    <w:p w:rsidR="002C10F3" w:rsidRDefault="002C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004B"/>
    <w:rsid w:val="00000EA4"/>
    <w:rsid w:val="000021EF"/>
    <w:rsid w:val="000054A7"/>
    <w:rsid w:val="0001422D"/>
    <w:rsid w:val="0003032C"/>
    <w:rsid w:val="00036947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E7736"/>
    <w:rsid w:val="000F15DE"/>
    <w:rsid w:val="000F3EFB"/>
    <w:rsid w:val="000F7B82"/>
    <w:rsid w:val="0010080C"/>
    <w:rsid w:val="00101C1F"/>
    <w:rsid w:val="00114ED0"/>
    <w:rsid w:val="00117B3E"/>
    <w:rsid w:val="00121E3F"/>
    <w:rsid w:val="00121E6C"/>
    <w:rsid w:val="00122456"/>
    <w:rsid w:val="00123D41"/>
    <w:rsid w:val="00125378"/>
    <w:rsid w:val="00133480"/>
    <w:rsid w:val="0014435D"/>
    <w:rsid w:val="00155666"/>
    <w:rsid w:val="00157798"/>
    <w:rsid w:val="00166506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6D52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82B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7407"/>
    <w:rsid w:val="002B2E9C"/>
    <w:rsid w:val="002B6D8F"/>
    <w:rsid w:val="002B7346"/>
    <w:rsid w:val="002B76D0"/>
    <w:rsid w:val="002B7DBA"/>
    <w:rsid w:val="002C10F3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C78"/>
    <w:rsid w:val="00363143"/>
    <w:rsid w:val="00364D71"/>
    <w:rsid w:val="003663A7"/>
    <w:rsid w:val="00370E47"/>
    <w:rsid w:val="00385109"/>
    <w:rsid w:val="00385128"/>
    <w:rsid w:val="0039463C"/>
    <w:rsid w:val="00395ECB"/>
    <w:rsid w:val="00396A84"/>
    <w:rsid w:val="003A246E"/>
    <w:rsid w:val="003A33A9"/>
    <w:rsid w:val="003A55D3"/>
    <w:rsid w:val="003B3721"/>
    <w:rsid w:val="003B42BD"/>
    <w:rsid w:val="003B4D67"/>
    <w:rsid w:val="003C0517"/>
    <w:rsid w:val="003C0543"/>
    <w:rsid w:val="003C2D96"/>
    <w:rsid w:val="003C3087"/>
    <w:rsid w:val="003C481A"/>
    <w:rsid w:val="003C7242"/>
    <w:rsid w:val="003D387A"/>
    <w:rsid w:val="003D460D"/>
    <w:rsid w:val="003E4820"/>
    <w:rsid w:val="003F06A7"/>
    <w:rsid w:val="003F1849"/>
    <w:rsid w:val="003F209C"/>
    <w:rsid w:val="004049EE"/>
    <w:rsid w:val="00415D75"/>
    <w:rsid w:val="00423C3A"/>
    <w:rsid w:val="0042546F"/>
    <w:rsid w:val="00431DF9"/>
    <w:rsid w:val="00432530"/>
    <w:rsid w:val="0044585B"/>
    <w:rsid w:val="00447463"/>
    <w:rsid w:val="00455898"/>
    <w:rsid w:val="00461911"/>
    <w:rsid w:val="00470423"/>
    <w:rsid w:val="00473CE7"/>
    <w:rsid w:val="00473E64"/>
    <w:rsid w:val="00474391"/>
    <w:rsid w:val="004766F9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E7C6A"/>
    <w:rsid w:val="004F319B"/>
    <w:rsid w:val="004F66E1"/>
    <w:rsid w:val="005024EE"/>
    <w:rsid w:val="005079CF"/>
    <w:rsid w:val="00515372"/>
    <w:rsid w:val="00526E6C"/>
    <w:rsid w:val="00534E58"/>
    <w:rsid w:val="00537E5E"/>
    <w:rsid w:val="00541225"/>
    <w:rsid w:val="00551030"/>
    <w:rsid w:val="0055539D"/>
    <w:rsid w:val="00562D91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9A2"/>
    <w:rsid w:val="006C339E"/>
    <w:rsid w:val="006C56A1"/>
    <w:rsid w:val="006C758A"/>
    <w:rsid w:val="006C7806"/>
    <w:rsid w:val="006C7DBB"/>
    <w:rsid w:val="006D04C5"/>
    <w:rsid w:val="006D1F9C"/>
    <w:rsid w:val="006D4892"/>
    <w:rsid w:val="006E0205"/>
    <w:rsid w:val="006E38F3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D6927"/>
    <w:rsid w:val="007E6C9E"/>
    <w:rsid w:val="007F14E7"/>
    <w:rsid w:val="00800A4B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69E9"/>
    <w:rsid w:val="008C6EBE"/>
    <w:rsid w:val="008E2AC2"/>
    <w:rsid w:val="008E468A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179D1"/>
    <w:rsid w:val="00922D53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6016E"/>
    <w:rsid w:val="009607C1"/>
    <w:rsid w:val="00970B57"/>
    <w:rsid w:val="00972B4B"/>
    <w:rsid w:val="00976269"/>
    <w:rsid w:val="00983CED"/>
    <w:rsid w:val="00984D1B"/>
    <w:rsid w:val="00994F50"/>
    <w:rsid w:val="009A3C69"/>
    <w:rsid w:val="009B25D3"/>
    <w:rsid w:val="009C4D6F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647A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962EF"/>
    <w:rsid w:val="00BA2E6E"/>
    <w:rsid w:val="00BA4F97"/>
    <w:rsid w:val="00BA5F77"/>
    <w:rsid w:val="00BB2337"/>
    <w:rsid w:val="00BB40B2"/>
    <w:rsid w:val="00BB6D98"/>
    <w:rsid w:val="00BC3683"/>
    <w:rsid w:val="00BD1C42"/>
    <w:rsid w:val="00BD30E7"/>
    <w:rsid w:val="00BE1C90"/>
    <w:rsid w:val="00BF065C"/>
    <w:rsid w:val="00BF2083"/>
    <w:rsid w:val="00C01B2C"/>
    <w:rsid w:val="00C04D90"/>
    <w:rsid w:val="00C1358E"/>
    <w:rsid w:val="00C14A23"/>
    <w:rsid w:val="00C152FC"/>
    <w:rsid w:val="00C17391"/>
    <w:rsid w:val="00C26475"/>
    <w:rsid w:val="00C47506"/>
    <w:rsid w:val="00C5462E"/>
    <w:rsid w:val="00C61960"/>
    <w:rsid w:val="00C63690"/>
    <w:rsid w:val="00C664C1"/>
    <w:rsid w:val="00C7408D"/>
    <w:rsid w:val="00C80626"/>
    <w:rsid w:val="00C8416C"/>
    <w:rsid w:val="00C915F3"/>
    <w:rsid w:val="00C91C83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319DF"/>
    <w:rsid w:val="00D40350"/>
    <w:rsid w:val="00D421C3"/>
    <w:rsid w:val="00D478AD"/>
    <w:rsid w:val="00D51926"/>
    <w:rsid w:val="00D571DE"/>
    <w:rsid w:val="00D632E9"/>
    <w:rsid w:val="00D72004"/>
    <w:rsid w:val="00D814DF"/>
    <w:rsid w:val="00D84157"/>
    <w:rsid w:val="00D9115F"/>
    <w:rsid w:val="00D94C86"/>
    <w:rsid w:val="00DA7D2A"/>
    <w:rsid w:val="00DB3FE0"/>
    <w:rsid w:val="00DC3E1A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900A3"/>
    <w:rsid w:val="00EA0AFA"/>
    <w:rsid w:val="00EA2210"/>
    <w:rsid w:val="00EB2770"/>
    <w:rsid w:val="00EB3181"/>
    <w:rsid w:val="00EB60DA"/>
    <w:rsid w:val="00EC0C3A"/>
    <w:rsid w:val="00EC134A"/>
    <w:rsid w:val="00EC54C7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2FC2"/>
    <w:rsid w:val="00F5434C"/>
    <w:rsid w:val="00F60929"/>
    <w:rsid w:val="00F652B3"/>
    <w:rsid w:val="00F667B4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rovisional-Report_IPET-DRMM-III_Beijing_annex.docx" TargetMode="External"/><Relationship Id="rId18" Type="http://schemas.openxmlformats.org/officeDocument/2006/relationships/hyperlink" Target="Provisional-Report_IPET-DRMM-III_Beijing_annex.docx" TargetMode="External"/><Relationship Id="rId26" Type="http://schemas.openxmlformats.org/officeDocument/2006/relationships/hyperlink" Target="Provisional-Report_IPET-DRMM-III_Beijing_annex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Provisional-Report_IPET-DRMM-III_Beijing_annex.docx" TargetMode="External"/><Relationship Id="rId34" Type="http://schemas.openxmlformats.org/officeDocument/2006/relationships/hyperlink" Target="Provisional-Report_IPET-DRMM-III_Beijing_annex.docx" TargetMode="External"/><Relationship Id="rId7" Type="http://schemas.openxmlformats.org/officeDocument/2006/relationships/hyperlink" Target="https://www.wmo.int/pages/prog/www/WMOCodes/Amendments/2014/betweenCBSs/PR-6745-OBS-WIS-DRMM-DRC_en.pdf" TargetMode="External"/><Relationship Id="rId12" Type="http://schemas.openxmlformats.org/officeDocument/2006/relationships/hyperlink" Target="https://drive.google.com/open?id=0BwdvoC9AeWjUQTNQMDBUN1dtMFU&amp;authuser=0" TargetMode="External"/><Relationship Id="rId17" Type="http://schemas.openxmlformats.org/officeDocument/2006/relationships/hyperlink" Target="Provisional-Report_IPET-DRMM-III_Beijing_annex.docx" TargetMode="External"/><Relationship Id="rId25" Type="http://schemas.openxmlformats.org/officeDocument/2006/relationships/hyperlink" Target="Provisional-Report_IPET-DRMM-III_Beijing_annex.docx" TargetMode="External"/><Relationship Id="rId33" Type="http://schemas.openxmlformats.org/officeDocument/2006/relationships/hyperlink" Target="Provisional-Report_IPET-DRMM-III_Beijing_annex.docx" TargetMode="External"/><Relationship Id="rId38" Type="http://schemas.openxmlformats.org/officeDocument/2006/relationships/hyperlink" Target="Provisional-Report_IPET-DRMM-III_Beijing_annex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Provisional-Report_IPET-DRMM-III_Beijing_annex.docx" TargetMode="External"/><Relationship Id="rId20" Type="http://schemas.openxmlformats.org/officeDocument/2006/relationships/hyperlink" Target="Provisional-Report_IPET-DRMM-III_Beijing_annex.docx" TargetMode="External"/><Relationship Id="rId29" Type="http://schemas.openxmlformats.org/officeDocument/2006/relationships/hyperlink" Target="Provisional-Report_IPET-DRMM-III_Beijing_annex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mo.int/pages/prog/www/WMOCodes/Amendments/2015/preOperational/PRE-OPERATIONAL_2015_CBS.docx" TargetMode="External"/><Relationship Id="rId24" Type="http://schemas.openxmlformats.org/officeDocument/2006/relationships/hyperlink" Target="Provisional-Report_IPET-DRMM-III_Beijing_annex.docx" TargetMode="External"/><Relationship Id="rId32" Type="http://schemas.openxmlformats.org/officeDocument/2006/relationships/hyperlink" Target="Provisional-Report_IPET-DRMM-III_Beijing_annex.docx" TargetMode="External"/><Relationship Id="rId37" Type="http://schemas.openxmlformats.org/officeDocument/2006/relationships/hyperlink" Target="Provisional-Report_IPET-DRMM-III_Beijing_annex.docx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Provisional-Report_IPET-DRMM-III_Beijing_annex.docx" TargetMode="External"/><Relationship Id="rId23" Type="http://schemas.openxmlformats.org/officeDocument/2006/relationships/hyperlink" Target="Provisional-Report_IPET-DRMM-III_Beijing_annex.docx" TargetMode="External"/><Relationship Id="rId28" Type="http://schemas.openxmlformats.org/officeDocument/2006/relationships/hyperlink" Target="Provisional-Report_IPET-DRMM-III_Beijing_annex.docx" TargetMode="External"/><Relationship Id="rId36" Type="http://schemas.openxmlformats.org/officeDocument/2006/relationships/hyperlink" Target="Provisional-Report_IPET-DRMM-III_Beijing_annex.docx" TargetMode="External"/><Relationship Id="rId10" Type="http://schemas.openxmlformats.org/officeDocument/2006/relationships/hyperlink" Target="http://www.wmo.int/pages/prog/www/WMOCodes/Amendments/2015/fastTrack/FT2015-1_en.pdf" TargetMode="External"/><Relationship Id="rId19" Type="http://schemas.openxmlformats.org/officeDocument/2006/relationships/hyperlink" Target="Provisional-Report_IPET-DRMM-III_Beijing_annex.docx" TargetMode="External"/><Relationship Id="rId31" Type="http://schemas.openxmlformats.org/officeDocument/2006/relationships/hyperlink" Target="Provisional-Report_IPET-DRMM-III_Beijing_anne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mo.int/pages/prog/www/WMOCodes/Amendments/2014/fastTrack/FT2014-2_en.pdf" TargetMode="External"/><Relationship Id="rId14" Type="http://schemas.openxmlformats.org/officeDocument/2006/relationships/hyperlink" Target="Provisional-Report_IPET-DRMM-III_Beijing_annex.docx" TargetMode="External"/><Relationship Id="rId22" Type="http://schemas.openxmlformats.org/officeDocument/2006/relationships/hyperlink" Target="Provisional-Report_IPET-DRMM-III_Beijing_annex.docx" TargetMode="External"/><Relationship Id="rId27" Type="http://schemas.openxmlformats.org/officeDocument/2006/relationships/hyperlink" Target="Provisional-Report_IPET-DRMM-III_Beijing_annex.docx" TargetMode="External"/><Relationship Id="rId30" Type="http://schemas.openxmlformats.org/officeDocument/2006/relationships/hyperlink" Target="Provisional-Report_IPET-DRMM-III_Beijing_annex.docx" TargetMode="External"/><Relationship Id="rId35" Type="http://schemas.openxmlformats.org/officeDocument/2006/relationships/hyperlink" Target="Provisional-Report_IPET-DRMM-III_Beijing_annex.docx" TargetMode="External"/><Relationship Id="rId8" Type="http://schemas.openxmlformats.org/officeDocument/2006/relationships/hyperlink" Target="https://www.wmo.int/pages/prog/www/WMOCodes/Amendments/2014/preOperational/Pre-operational_2014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D929A4C7.dotm</Template>
  <TotalTime>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9771</CharactersWithSpaces>
  <SharedDoc>false</SharedDoc>
  <HyperlinkBase>https://www.wmo.int/pages/prog/www/ISS/Meetings/IPET-DRMM_Beijing2015/Report/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2015-06-10T09:30:00Z</dcterms:created>
  <dcterms:modified xsi:type="dcterms:W3CDTF">2015-06-26T09:30:00Z</dcterms:modified>
</cp:coreProperties>
</file>