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B02" w:rsidRDefault="00525B02">
      <w:pPr>
        <w:spacing w:after="200" w:line="276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222"/>
        <w:gridCol w:w="2955"/>
      </w:tblGrid>
      <w:tr w:rsidR="00525B02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>
            <w:pPr>
              <w:jc w:val="center"/>
            </w:pPr>
            <w:r>
              <w:t>WORLD METEOROLOGICAL ORGANIZATION</w:t>
            </w:r>
          </w:p>
          <w:p w:rsidR="00525B02" w:rsidRDefault="00525B02">
            <w:pPr>
              <w:jc w:val="center"/>
            </w:pPr>
            <w:r>
              <w:t>COMMISSION FOR BASIC SYSTEMS</w:t>
            </w:r>
            <w:r>
              <w:br/>
            </w:r>
          </w:p>
          <w:p w:rsidR="00525B02" w:rsidRDefault="00525B02">
            <w:pPr>
              <w:jc w:val="center"/>
            </w:pPr>
            <w:r>
              <w:t>-----------------------------</w:t>
            </w:r>
            <w:r>
              <w:br/>
            </w:r>
          </w:p>
          <w:p w:rsidR="00525B02" w:rsidRDefault="00802F4A">
            <w:pPr>
              <w:jc w:val="center"/>
            </w:pPr>
            <w:r>
              <w:t>THIRD</w:t>
            </w:r>
            <w:r w:rsidR="00525B02">
              <w:t xml:space="preserve"> MEETING OF</w:t>
            </w:r>
          </w:p>
          <w:p w:rsidR="00525B02" w:rsidRDefault="00525B02">
            <w:pPr>
              <w:jc w:val="center"/>
            </w:pPr>
            <w:r>
              <w:t xml:space="preserve"> INTER-PROGRAMME EXPERT TEAM ON</w:t>
            </w:r>
            <w:r>
              <w:br/>
              <w:t>DATA REPRESENTATION MAINTENANCE AND MONITORING</w:t>
            </w:r>
            <w:r>
              <w:br/>
            </w:r>
          </w:p>
          <w:p w:rsidR="00525B02" w:rsidRDefault="00802F4A" w:rsidP="00802F4A">
            <w:pPr>
              <w:jc w:val="center"/>
            </w:pPr>
            <w:r>
              <w:t>BEIJING</w:t>
            </w:r>
            <w:r w:rsidR="00525B02">
              <w:t xml:space="preserve">, </w:t>
            </w:r>
            <w:r>
              <w:t>CHINA</w:t>
            </w:r>
            <w:r w:rsidR="00525B02">
              <w:t xml:space="preserve">, </w:t>
            </w:r>
            <w:r>
              <w:t>20 - 24</w:t>
            </w:r>
            <w:r w:rsidR="00525B02">
              <w:t xml:space="preserve"> JULY 201</w:t>
            </w:r>
            <w:r>
              <w:t>5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Default="00525B02"/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25B02" w:rsidRPr="00EB3579" w:rsidRDefault="00525B02" w:rsidP="009A1D2D">
            <w:pPr>
              <w:ind w:left="13" w:right="-49"/>
              <w:rPr>
                <w:lang w:val="en-GB"/>
              </w:rPr>
            </w:pPr>
            <w:r w:rsidRPr="00EB3579">
              <w:rPr>
                <w:lang w:val="en-GB"/>
              </w:rPr>
              <w:t>IPET-DRMM-I</w:t>
            </w:r>
            <w:r w:rsidR="00802F4A" w:rsidRPr="00EB3579">
              <w:rPr>
                <w:lang w:val="en-GB"/>
              </w:rPr>
              <w:t>II</w:t>
            </w:r>
            <w:r w:rsidRPr="00EB3579">
              <w:rPr>
                <w:lang w:val="en-GB"/>
              </w:rPr>
              <w:t xml:space="preserve"> / Doc.</w:t>
            </w:r>
            <w:r w:rsidR="00EB3579" w:rsidRPr="00EB3579">
              <w:rPr>
                <w:lang w:val="en-GB"/>
              </w:rPr>
              <w:t>3</w:t>
            </w:r>
            <w:r w:rsidR="00D33A8F" w:rsidRPr="00EB3579">
              <w:rPr>
                <w:lang w:val="en-GB"/>
              </w:rPr>
              <w:t>.2</w:t>
            </w:r>
            <w:r w:rsidR="00802F4A" w:rsidRPr="00EB3579">
              <w:rPr>
                <w:lang w:val="en-GB"/>
              </w:rPr>
              <w:t xml:space="preserve"> (</w:t>
            </w:r>
            <w:r w:rsidR="009A1D2D">
              <w:rPr>
                <w:lang w:val="en-GB"/>
              </w:rPr>
              <w:t>7</w:t>
            </w:r>
            <w:r w:rsidRPr="00EB3579">
              <w:rPr>
                <w:lang w:val="en-GB"/>
              </w:rPr>
              <w:t>)</w:t>
            </w:r>
          </w:p>
          <w:p w:rsidR="00525B02" w:rsidRDefault="00525B02" w:rsidP="006A0D37">
            <w:r>
              <w:t>(</w:t>
            </w:r>
            <w:r w:rsidR="00EB3579">
              <w:t>01.07</w:t>
            </w:r>
            <w:r>
              <w:t>.201</w:t>
            </w:r>
            <w:r w:rsidR="00802F4A">
              <w:t>5</w:t>
            </w:r>
            <w:r>
              <w:t>)</w:t>
            </w:r>
            <w:r>
              <w:br/>
            </w:r>
          </w:p>
          <w:p w:rsidR="00525B02" w:rsidRDefault="00525B02">
            <w:pPr>
              <w:ind w:left="567"/>
            </w:pPr>
            <w:r>
              <w:t>-------------------------</w:t>
            </w:r>
            <w:r>
              <w:br/>
            </w:r>
          </w:p>
          <w:p w:rsidR="00525B02" w:rsidRDefault="00525B02">
            <w:pPr>
              <w:ind w:left="567"/>
            </w:pPr>
            <w:r>
              <w:br/>
            </w:r>
          </w:p>
          <w:p w:rsidR="00525B02" w:rsidRDefault="00525B02">
            <w:pPr>
              <w:ind w:left="567"/>
            </w:pPr>
            <w:r>
              <w:t xml:space="preserve">ITEM </w:t>
            </w:r>
            <w:r w:rsidR="00EB3579">
              <w:t>3</w:t>
            </w:r>
            <w:r w:rsidR="00D33A8F">
              <w:t>.2</w:t>
            </w:r>
          </w:p>
          <w:p w:rsidR="00525B02" w:rsidRDefault="00525B02">
            <w:pPr>
              <w:ind w:left="567"/>
            </w:pPr>
            <w:r>
              <w:br/>
            </w:r>
          </w:p>
          <w:p w:rsidR="00525B02" w:rsidRDefault="00525B02">
            <w:pPr>
              <w:ind w:left="567"/>
            </w:pPr>
            <w:r>
              <w:t>ENGLISH ONLY</w:t>
            </w:r>
          </w:p>
        </w:tc>
      </w:tr>
    </w:tbl>
    <w:p w:rsidR="00525B02" w:rsidRDefault="00525B02"/>
    <w:p w:rsidR="00525B02" w:rsidRDefault="00525B02"/>
    <w:p w:rsidR="00525B02" w:rsidRDefault="00525B02"/>
    <w:p w:rsidR="00525B02" w:rsidRDefault="00525B02"/>
    <w:p w:rsidR="00525B02" w:rsidRDefault="00EB3579">
      <w:pPr>
        <w:ind w:left="1208" w:right="1389"/>
        <w:jc w:val="center"/>
      </w:pPr>
      <w:r>
        <w:rPr>
          <w:b/>
          <w:sz w:val="24"/>
        </w:rPr>
        <w:t>New entry in BUFR</w:t>
      </w:r>
      <w:r w:rsidR="00802F4A">
        <w:rPr>
          <w:b/>
          <w:sz w:val="24"/>
        </w:rPr>
        <w:t xml:space="preserve"> Code </w:t>
      </w:r>
      <w:r w:rsidR="001C6054">
        <w:rPr>
          <w:b/>
          <w:sz w:val="24"/>
        </w:rPr>
        <w:t>and Flag Tables</w:t>
      </w:r>
    </w:p>
    <w:p w:rsidR="00525B02" w:rsidRDefault="00525B02">
      <w:pPr>
        <w:spacing w:before="240"/>
        <w:jc w:val="center"/>
      </w:pPr>
      <w:r>
        <w:rPr>
          <w:i/>
        </w:rPr>
        <w:t xml:space="preserve">Submitted by </w:t>
      </w:r>
      <w:r w:rsidR="00EB3579">
        <w:rPr>
          <w:i/>
        </w:rPr>
        <w:t>Thomas Heinemann</w:t>
      </w:r>
      <w:r>
        <w:rPr>
          <w:i/>
        </w:rPr>
        <w:t xml:space="preserve"> (</w:t>
      </w:r>
      <w:r w:rsidR="00802F4A">
        <w:rPr>
          <w:i/>
        </w:rPr>
        <w:t>EUMETSAT</w:t>
      </w:r>
      <w:r>
        <w:rPr>
          <w:i/>
        </w:rPr>
        <w:t>)</w:t>
      </w: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525B02" w:rsidRDefault="00525B02">
      <w:pPr>
        <w:tabs>
          <w:tab w:val="center" w:pos="4680"/>
        </w:tabs>
        <w:ind w:left="440" w:right="399"/>
        <w:jc w:val="center"/>
      </w:pPr>
      <w:r>
        <w:rPr>
          <w:b/>
        </w:rPr>
        <w:t>Summary and Purpose of Document</w:t>
      </w:r>
    </w:p>
    <w:p w:rsidR="00525B02" w:rsidRDefault="00525B02">
      <w:pPr>
        <w:tabs>
          <w:tab w:val="center" w:pos="4680"/>
        </w:tabs>
        <w:ind w:left="440" w:right="399"/>
        <w:jc w:val="center"/>
      </w:pPr>
    </w:p>
    <w:p w:rsidR="001C6054" w:rsidRPr="001C6054" w:rsidRDefault="00525B02" w:rsidP="001C6054">
      <w:r>
        <w:t xml:space="preserve">This document </w:t>
      </w:r>
      <w:r w:rsidR="001C6054">
        <w:t xml:space="preserve">proposes </w:t>
      </w:r>
      <w:r w:rsidR="00F364AE">
        <w:t>three</w:t>
      </w:r>
      <w:r w:rsidR="001C6054">
        <w:t xml:space="preserve"> new </w:t>
      </w:r>
      <w:r w:rsidR="00F364AE">
        <w:t>entries</w:t>
      </w:r>
      <w:r w:rsidR="001C6054">
        <w:t xml:space="preserve"> in the </w:t>
      </w:r>
      <w:r w:rsidR="001C6054" w:rsidRPr="001C6054">
        <w:t>BUFR/CREX Table B</w:t>
      </w:r>
      <w:r w:rsidR="001C6054">
        <w:t xml:space="preserve">, </w:t>
      </w:r>
      <w:r w:rsidR="00F364AE">
        <w:t>class 33.</w:t>
      </w:r>
    </w:p>
    <w:p w:rsidR="00525B02" w:rsidRDefault="00525B02" w:rsidP="00802F4A">
      <w:pPr>
        <w:ind w:left="570" w:right="510"/>
        <w:jc w:val="center"/>
      </w:pPr>
      <w:r>
        <w:t>.</w:t>
      </w:r>
    </w:p>
    <w:p w:rsidR="00525B02" w:rsidRDefault="00525B02">
      <w:pPr>
        <w:ind w:left="660" w:right="729"/>
        <w:jc w:val="both"/>
      </w:pPr>
    </w:p>
    <w:p w:rsidR="00525B02" w:rsidRDefault="00525B02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525B02" w:rsidRDefault="00525B02">
      <w:pPr>
        <w:jc w:val="center"/>
      </w:pPr>
    </w:p>
    <w:p w:rsidR="00525B02" w:rsidRDefault="00525B02">
      <w:pPr>
        <w:jc w:val="center"/>
      </w:pPr>
    </w:p>
    <w:p w:rsidR="00525B02" w:rsidRDefault="00525B02">
      <w:pPr>
        <w:tabs>
          <w:tab w:val="center" w:pos="4680"/>
        </w:tabs>
        <w:jc w:val="center"/>
      </w:pPr>
      <w:r>
        <w:rPr>
          <w:b/>
        </w:rPr>
        <w:t>ACTION PROPOSED</w:t>
      </w:r>
    </w:p>
    <w:p w:rsidR="00525B02" w:rsidRDefault="00525B02">
      <w:pPr>
        <w:jc w:val="center"/>
      </w:pPr>
    </w:p>
    <w:p w:rsidR="00802F4A" w:rsidRPr="00802F4A" w:rsidRDefault="00802F4A" w:rsidP="00802F4A">
      <w:pPr>
        <w:jc w:val="center"/>
      </w:pPr>
      <w:r w:rsidRPr="00802F4A">
        <w:t xml:space="preserve">The meeting is requested to review the proposed new </w:t>
      </w:r>
      <w:r w:rsidR="001C6054">
        <w:t>entry</w:t>
      </w:r>
      <w:r w:rsidRPr="00802F4A">
        <w:t xml:space="preserve"> and approve </w:t>
      </w:r>
      <w:r w:rsidR="001C6054">
        <w:t>it</w:t>
      </w:r>
      <w:r w:rsidRPr="00802F4A">
        <w:t xml:space="preserve"> for </w:t>
      </w:r>
      <w:r>
        <w:t>valid</w:t>
      </w:r>
      <w:r w:rsidRPr="00802F4A">
        <w:t>ation.</w:t>
      </w:r>
    </w:p>
    <w:p w:rsidR="00525B02" w:rsidRPr="00802F4A" w:rsidRDefault="00525B02">
      <w:pPr>
        <w:jc w:val="both"/>
      </w:pPr>
    </w:p>
    <w:p w:rsidR="00525B02" w:rsidRDefault="00525B02">
      <w:pPr>
        <w:jc w:val="center"/>
      </w:pPr>
    </w:p>
    <w:p w:rsidR="00525B02" w:rsidRDefault="00525B02">
      <w:pPr>
        <w:jc w:val="both"/>
      </w:pPr>
    </w:p>
    <w:p w:rsidR="00525B02" w:rsidRDefault="00525B02">
      <w:pPr>
        <w:jc w:val="both"/>
      </w:pPr>
    </w:p>
    <w:p w:rsidR="00525B02" w:rsidRDefault="00525B02">
      <w:r>
        <w:br w:type="page"/>
      </w:r>
    </w:p>
    <w:p w:rsidR="00525B02" w:rsidRDefault="00525B02"/>
    <w:p w:rsidR="00525B02" w:rsidRDefault="00525B02">
      <w:pPr>
        <w:rPr>
          <w:b/>
        </w:rPr>
      </w:pPr>
      <w:r>
        <w:rPr>
          <w:b/>
        </w:rPr>
        <w:t>DISCUSSION</w:t>
      </w:r>
    </w:p>
    <w:p w:rsidR="00525B02" w:rsidRDefault="00525B02">
      <w:pPr>
        <w:rPr>
          <w:b/>
        </w:rPr>
      </w:pPr>
    </w:p>
    <w:p w:rsidR="001C6054" w:rsidRDefault="001C6054" w:rsidP="001C6054">
      <w:pPr>
        <w:pStyle w:val="Default"/>
        <w:jc w:val="both"/>
        <w:rPr>
          <w:rFonts w:eastAsia="Times New Roman" w:cs="Arial Unicode MS"/>
          <w:color w:val="auto"/>
          <w:sz w:val="22"/>
          <w:szCs w:val="22"/>
          <w:lang w:val="en-US" w:eastAsia="cs-CZ" w:bidi="my-MM"/>
        </w:rPr>
      </w:pPr>
      <w:r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BUFR sequence 3 10 011 (</w:t>
      </w:r>
      <w:r w:rsidR="00441F7D"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ATOVS field of view variables) </w:t>
      </w:r>
      <w:r w:rsidR="001C706F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is one of the most widely-</w:t>
      </w:r>
      <w:r w:rsidR="00441F7D"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used sequences for satellite observations. </w:t>
      </w:r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This sequence is </w:t>
      </w:r>
      <w:r w:rsidR="001C706F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applied</w:t>
      </w:r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by EUMETSAT </w:t>
      </w:r>
      <w:r w:rsidR="001C706F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to</w:t>
      </w:r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the encoding of ATOVS data from </w:t>
      </w:r>
      <w:proofErr w:type="spellStart"/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Metop</w:t>
      </w:r>
      <w:proofErr w:type="spellEnd"/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and NOAA satellites. </w:t>
      </w:r>
      <w:r w:rsidR="00441F7D"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These data are being disseminated via the </w:t>
      </w:r>
      <w:r w:rsidR="00B74218" w:rsidRPr="00B74218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GTS</w:t>
      </w:r>
      <w:r w:rsidR="00B74218"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</w:t>
      </w:r>
      <w:r w:rsidR="00B74218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and EUMETSAT’s </w:t>
      </w:r>
      <w:r w:rsidR="00441F7D"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EUMETCast DVB multicast service. </w:t>
      </w:r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EUMETSAT users have requested the addition of the Noise Equivalent Delta-Temperature (</w:t>
      </w:r>
      <w:proofErr w:type="spellStart"/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NEdT</w:t>
      </w:r>
      <w:proofErr w:type="spellEnd"/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) </w:t>
      </w:r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of the warm target calibration </w:t>
      </w:r>
      <w:r w:rsid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to the data to improve the quality filtering.  </w:t>
      </w:r>
    </w:p>
    <w:p w:rsidR="00441F7D" w:rsidRPr="00441F7D" w:rsidRDefault="00441F7D" w:rsidP="001C6054">
      <w:pPr>
        <w:pStyle w:val="Default"/>
        <w:jc w:val="both"/>
        <w:rPr>
          <w:rFonts w:eastAsia="Times New Roman" w:cs="Arial Unicode MS"/>
          <w:color w:val="auto"/>
          <w:sz w:val="22"/>
          <w:szCs w:val="22"/>
          <w:lang w:val="en-US" w:eastAsia="cs-CZ" w:bidi="my-MM"/>
        </w:rPr>
      </w:pPr>
      <w:r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The modification of sequence </w:t>
      </w:r>
      <w:r w:rsidRPr="00441F7D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3 10 011</w:t>
      </w:r>
      <w:r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is not recommended due to its widespread application by a large number of users. </w:t>
      </w:r>
      <w:r w:rsidR="00B74218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It is therefore </w:t>
      </w:r>
      <w:r w:rsidR="001C706F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suggested to add the information in the form of </w:t>
      </w:r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a quality indicator</w:t>
      </w:r>
      <w:r w:rsidR="001C706F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.</w:t>
      </w:r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For completeness </w:t>
      </w:r>
      <w:r w:rsidR="00FD0C62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and to be prepared for planned future satellite instruments </w:t>
      </w:r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also the </w:t>
      </w:r>
      <w:proofErr w:type="spellStart"/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NEdT</w:t>
      </w:r>
      <w:proofErr w:type="spellEnd"/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quality indicators for cold target calibration and the overall </w:t>
      </w:r>
      <w:proofErr w:type="spellStart"/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>NEdT</w:t>
      </w:r>
      <w:proofErr w:type="spellEnd"/>
      <w:r w:rsidR="00F364AE">
        <w:rPr>
          <w:rFonts w:eastAsia="Times New Roman" w:cs="Arial Unicode MS"/>
          <w:color w:val="auto"/>
          <w:sz w:val="22"/>
          <w:szCs w:val="22"/>
          <w:lang w:val="en-US" w:eastAsia="cs-CZ" w:bidi="my-MM"/>
        </w:rPr>
        <w:t xml:space="preserve"> are proposed.</w:t>
      </w:r>
    </w:p>
    <w:p w:rsidR="001C6054" w:rsidRPr="00441F7D" w:rsidRDefault="001C6054" w:rsidP="001C6054">
      <w:pPr>
        <w:pStyle w:val="Default"/>
        <w:jc w:val="both"/>
        <w:rPr>
          <w:sz w:val="18"/>
          <w:szCs w:val="18"/>
          <w:lang w:val="en-US"/>
        </w:rPr>
      </w:pPr>
    </w:p>
    <w:p w:rsidR="00802F4A" w:rsidRDefault="00802F4A" w:rsidP="00802F4A">
      <w:pPr>
        <w:rPr>
          <w:b/>
        </w:rPr>
      </w:pPr>
    </w:p>
    <w:p w:rsidR="00802F4A" w:rsidRDefault="00802F4A" w:rsidP="00802F4A">
      <w:r>
        <w:rPr>
          <w:b/>
        </w:rPr>
        <w:t>PROPOSAL</w:t>
      </w:r>
    </w:p>
    <w:p w:rsidR="00802F4A" w:rsidRPr="000D4696" w:rsidRDefault="00802F4A" w:rsidP="00802F4A">
      <w:pPr>
        <w:pStyle w:val="BodyText"/>
        <w:rPr>
          <w:rFonts w:ascii="Arial" w:hAnsi="Arial"/>
          <w:sz w:val="22"/>
          <w:szCs w:val="22"/>
        </w:rPr>
      </w:pPr>
    </w:p>
    <w:p w:rsidR="00802F4A" w:rsidRPr="000D4696" w:rsidRDefault="00802F4A" w:rsidP="00802F4A">
      <w:pPr>
        <w:pStyle w:val="BodyText"/>
        <w:rPr>
          <w:rFonts w:ascii="Arial" w:hAnsi="Arial"/>
          <w:sz w:val="22"/>
          <w:szCs w:val="22"/>
        </w:rPr>
      </w:pPr>
      <w:r w:rsidRPr="000D4696">
        <w:rPr>
          <w:rFonts w:ascii="Arial" w:hAnsi="Arial"/>
          <w:sz w:val="22"/>
          <w:szCs w:val="22"/>
        </w:rPr>
        <w:t>In order to</w:t>
      </w:r>
      <w:r w:rsidR="001C706F" w:rsidRPr="000D4696">
        <w:rPr>
          <w:rFonts w:ascii="Arial" w:hAnsi="Arial"/>
          <w:sz w:val="22"/>
          <w:szCs w:val="22"/>
        </w:rPr>
        <w:t xml:space="preserve"> have a scheme to add the </w:t>
      </w:r>
      <w:proofErr w:type="spellStart"/>
      <w:r w:rsidR="001C706F" w:rsidRPr="000D4696">
        <w:rPr>
          <w:rFonts w:ascii="Arial" w:hAnsi="Arial"/>
          <w:sz w:val="22"/>
          <w:szCs w:val="22"/>
        </w:rPr>
        <w:t>N</w:t>
      </w:r>
      <w:r w:rsidR="00B74218" w:rsidRPr="000D4696">
        <w:rPr>
          <w:rFonts w:ascii="Arial" w:hAnsi="Arial"/>
          <w:sz w:val="22"/>
          <w:szCs w:val="22"/>
        </w:rPr>
        <w:t>E</w:t>
      </w:r>
      <w:r w:rsidR="001C706F" w:rsidRPr="000D4696">
        <w:rPr>
          <w:rFonts w:ascii="Arial" w:hAnsi="Arial"/>
          <w:sz w:val="22"/>
          <w:szCs w:val="22"/>
        </w:rPr>
        <w:t>dT</w:t>
      </w:r>
      <w:proofErr w:type="spellEnd"/>
      <w:r w:rsidR="001C706F" w:rsidRPr="000D4696">
        <w:rPr>
          <w:rFonts w:ascii="Arial" w:hAnsi="Arial"/>
          <w:sz w:val="22"/>
          <w:szCs w:val="22"/>
        </w:rPr>
        <w:t xml:space="preserve"> as a quality indicator</w:t>
      </w:r>
      <w:r w:rsidRPr="000D4696">
        <w:rPr>
          <w:rFonts w:ascii="Arial" w:hAnsi="Arial"/>
          <w:sz w:val="22"/>
          <w:szCs w:val="22"/>
        </w:rPr>
        <w:t xml:space="preserve">, the following </w:t>
      </w:r>
      <w:r w:rsidR="00F364AE" w:rsidRPr="000D4696">
        <w:rPr>
          <w:rFonts w:ascii="Arial" w:hAnsi="Arial"/>
          <w:sz w:val="22"/>
          <w:szCs w:val="22"/>
        </w:rPr>
        <w:t>new entries</w:t>
      </w:r>
      <w:r w:rsidRPr="000D4696">
        <w:rPr>
          <w:rFonts w:ascii="Arial" w:hAnsi="Arial"/>
          <w:sz w:val="22"/>
          <w:szCs w:val="22"/>
        </w:rPr>
        <w:t xml:space="preserve"> to </w:t>
      </w:r>
      <w:r w:rsidR="001C706F" w:rsidRPr="000D4696">
        <w:rPr>
          <w:rFonts w:ascii="Arial" w:hAnsi="Arial"/>
          <w:sz w:val="22"/>
          <w:szCs w:val="22"/>
        </w:rPr>
        <w:t>BUFR</w:t>
      </w:r>
      <w:r w:rsidR="00F364AE" w:rsidRPr="000D4696">
        <w:rPr>
          <w:rFonts w:ascii="Arial" w:hAnsi="Arial"/>
          <w:sz w:val="22"/>
          <w:szCs w:val="22"/>
        </w:rPr>
        <w:t>/CREX Table B are suggested</w:t>
      </w:r>
      <w:r w:rsidRPr="000D4696">
        <w:rPr>
          <w:rFonts w:ascii="Arial" w:hAnsi="Arial"/>
          <w:sz w:val="22"/>
          <w:szCs w:val="22"/>
        </w:rPr>
        <w:t>:</w:t>
      </w:r>
    </w:p>
    <w:p w:rsidR="00802F4A" w:rsidRDefault="00802F4A" w:rsidP="00802F4A">
      <w:pPr>
        <w:jc w:val="both"/>
      </w:pPr>
    </w:p>
    <w:p w:rsidR="00F364AE" w:rsidRDefault="001C706F" w:rsidP="00F364AE">
      <w:pPr>
        <w:jc w:val="both"/>
        <w:rPr>
          <w:b/>
        </w:rPr>
      </w:pPr>
      <w:r w:rsidRPr="001C706F">
        <w:rPr>
          <w:b/>
        </w:rPr>
        <w:t xml:space="preserve">BUFR/CREX Table B, </w:t>
      </w:r>
      <w:r w:rsidR="000D4696">
        <w:rPr>
          <w:b/>
        </w:rPr>
        <w:t>class 3</w:t>
      </w:r>
      <w:r w:rsidR="00F364AE">
        <w:rPr>
          <w:b/>
        </w:rPr>
        <w:t>3 (quality information)</w:t>
      </w:r>
    </w:p>
    <w:p w:rsidR="00F364AE" w:rsidRDefault="00F364AE" w:rsidP="00F364A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982"/>
        <w:gridCol w:w="1203"/>
        <w:gridCol w:w="960"/>
        <w:gridCol w:w="936"/>
        <w:gridCol w:w="963"/>
        <w:gridCol w:w="1159"/>
      </w:tblGrid>
      <w:tr w:rsidR="00F364AE" w:rsidTr="006A12D2">
        <w:tc>
          <w:tcPr>
            <w:tcW w:w="1242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TABLE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REFERENCE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ELEMENT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NAME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F364AE" w:rsidRPr="008D773B" w:rsidRDefault="00F364AE" w:rsidP="006A12D2">
            <w:pPr>
              <w:jc w:val="center"/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BUFR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F364AE" w:rsidRPr="008D773B" w:rsidRDefault="00F364AE" w:rsidP="006A12D2">
            <w:pPr>
              <w:jc w:val="center"/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CREX</w:t>
            </w:r>
          </w:p>
        </w:tc>
      </w:tr>
      <w:tr w:rsidR="00F364AE" w:rsidTr="006A12D2">
        <w:tc>
          <w:tcPr>
            <w:tcW w:w="1242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F X Y</w:t>
            </w:r>
          </w:p>
        </w:tc>
        <w:tc>
          <w:tcPr>
            <w:tcW w:w="1276" w:type="dxa"/>
            <w:vMerge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UNIT</w:t>
            </w:r>
          </w:p>
        </w:tc>
        <w:tc>
          <w:tcPr>
            <w:tcW w:w="982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SCALE</w:t>
            </w:r>
          </w:p>
        </w:tc>
        <w:tc>
          <w:tcPr>
            <w:tcW w:w="1203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REFERENCE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VALUE</w:t>
            </w:r>
          </w:p>
        </w:tc>
        <w:tc>
          <w:tcPr>
            <w:tcW w:w="960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DATA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WIDTH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(Bits)</w:t>
            </w:r>
          </w:p>
        </w:tc>
        <w:tc>
          <w:tcPr>
            <w:tcW w:w="936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UNIT</w:t>
            </w:r>
          </w:p>
        </w:tc>
        <w:tc>
          <w:tcPr>
            <w:tcW w:w="963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SCALE</w:t>
            </w:r>
          </w:p>
        </w:tc>
        <w:tc>
          <w:tcPr>
            <w:tcW w:w="1159" w:type="dxa"/>
            <w:shd w:val="clear" w:color="auto" w:fill="auto"/>
          </w:tcPr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DATA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WIDTH</w:t>
            </w:r>
          </w:p>
          <w:p w:rsidR="00F364AE" w:rsidRPr="008D773B" w:rsidRDefault="00F364AE" w:rsidP="006A12D2">
            <w:pPr>
              <w:rPr>
                <w:b/>
                <w:sz w:val="16"/>
              </w:rPr>
            </w:pPr>
            <w:r w:rsidRPr="008D773B">
              <w:rPr>
                <w:b/>
                <w:sz w:val="16"/>
              </w:rPr>
              <w:t>(Characters)</w:t>
            </w:r>
          </w:p>
        </w:tc>
      </w:tr>
      <w:tr w:rsidR="00F364AE" w:rsidTr="006A12D2">
        <w:tc>
          <w:tcPr>
            <w:tcW w:w="1242" w:type="dxa"/>
            <w:shd w:val="clear" w:color="auto" w:fill="auto"/>
          </w:tcPr>
          <w:p w:rsidR="000D7202" w:rsidRDefault="000D7202" w:rsidP="000D7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0 33 089</w:t>
            </w:r>
          </w:p>
          <w:p w:rsidR="00F364AE" w:rsidRPr="008D773B" w:rsidRDefault="00F364AE" w:rsidP="00F364AE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>
              <w:rPr>
                <w:sz w:val="16"/>
              </w:rPr>
              <w:t>Warm target calibration quality Noise equivalent delta temperature</w:t>
            </w:r>
          </w:p>
        </w:tc>
        <w:tc>
          <w:tcPr>
            <w:tcW w:w="1134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982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 w:rsidRPr="008D773B">
              <w:rPr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66DFB">
              <w:rPr>
                <w:sz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°C</w:t>
            </w:r>
          </w:p>
        </w:tc>
        <w:tc>
          <w:tcPr>
            <w:tcW w:w="963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364AE" w:rsidTr="006A12D2">
        <w:tc>
          <w:tcPr>
            <w:tcW w:w="1242" w:type="dxa"/>
            <w:shd w:val="clear" w:color="auto" w:fill="auto"/>
          </w:tcPr>
          <w:p w:rsidR="000D7202" w:rsidRDefault="000D7202" w:rsidP="000D7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0 33 090</w:t>
            </w:r>
          </w:p>
          <w:p w:rsidR="00F364AE" w:rsidRPr="008D773B" w:rsidRDefault="00F364AE" w:rsidP="006A12D2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364AE" w:rsidRPr="008D773B" w:rsidRDefault="00F364AE" w:rsidP="00F364AE">
            <w:pPr>
              <w:rPr>
                <w:sz w:val="16"/>
              </w:rPr>
            </w:pPr>
            <w:r>
              <w:rPr>
                <w:sz w:val="16"/>
              </w:rPr>
              <w:t>Cold target calibration quality Noise equivalent delta temperature</w:t>
            </w:r>
          </w:p>
        </w:tc>
        <w:tc>
          <w:tcPr>
            <w:tcW w:w="1134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982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364AE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66DFB">
              <w:rPr>
                <w:sz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°C</w:t>
            </w:r>
          </w:p>
        </w:tc>
        <w:tc>
          <w:tcPr>
            <w:tcW w:w="963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364AE" w:rsidTr="006A12D2">
        <w:tc>
          <w:tcPr>
            <w:tcW w:w="1242" w:type="dxa"/>
            <w:shd w:val="clear" w:color="auto" w:fill="auto"/>
          </w:tcPr>
          <w:p w:rsidR="000D7202" w:rsidRDefault="000D7202" w:rsidP="000D7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0 33 091</w:t>
            </w:r>
          </w:p>
          <w:p w:rsidR="00F364AE" w:rsidRPr="008D773B" w:rsidRDefault="00F364AE" w:rsidP="006A12D2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>
              <w:rPr>
                <w:sz w:val="16"/>
              </w:rPr>
              <w:t>Overall calibration quality Noise equivalent delta temperature</w:t>
            </w:r>
          </w:p>
        </w:tc>
        <w:tc>
          <w:tcPr>
            <w:tcW w:w="1134" w:type="dxa"/>
            <w:shd w:val="clear" w:color="auto" w:fill="auto"/>
          </w:tcPr>
          <w:p w:rsidR="00F364AE" w:rsidRPr="008D773B" w:rsidRDefault="00F364AE" w:rsidP="006A12D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982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364AE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66DFB">
              <w:rPr>
                <w:sz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°C</w:t>
            </w:r>
          </w:p>
        </w:tc>
        <w:tc>
          <w:tcPr>
            <w:tcW w:w="963" w:type="dxa"/>
            <w:shd w:val="clear" w:color="auto" w:fill="auto"/>
          </w:tcPr>
          <w:p w:rsidR="00F364AE" w:rsidRPr="008D773B" w:rsidRDefault="00EC6E28" w:rsidP="006A12D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F364AE" w:rsidRPr="008D773B" w:rsidRDefault="00C66DFB" w:rsidP="006A12D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F364AE" w:rsidRPr="00F364AE" w:rsidRDefault="00F364AE" w:rsidP="00F364AE"/>
    <w:p w:rsidR="00773B34" w:rsidRPr="00202662" w:rsidRDefault="00773B34" w:rsidP="00202662">
      <w:pPr>
        <w:rPr>
          <w:i/>
        </w:rPr>
      </w:pPr>
    </w:p>
    <w:p w:rsidR="00202662" w:rsidRPr="00202662" w:rsidRDefault="00202662" w:rsidP="00202662"/>
    <w:p w:rsidR="00802F4A" w:rsidRDefault="00802F4A" w:rsidP="00802F4A">
      <w:pPr>
        <w:pStyle w:val="Heading4"/>
        <w:keepNext/>
        <w:numPr>
          <w:ilvl w:val="0"/>
          <w:numId w:val="1"/>
        </w:numPr>
        <w:spacing w:before="0" w:after="0"/>
      </w:pPr>
      <w:r>
        <w:t xml:space="preserve">Conclusion </w:t>
      </w:r>
    </w:p>
    <w:p w:rsidR="00802F4A" w:rsidRDefault="00802F4A" w:rsidP="00802F4A">
      <w:pPr>
        <w:pStyle w:val="BodyText"/>
        <w:rPr>
          <w:rFonts w:ascii="Arial" w:hAnsi="Arial"/>
          <w:sz w:val="16"/>
        </w:rPr>
      </w:pPr>
      <w:bookmarkStart w:id="0" w:name="_GoBack"/>
      <w:bookmarkEnd w:id="0"/>
    </w:p>
    <w:p w:rsidR="001C706F" w:rsidRDefault="001C706F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</w:t>
      </w:r>
      <w:r w:rsidR="00B74218">
        <w:rPr>
          <w:rFonts w:ascii="Arial" w:hAnsi="Arial"/>
        </w:rPr>
        <w:t>Ed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will give users of ATOVS data additional information for quality filtering and data assimilation. The change of </w:t>
      </w:r>
      <w:proofErr w:type="gramStart"/>
      <w:r>
        <w:rPr>
          <w:rFonts w:ascii="Arial" w:hAnsi="Arial"/>
        </w:rPr>
        <w:t>the of</w:t>
      </w:r>
      <w:proofErr w:type="gramEnd"/>
      <w:r>
        <w:rPr>
          <w:rFonts w:ascii="Arial" w:hAnsi="Arial"/>
        </w:rPr>
        <w:t xml:space="preserve"> the widely-used sequence for these data can be avoided by adding </w:t>
      </w:r>
      <w:proofErr w:type="spellStart"/>
      <w:r>
        <w:rPr>
          <w:rFonts w:ascii="Arial" w:hAnsi="Arial"/>
        </w:rPr>
        <w:t>NEdT</w:t>
      </w:r>
      <w:proofErr w:type="spellEnd"/>
      <w:r>
        <w:rPr>
          <w:rFonts w:ascii="Arial" w:hAnsi="Arial"/>
        </w:rPr>
        <w:t xml:space="preserve"> </w:t>
      </w:r>
      <w:r w:rsidR="00EC6E28">
        <w:rPr>
          <w:rFonts w:ascii="Arial" w:hAnsi="Arial"/>
        </w:rPr>
        <w:t>parameters to class 33 of</w:t>
      </w:r>
      <w:r>
        <w:rPr>
          <w:rFonts w:ascii="Arial" w:hAnsi="Arial"/>
        </w:rPr>
        <w:t xml:space="preserve"> the </w:t>
      </w:r>
      <w:r w:rsidRPr="001C706F">
        <w:rPr>
          <w:rFonts w:ascii="Arial" w:hAnsi="Arial"/>
        </w:rPr>
        <w:t>BUFR/CREX Table B.</w:t>
      </w:r>
      <w:r>
        <w:rPr>
          <w:rFonts w:ascii="Arial" w:eastAsia="MS Mincho" w:hAnsi="Arial" w:cs="Arial"/>
          <w:b/>
          <w:lang w:eastAsia="en-US"/>
        </w:rPr>
        <w:t xml:space="preserve"> </w:t>
      </w:r>
    </w:p>
    <w:p w:rsidR="00802F4A" w:rsidRDefault="00802F4A" w:rsidP="00802F4A">
      <w:pPr>
        <w:pStyle w:val="BodyText"/>
        <w:rPr>
          <w:rFonts w:ascii="Arial" w:hAnsi="Arial"/>
        </w:rPr>
      </w:pPr>
    </w:p>
    <w:p w:rsidR="00802F4A" w:rsidRDefault="00802F4A" w:rsidP="00802F4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is invited to consider the proposed new table </w:t>
      </w:r>
      <w:r w:rsidR="00EC6E28">
        <w:rPr>
          <w:rFonts w:ascii="Arial" w:hAnsi="Arial"/>
        </w:rPr>
        <w:t>entries</w:t>
      </w:r>
      <w:r w:rsidR="001C706F">
        <w:rPr>
          <w:rFonts w:ascii="Arial" w:hAnsi="Arial"/>
        </w:rPr>
        <w:t>, and to endorse its</w:t>
      </w:r>
      <w:r>
        <w:rPr>
          <w:rFonts w:ascii="Arial" w:hAnsi="Arial"/>
        </w:rPr>
        <w:t xml:space="preserve"> addition to the existing tables</w:t>
      </w:r>
      <w:r w:rsidR="00D33A8F">
        <w:rPr>
          <w:rFonts w:ascii="Arial" w:hAnsi="Arial"/>
        </w:rPr>
        <w:t xml:space="preserve"> for validation</w:t>
      </w:r>
      <w:r>
        <w:rPr>
          <w:rFonts w:ascii="Arial" w:hAnsi="Arial"/>
        </w:rPr>
        <w:t>.</w:t>
      </w:r>
    </w:p>
    <w:p w:rsidR="00525B02" w:rsidRDefault="00525B02" w:rsidP="00802F4A"/>
    <w:sectPr w:rsidR="00525B02" w:rsidSect="00203EA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904"/>
    <w:multiLevelType w:val="singleLevel"/>
    <w:tmpl w:val="468CD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D7"/>
    <w:rsid w:val="00073F7F"/>
    <w:rsid w:val="000D4696"/>
    <w:rsid w:val="000D7202"/>
    <w:rsid w:val="001C6054"/>
    <w:rsid w:val="001C706F"/>
    <w:rsid w:val="00202662"/>
    <w:rsid w:val="00203EA1"/>
    <w:rsid w:val="002375F0"/>
    <w:rsid w:val="002B2865"/>
    <w:rsid w:val="00441F7D"/>
    <w:rsid w:val="004A1A56"/>
    <w:rsid w:val="00525B02"/>
    <w:rsid w:val="0052768A"/>
    <w:rsid w:val="005A0730"/>
    <w:rsid w:val="005A35E5"/>
    <w:rsid w:val="006A0D37"/>
    <w:rsid w:val="00772B6A"/>
    <w:rsid w:val="00773B34"/>
    <w:rsid w:val="007D0523"/>
    <w:rsid w:val="007D054E"/>
    <w:rsid w:val="00802F4A"/>
    <w:rsid w:val="00896225"/>
    <w:rsid w:val="008A59AB"/>
    <w:rsid w:val="00922589"/>
    <w:rsid w:val="00986723"/>
    <w:rsid w:val="009A1D2D"/>
    <w:rsid w:val="009A724B"/>
    <w:rsid w:val="00A129EC"/>
    <w:rsid w:val="00A139CB"/>
    <w:rsid w:val="00A977D7"/>
    <w:rsid w:val="00B56C4F"/>
    <w:rsid w:val="00B74218"/>
    <w:rsid w:val="00C25786"/>
    <w:rsid w:val="00C66DFB"/>
    <w:rsid w:val="00C8028A"/>
    <w:rsid w:val="00D33A8F"/>
    <w:rsid w:val="00EB3579"/>
    <w:rsid w:val="00EC6E28"/>
    <w:rsid w:val="00F364AE"/>
    <w:rsid w:val="00F51B3E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A1"/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A1"/>
    <w:p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3EA1"/>
    <w:pPr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3EA1"/>
    <w:pPr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3EA1"/>
    <w:pPr>
      <w:spacing w:before="240" w:after="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03EA1"/>
    <w:pPr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03EA1"/>
    <w:pPr>
      <w:spacing w:before="200" w:after="4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679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2679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26793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26793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2679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26793"/>
    <w:rPr>
      <w:rFonts w:ascii="Calibri" w:eastAsia="Times New Roman" w:hAnsi="Calibri" w:cs="Times New Roman"/>
      <w:b/>
      <w:bCs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EA1"/>
    <w:pPr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6793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A1"/>
    <w:pPr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26793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02F4A"/>
    <w:pPr>
      <w:jc w:val="both"/>
    </w:pPr>
    <w:rPr>
      <w:rFonts w:ascii="Times New Roman" w:eastAsia="Times New Roman" w:hAnsi="Times New Roman" w:cs="Arial Unicode MS"/>
      <w:color w:val="auto"/>
      <w:sz w:val="20"/>
      <w:szCs w:val="20"/>
      <w:lang w:eastAsia="cs-CZ" w:bidi="my-MM"/>
    </w:rPr>
  </w:style>
  <w:style w:type="character" w:customStyle="1" w:styleId="BodyTextChar">
    <w:name w:val="Body Text Char"/>
    <w:link w:val="BodyText"/>
    <w:rsid w:val="00802F4A"/>
    <w:rPr>
      <w:rFonts w:ascii="Times New Roman" w:eastAsia="Times New Roman" w:hAnsi="Times New Roman" w:cs="Arial Unicode MS"/>
      <w:lang w:eastAsia="cs-CZ" w:bidi="my-MM"/>
    </w:rPr>
  </w:style>
  <w:style w:type="table" w:styleId="TableGrid">
    <w:name w:val="Table Grid"/>
    <w:basedOn w:val="TableNormal"/>
    <w:locked/>
    <w:rsid w:val="009A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9A72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Strong">
    <w:name w:val="Strong"/>
    <w:uiPriority w:val="22"/>
    <w:qFormat/>
    <w:locked/>
    <w:rsid w:val="001C6054"/>
    <w:rPr>
      <w:b/>
      <w:bCs/>
    </w:rPr>
  </w:style>
  <w:style w:type="paragraph" w:customStyle="1" w:styleId="Default">
    <w:name w:val="Default"/>
    <w:rsid w:val="001C6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har1CharCharCarCar">
    <w:name w:val="Char1 Char Char Car Car"/>
    <w:basedOn w:val="Normal"/>
    <w:rsid w:val="00F364AE"/>
    <w:rPr>
      <w:rFonts w:ascii="Times New Roman" w:hAnsi="Times New Roman" w:cs="Times New Roman"/>
      <w:color w:val="auto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EC44E323.dotm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doc2.1x.docx</vt:lpstr>
    </vt:vector>
  </TitlesOfParts>
  <Company>EUMETSAT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doc2.1x.docx</dc:title>
  <dc:creator>Thomas Heinemann</dc:creator>
  <cp:lastModifiedBy>Autologon</cp:lastModifiedBy>
  <cp:revision>2</cp:revision>
  <dcterms:created xsi:type="dcterms:W3CDTF">2015-07-28T07:25:00Z</dcterms:created>
  <dcterms:modified xsi:type="dcterms:W3CDTF">2015-07-28T07:25:00Z</dcterms:modified>
</cp:coreProperties>
</file>