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7D63F4">
              <w:rPr>
                <w:rFonts w:ascii="Verdana" w:hAnsi="Verdana"/>
                <w:sz w:val="20"/>
                <w:szCs w:val="20"/>
              </w:rPr>
              <w:t>7.3(1)</w:t>
            </w:r>
          </w:p>
          <w:p w:rsidR="005554A5" w:rsidRPr="00F35A04" w:rsidRDefault="007D63F4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25.05.2018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7D63F4">
              <w:rPr>
                <w:rFonts w:ascii="Verdana" w:hAnsi="Verdana"/>
                <w:sz w:val="20"/>
                <w:szCs w:val="20"/>
              </w:rPr>
              <w:t>7.3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7D63F4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B62E80">
            <w:rPr>
              <w:rStyle w:val="Style8"/>
            </w:rPr>
            <w:t>MIGRATION TO TABLE-DRIVEN CODE FORMS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</w:p>
    <w:bookmarkEnd w:id="0"/>
    <w:p w:rsidR="009F245F" w:rsidRPr="00F35A04" w:rsidRDefault="006A1590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BUFR Validation Dashboard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B62E80">
        <w:rPr>
          <w:rFonts w:ascii="Verdana" w:hAnsi="Verdana"/>
          <w:i/>
          <w:sz w:val="20"/>
          <w:szCs w:val="20"/>
        </w:rPr>
        <w:t>Peng WANG (CMA), A</w:t>
      </w:r>
      <w:r w:rsidR="00B62E80" w:rsidRPr="00B62E80">
        <w:rPr>
          <w:rFonts w:ascii="Verdana" w:hAnsi="Verdana"/>
          <w:i/>
          <w:sz w:val="20"/>
          <w:szCs w:val="20"/>
        </w:rPr>
        <w:t xml:space="preserve">bbas </w:t>
      </w:r>
      <w:r w:rsidR="00B62E80">
        <w:rPr>
          <w:rFonts w:ascii="Verdana" w:hAnsi="Verdana"/>
          <w:i/>
          <w:sz w:val="20"/>
          <w:szCs w:val="20"/>
        </w:rPr>
        <w:t>N</w:t>
      </w:r>
      <w:r w:rsidR="00B62E80" w:rsidRPr="00B62E80">
        <w:rPr>
          <w:rFonts w:ascii="Verdana" w:hAnsi="Verdana"/>
          <w:i/>
          <w:sz w:val="20"/>
          <w:szCs w:val="20"/>
        </w:rPr>
        <w:t>IAZALIZADEH</w:t>
      </w:r>
      <w:r w:rsidR="00B62E80">
        <w:rPr>
          <w:rFonts w:ascii="Verdana" w:hAnsi="Verdana"/>
          <w:i/>
          <w:sz w:val="20"/>
          <w:szCs w:val="20"/>
        </w:rPr>
        <w:t xml:space="preserve"> (IRIMO), Yang WANG (Private Sector</w:t>
      </w:r>
      <w:r w:rsidR="00021A0A">
        <w:rPr>
          <w:rFonts w:ascii="Verdana" w:hAnsi="Verdana"/>
          <w:i/>
          <w:sz w:val="20"/>
          <w:szCs w:val="20"/>
        </w:rPr>
        <w:t>, Australia</w:t>
      </w:r>
      <w:r w:rsidR="00B62E80">
        <w:rPr>
          <w:rFonts w:ascii="Verdana" w:hAnsi="Verdana"/>
          <w:i/>
          <w:sz w:val="20"/>
          <w:szCs w:val="20"/>
        </w:rPr>
        <w:t>), Gregor Schnee (DWD), Markus Heene (DWD)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6A1590" w:rsidP="006A1590">
      <w:pPr>
        <w:pStyle w:val="BodyText"/>
        <w:ind w:left="567" w:right="567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highlights the idea of a BUFR Validation Dashboard which is realized as a web-service. The purpose of the dashboard is to show users the summarized output of various BUFR decoders. The BUFR Validation Dashboard is realized as an open source project hosted on </w:t>
      </w:r>
      <w:proofErr w:type="spellStart"/>
      <w:r>
        <w:rPr>
          <w:rFonts w:ascii="Verdana" w:hAnsi="Verdana"/>
          <w:sz w:val="20"/>
          <w:szCs w:val="20"/>
        </w:rPr>
        <w:t>github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6A1590">
        <w:rPr>
          <w:rFonts w:ascii="Verdana" w:hAnsi="Verdana"/>
          <w:sz w:val="20"/>
          <w:szCs w:val="20"/>
        </w:rPr>
        <w:t>https://github.com/mheene/bufrValidationDashboard</w:t>
      </w:r>
      <w:r>
        <w:rPr>
          <w:rFonts w:ascii="Verdana" w:hAnsi="Verdana"/>
          <w:sz w:val="20"/>
          <w:szCs w:val="20"/>
        </w:rPr>
        <w:t xml:space="preserve"> 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6A1590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None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7D63F4">
      <w:pPr>
        <w:ind w:left="879" w:hanging="658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1" w:name="_GoBack"/>
      <w:bookmarkEnd w:id="1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E218B5" w:rsidRDefault="006A1590" w:rsidP="00B306F7">
      <w:pPr>
        <w:jc w:val="both"/>
        <w:rPr>
          <w:rFonts w:ascii="Verdana" w:hAnsi="Verdana"/>
          <w:b/>
          <w:sz w:val="20"/>
          <w:szCs w:val="20"/>
        </w:rPr>
      </w:pPr>
      <w:bookmarkStart w:id="2" w:name="Text7"/>
      <w:r w:rsidRPr="00E218B5">
        <w:rPr>
          <w:rFonts w:ascii="Verdana" w:hAnsi="Verdana"/>
          <w:b/>
          <w:sz w:val="20"/>
          <w:szCs w:val="20"/>
        </w:rPr>
        <w:t>M</w:t>
      </w:r>
      <w:bookmarkEnd w:id="2"/>
      <w:r w:rsidRPr="00E218B5">
        <w:rPr>
          <w:rFonts w:ascii="Verdana" w:hAnsi="Verdana"/>
          <w:b/>
          <w:sz w:val="20"/>
          <w:szCs w:val="20"/>
        </w:rPr>
        <w:t>otivation</w:t>
      </w:r>
    </w:p>
    <w:p w:rsidR="006A1590" w:rsidRPr="00F35A04" w:rsidRDefault="00E426C7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authors of the document realized in their daily work that they received some BUFRs which their decoding system marked as invalid BUFR while other decoders validated the BUFR successful</w:t>
      </w:r>
      <w:r w:rsidR="00995A9A">
        <w:rPr>
          <w:rFonts w:ascii="Verdana" w:hAnsi="Verdana"/>
          <w:sz w:val="20"/>
          <w:szCs w:val="20"/>
        </w:rPr>
        <w:t>ly</w:t>
      </w:r>
      <w:r>
        <w:rPr>
          <w:rFonts w:ascii="Verdana" w:hAnsi="Verdana"/>
          <w:sz w:val="20"/>
          <w:szCs w:val="20"/>
        </w:rPr>
        <w:t xml:space="preserve">. At least the authors </w:t>
      </w:r>
      <w:r w:rsidR="00E218B5">
        <w:rPr>
          <w:rFonts w:ascii="Verdana" w:hAnsi="Verdana"/>
          <w:sz w:val="20"/>
          <w:szCs w:val="20"/>
        </w:rPr>
        <w:t>are not aware of</w:t>
      </w:r>
      <w:r>
        <w:rPr>
          <w:rFonts w:ascii="Verdana" w:hAnsi="Verdana"/>
          <w:sz w:val="20"/>
          <w:szCs w:val="20"/>
        </w:rPr>
        <w:t xml:space="preserve"> </w:t>
      </w:r>
      <w:r w:rsidR="00E218B5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reference implementation </w:t>
      </w:r>
      <w:r w:rsidR="00E218B5">
        <w:rPr>
          <w:rFonts w:ascii="Verdana" w:hAnsi="Verdana"/>
          <w:sz w:val="20"/>
          <w:szCs w:val="20"/>
        </w:rPr>
        <w:t>of the BUFR specification</w:t>
      </w:r>
      <w:r>
        <w:rPr>
          <w:rFonts w:ascii="Verdana" w:hAnsi="Verdana"/>
          <w:sz w:val="20"/>
          <w:szCs w:val="20"/>
        </w:rPr>
        <w:t xml:space="preserve">. </w:t>
      </w:r>
      <w:r w:rsidR="00E218B5">
        <w:rPr>
          <w:rFonts w:ascii="Verdana" w:hAnsi="Verdana"/>
          <w:sz w:val="20"/>
          <w:szCs w:val="20"/>
        </w:rPr>
        <w:t>That means that each</w:t>
      </w:r>
      <w:r>
        <w:rPr>
          <w:rFonts w:ascii="Verdana" w:hAnsi="Verdana"/>
          <w:sz w:val="20"/>
          <w:szCs w:val="20"/>
        </w:rPr>
        <w:t xml:space="preserve"> BUFR encoder/decoder implements </w:t>
      </w:r>
      <w:r w:rsidR="002341F5">
        <w:rPr>
          <w:rFonts w:ascii="Verdana" w:hAnsi="Verdana"/>
          <w:sz w:val="20"/>
          <w:szCs w:val="20"/>
        </w:rPr>
        <w:t>its</w:t>
      </w:r>
      <w:r>
        <w:rPr>
          <w:rFonts w:ascii="Verdana" w:hAnsi="Verdana"/>
          <w:sz w:val="20"/>
          <w:szCs w:val="20"/>
        </w:rPr>
        <w:t xml:space="preserve"> own “interpretation” of the specification.</w:t>
      </w:r>
      <w:r w:rsidR="00E218B5">
        <w:rPr>
          <w:rFonts w:ascii="Verdana" w:hAnsi="Verdana"/>
          <w:sz w:val="20"/>
          <w:szCs w:val="20"/>
        </w:rPr>
        <w:t xml:space="preserve"> While some decoders implement very strict checks others decoders </w:t>
      </w:r>
      <w:r w:rsidR="002341F5">
        <w:rPr>
          <w:rFonts w:ascii="Verdana" w:hAnsi="Verdana"/>
          <w:sz w:val="20"/>
          <w:szCs w:val="20"/>
        </w:rPr>
        <w:t>are</w:t>
      </w:r>
      <w:r w:rsidR="00E218B5">
        <w:rPr>
          <w:rFonts w:ascii="Verdana" w:hAnsi="Verdana"/>
          <w:sz w:val="20"/>
          <w:szCs w:val="20"/>
        </w:rPr>
        <w:t xml:space="preserve"> more relaxed and </w:t>
      </w:r>
      <w:r w:rsidR="00995A9A">
        <w:rPr>
          <w:rFonts w:ascii="Verdana" w:hAnsi="Verdana"/>
          <w:sz w:val="20"/>
          <w:szCs w:val="20"/>
        </w:rPr>
        <w:t>emphasize</w:t>
      </w:r>
      <w:r w:rsidR="00E218B5">
        <w:rPr>
          <w:rFonts w:ascii="Verdana" w:hAnsi="Verdana"/>
          <w:sz w:val="20"/>
          <w:szCs w:val="20"/>
        </w:rPr>
        <w:t xml:space="preserve"> more</w:t>
      </w:r>
      <w:r w:rsidR="002341F5">
        <w:rPr>
          <w:rFonts w:ascii="Verdana" w:hAnsi="Verdana"/>
          <w:sz w:val="20"/>
          <w:szCs w:val="20"/>
        </w:rPr>
        <w:t xml:space="preserve"> on</w:t>
      </w:r>
      <w:r w:rsidR="00E218B5">
        <w:rPr>
          <w:rFonts w:ascii="Verdana" w:hAnsi="Verdana"/>
          <w:sz w:val="20"/>
          <w:szCs w:val="20"/>
        </w:rPr>
        <w:t xml:space="preserve"> the decoding part.</w:t>
      </w:r>
    </w:p>
    <w:p w:rsidR="009F245F" w:rsidRDefault="009F245F" w:rsidP="009F245F">
      <w:pPr>
        <w:rPr>
          <w:rFonts w:ascii="Verdana" w:hAnsi="Verdana"/>
          <w:sz w:val="20"/>
          <w:szCs w:val="20"/>
        </w:rPr>
      </w:pPr>
    </w:p>
    <w:p w:rsidR="00E218B5" w:rsidRPr="00E218B5" w:rsidRDefault="00E218B5" w:rsidP="00E218B5">
      <w:pPr>
        <w:rPr>
          <w:rFonts w:ascii="Verdana" w:hAnsi="Verdana"/>
          <w:sz w:val="20"/>
          <w:szCs w:val="20"/>
        </w:rPr>
      </w:pPr>
      <w:r w:rsidRPr="00E218B5">
        <w:rPr>
          <w:rFonts w:ascii="Verdana" w:hAnsi="Verdana"/>
          <w:sz w:val="20"/>
          <w:szCs w:val="20"/>
        </w:rPr>
        <w:t xml:space="preserve">For </w:t>
      </w:r>
      <w:r w:rsidR="002341F5">
        <w:rPr>
          <w:rFonts w:ascii="Verdana" w:hAnsi="Verdana"/>
          <w:sz w:val="20"/>
          <w:szCs w:val="20"/>
        </w:rPr>
        <w:t>a</w:t>
      </w:r>
      <w:r w:rsidRPr="00E218B5">
        <w:rPr>
          <w:rFonts w:ascii="Verdana" w:hAnsi="Verdana"/>
          <w:sz w:val="20"/>
          <w:szCs w:val="20"/>
        </w:rPr>
        <w:t xml:space="preserve"> BUFR creator the situation could be pretty</w:t>
      </w:r>
      <w:r>
        <w:rPr>
          <w:rFonts w:ascii="Verdana" w:hAnsi="Verdana"/>
          <w:sz w:val="20"/>
          <w:szCs w:val="20"/>
        </w:rPr>
        <w:t xml:space="preserve"> </w:t>
      </w:r>
      <w:r w:rsidRPr="00E218B5">
        <w:rPr>
          <w:rFonts w:ascii="Verdana" w:hAnsi="Verdana"/>
          <w:sz w:val="20"/>
          <w:szCs w:val="20"/>
        </w:rPr>
        <w:t xml:space="preserve">complex if he/she creates </w:t>
      </w:r>
      <w:r>
        <w:rPr>
          <w:rFonts w:ascii="Verdana" w:hAnsi="Verdana"/>
          <w:sz w:val="20"/>
          <w:szCs w:val="20"/>
        </w:rPr>
        <w:t>a BUFR</w:t>
      </w:r>
      <w:r w:rsidR="00995A9A">
        <w:rPr>
          <w:rFonts w:ascii="Verdana" w:hAnsi="Verdana"/>
          <w:sz w:val="20"/>
          <w:szCs w:val="20"/>
        </w:rPr>
        <w:t xml:space="preserve"> and the</w:t>
      </w:r>
      <w:r w:rsidRPr="00E218B5">
        <w:rPr>
          <w:rFonts w:ascii="Verdana" w:hAnsi="Verdana"/>
          <w:sz w:val="20"/>
          <w:szCs w:val="20"/>
        </w:rPr>
        <w:t xml:space="preserve">n validates </w:t>
      </w:r>
      <w:r w:rsidR="002341F5">
        <w:rPr>
          <w:rFonts w:ascii="Verdana" w:hAnsi="Verdana"/>
          <w:sz w:val="20"/>
          <w:szCs w:val="20"/>
        </w:rPr>
        <w:t>it</w:t>
      </w:r>
      <w:r w:rsidRPr="00E218B5">
        <w:rPr>
          <w:rFonts w:ascii="Verdana" w:hAnsi="Verdana"/>
          <w:sz w:val="20"/>
          <w:szCs w:val="20"/>
        </w:rPr>
        <w:t xml:space="preserve"> BUFR with a pretty</w:t>
      </w:r>
      <w:r>
        <w:rPr>
          <w:rFonts w:ascii="Verdana" w:hAnsi="Verdana"/>
          <w:sz w:val="20"/>
          <w:szCs w:val="20"/>
        </w:rPr>
        <w:t xml:space="preserve"> </w:t>
      </w:r>
      <w:r w:rsidRPr="00E218B5">
        <w:rPr>
          <w:rFonts w:ascii="Verdana" w:hAnsi="Verdana"/>
          <w:sz w:val="20"/>
          <w:szCs w:val="20"/>
        </w:rPr>
        <w:t>relaxed decoder. In extreme cases the BUFR would be valid only for this one</w:t>
      </w:r>
      <w:r>
        <w:rPr>
          <w:rFonts w:ascii="Verdana" w:hAnsi="Verdana"/>
          <w:sz w:val="20"/>
          <w:szCs w:val="20"/>
        </w:rPr>
        <w:t xml:space="preserve"> </w:t>
      </w:r>
      <w:r w:rsidRPr="00E218B5">
        <w:rPr>
          <w:rFonts w:ascii="Verdana" w:hAnsi="Verdana"/>
          <w:sz w:val="20"/>
          <w:szCs w:val="20"/>
        </w:rPr>
        <w:t>decoder.</w:t>
      </w:r>
    </w:p>
    <w:p w:rsidR="00E218B5" w:rsidRPr="00E218B5" w:rsidRDefault="00E218B5" w:rsidP="00E218B5">
      <w:pPr>
        <w:rPr>
          <w:rFonts w:ascii="Verdana" w:hAnsi="Verdana"/>
          <w:sz w:val="20"/>
          <w:szCs w:val="20"/>
        </w:rPr>
      </w:pPr>
    </w:p>
    <w:p w:rsidR="00E218B5" w:rsidRPr="00F35A04" w:rsidRDefault="00E218B5" w:rsidP="00E218B5">
      <w:pPr>
        <w:rPr>
          <w:rFonts w:ascii="Verdana" w:hAnsi="Verdana"/>
          <w:sz w:val="20"/>
          <w:szCs w:val="20"/>
        </w:rPr>
      </w:pPr>
      <w:r w:rsidRPr="00E218B5">
        <w:rPr>
          <w:rFonts w:ascii="Verdana" w:hAnsi="Verdana"/>
          <w:sz w:val="20"/>
          <w:szCs w:val="20"/>
        </w:rPr>
        <w:t xml:space="preserve">With the help of the BUFR validation dashboard the user </w:t>
      </w:r>
      <w:r w:rsidR="002341F5">
        <w:rPr>
          <w:rFonts w:ascii="Verdana" w:hAnsi="Verdana"/>
          <w:sz w:val="20"/>
          <w:szCs w:val="20"/>
        </w:rPr>
        <w:t xml:space="preserve">is </w:t>
      </w:r>
      <w:r w:rsidRPr="00E218B5">
        <w:rPr>
          <w:rFonts w:ascii="Verdana" w:hAnsi="Verdana"/>
          <w:sz w:val="20"/>
          <w:szCs w:val="20"/>
        </w:rPr>
        <w:t>now</w:t>
      </w:r>
      <w:r w:rsidR="00995A9A">
        <w:rPr>
          <w:rFonts w:ascii="Verdana" w:hAnsi="Verdana"/>
          <w:sz w:val="20"/>
          <w:szCs w:val="20"/>
        </w:rPr>
        <w:t xml:space="preserve"> able to</w:t>
      </w:r>
      <w:r w:rsidRPr="00E218B5">
        <w:rPr>
          <w:rFonts w:ascii="Verdana" w:hAnsi="Verdana"/>
          <w:sz w:val="20"/>
          <w:szCs w:val="20"/>
        </w:rPr>
        <w:t xml:space="preserve"> easily</w:t>
      </w:r>
      <w:r>
        <w:rPr>
          <w:rFonts w:ascii="Verdana" w:hAnsi="Verdana"/>
          <w:sz w:val="20"/>
          <w:szCs w:val="20"/>
        </w:rPr>
        <w:t xml:space="preserve"> </w:t>
      </w:r>
      <w:r w:rsidRPr="00E218B5">
        <w:rPr>
          <w:rFonts w:ascii="Verdana" w:hAnsi="Verdana"/>
          <w:sz w:val="20"/>
          <w:szCs w:val="20"/>
        </w:rPr>
        <w:t>check the BUFR with different decoders and would</w:t>
      </w:r>
      <w:r>
        <w:rPr>
          <w:rFonts w:ascii="Verdana" w:hAnsi="Verdana"/>
          <w:sz w:val="20"/>
          <w:szCs w:val="20"/>
        </w:rPr>
        <w:t xml:space="preserve"> </w:t>
      </w:r>
      <w:r w:rsidRPr="00E218B5">
        <w:rPr>
          <w:rFonts w:ascii="Verdana" w:hAnsi="Verdana"/>
          <w:sz w:val="20"/>
          <w:szCs w:val="20"/>
        </w:rPr>
        <w:t>receive warnings/errors of each decoder. The advantage for the NHMSs would</w:t>
      </w:r>
      <w:r>
        <w:rPr>
          <w:rFonts w:ascii="Verdana" w:hAnsi="Verdana"/>
          <w:sz w:val="20"/>
          <w:szCs w:val="20"/>
        </w:rPr>
        <w:t xml:space="preserve"> </w:t>
      </w:r>
      <w:r w:rsidR="00995A9A">
        <w:rPr>
          <w:rFonts w:ascii="Verdana" w:hAnsi="Verdana"/>
          <w:sz w:val="20"/>
          <w:szCs w:val="20"/>
        </w:rPr>
        <w:t>be fewer</w:t>
      </w:r>
      <w:r w:rsidRPr="00E218B5">
        <w:rPr>
          <w:rFonts w:ascii="Verdana" w:hAnsi="Verdana"/>
          <w:sz w:val="20"/>
          <w:szCs w:val="20"/>
        </w:rPr>
        <w:t xml:space="preserve"> un-decodable BUFR.</w:t>
      </w:r>
    </w:p>
    <w:p w:rsidR="00202193" w:rsidRDefault="00202193" w:rsidP="009F245F">
      <w:pPr>
        <w:rPr>
          <w:rFonts w:ascii="Verdana" w:hAnsi="Verdana"/>
          <w:sz w:val="20"/>
          <w:szCs w:val="20"/>
        </w:rPr>
      </w:pPr>
    </w:p>
    <w:p w:rsidR="00E218B5" w:rsidRDefault="00E218B5" w:rsidP="009F245F">
      <w:pPr>
        <w:rPr>
          <w:rFonts w:ascii="Verdana" w:hAnsi="Verdana"/>
          <w:b/>
          <w:sz w:val="20"/>
          <w:szCs w:val="20"/>
        </w:rPr>
      </w:pPr>
      <w:r w:rsidRPr="00E218B5">
        <w:rPr>
          <w:rFonts w:ascii="Verdana" w:hAnsi="Verdana"/>
          <w:b/>
          <w:sz w:val="20"/>
          <w:szCs w:val="20"/>
        </w:rPr>
        <w:t>Technical realization</w:t>
      </w:r>
    </w:p>
    <w:p w:rsidR="0075152C" w:rsidRDefault="0075152C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implementation is planned in a phased approach. In the first phase a proof-of-concept is realized. In the proof-of-concept a web-application is realized where a</w:t>
      </w:r>
      <w:r w:rsidR="00995A9A">
        <w:rPr>
          <w:rFonts w:ascii="Verdana" w:hAnsi="Verdana"/>
          <w:sz w:val="20"/>
          <w:szCs w:val="20"/>
        </w:rPr>
        <w:t xml:space="preserve"> user can upload a BUFR and the</w:t>
      </w:r>
      <w:r>
        <w:rPr>
          <w:rFonts w:ascii="Verdana" w:hAnsi="Verdana"/>
          <w:sz w:val="20"/>
          <w:szCs w:val="20"/>
        </w:rPr>
        <w:t xml:space="preserve"> next step the application sends the BUFR to existing online BUFR validator</w:t>
      </w:r>
      <w:r w:rsidR="00995A9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 The responses of each validator are collected and the summary is presented to the user. Currently the following 3 online BUFR validator</w:t>
      </w:r>
      <w:r w:rsidR="002341F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are included:</w:t>
      </w:r>
    </w:p>
    <w:p w:rsidR="009C4B85" w:rsidRDefault="009C4B85" w:rsidP="009F245F">
      <w:pPr>
        <w:rPr>
          <w:rFonts w:ascii="Verdana" w:hAnsi="Verdana"/>
          <w:sz w:val="20"/>
          <w:szCs w:val="20"/>
        </w:rPr>
      </w:pPr>
    </w:p>
    <w:p w:rsidR="0075152C" w:rsidRPr="0075152C" w:rsidRDefault="0075152C" w:rsidP="0075152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de-DE"/>
        </w:rPr>
      </w:pPr>
      <w:r w:rsidRPr="0075152C">
        <w:rPr>
          <w:rFonts w:ascii="Verdana" w:hAnsi="Verdana"/>
          <w:sz w:val="20"/>
          <w:szCs w:val="20"/>
          <w:lang w:val="de-DE"/>
        </w:rPr>
        <w:t>ECMWF: http://apps.ecmwf.int/codes/bufr/validator/</w:t>
      </w:r>
    </w:p>
    <w:p w:rsidR="0075152C" w:rsidRPr="0075152C" w:rsidRDefault="0075152C" w:rsidP="0075152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5152C">
        <w:rPr>
          <w:rFonts w:ascii="Verdana" w:hAnsi="Verdana"/>
          <w:sz w:val="20"/>
          <w:szCs w:val="20"/>
        </w:rPr>
        <w:t>DWD: https://kunden.dwd.de/bufrviewer/</w:t>
      </w:r>
    </w:p>
    <w:p w:rsidR="0075152C" w:rsidRDefault="0075152C" w:rsidP="0075152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75152C">
        <w:rPr>
          <w:rFonts w:ascii="Verdana" w:hAnsi="Verdana"/>
          <w:sz w:val="20"/>
          <w:szCs w:val="20"/>
        </w:rPr>
        <w:t>PyB</w:t>
      </w:r>
      <w:r w:rsidR="002341F5" w:rsidRPr="0075152C">
        <w:rPr>
          <w:rFonts w:ascii="Verdana" w:hAnsi="Verdana"/>
          <w:sz w:val="20"/>
          <w:szCs w:val="20"/>
        </w:rPr>
        <w:t>ufr</w:t>
      </w:r>
      <w:r w:rsidRPr="0075152C">
        <w:rPr>
          <w:rFonts w:ascii="Verdana" w:hAnsi="Verdana"/>
          <w:sz w:val="20"/>
          <w:szCs w:val="20"/>
        </w:rPr>
        <w:t>Kit</w:t>
      </w:r>
      <w:proofErr w:type="spellEnd"/>
      <w:r w:rsidRPr="0075152C">
        <w:rPr>
          <w:rFonts w:ascii="Verdana" w:hAnsi="Verdana"/>
          <w:sz w:val="20"/>
          <w:szCs w:val="20"/>
        </w:rPr>
        <w:t xml:space="preserve">: </w:t>
      </w:r>
      <w:hyperlink r:id="rId9" w:history="1">
        <w:r w:rsidR="009C4B85" w:rsidRPr="00874C40">
          <w:rPr>
            <w:rStyle w:val="Hyperlink"/>
            <w:rFonts w:ascii="Verdana" w:hAnsi="Verdana"/>
            <w:sz w:val="20"/>
            <w:szCs w:val="20"/>
          </w:rPr>
          <w:t>http://aws-bufr-webapp.s3-website-ap-southeast-2.amazonaws.com/</w:t>
        </w:r>
      </w:hyperlink>
    </w:p>
    <w:p w:rsidR="009C4B85" w:rsidRDefault="009C4B85" w:rsidP="009C4B85">
      <w:pPr>
        <w:rPr>
          <w:rFonts w:ascii="Verdana" w:hAnsi="Verdana"/>
          <w:sz w:val="20"/>
          <w:szCs w:val="20"/>
        </w:rPr>
      </w:pPr>
    </w:p>
    <w:p w:rsidR="009C4B85" w:rsidRDefault="009C4B85" w:rsidP="009C4B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picture shows a </w:t>
      </w:r>
      <w:r w:rsidR="00156C2B">
        <w:rPr>
          <w:rFonts w:ascii="Verdana" w:hAnsi="Verdana"/>
          <w:sz w:val="20"/>
          <w:szCs w:val="20"/>
        </w:rPr>
        <w:t>screenshot</w:t>
      </w:r>
      <w:r>
        <w:rPr>
          <w:rFonts w:ascii="Verdana" w:hAnsi="Verdana"/>
          <w:sz w:val="20"/>
          <w:szCs w:val="20"/>
        </w:rPr>
        <w:t xml:space="preserve"> </w:t>
      </w:r>
      <w:r w:rsidR="004C2DF9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>the GUI.</w:t>
      </w:r>
    </w:p>
    <w:p w:rsidR="009C4B85" w:rsidRDefault="009C4B85" w:rsidP="009C4B85">
      <w:pPr>
        <w:rPr>
          <w:rFonts w:ascii="Verdana" w:hAnsi="Verdana"/>
          <w:sz w:val="20"/>
          <w:szCs w:val="20"/>
        </w:rPr>
      </w:pPr>
    </w:p>
    <w:p w:rsidR="009C4B85" w:rsidRDefault="00156C2B" w:rsidP="009C4B85">
      <w:pPr>
        <w:jc w:val="center"/>
        <w:rPr>
          <w:rFonts w:ascii="Verdana" w:hAnsi="Verdana"/>
          <w:sz w:val="20"/>
          <w:szCs w:val="20"/>
        </w:rPr>
      </w:pPr>
      <w:r>
        <w:rPr>
          <w:noProof/>
          <w:snapToGrid/>
          <w:lang w:eastAsia="ja-JP"/>
        </w:rPr>
        <w:drawing>
          <wp:inline distT="0" distB="0" distL="0" distR="0" wp14:anchorId="2FC525CC" wp14:editId="6FBA8842">
            <wp:extent cx="5972810" cy="2677795"/>
            <wp:effectExtent l="0" t="0" r="889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B85" w:rsidRDefault="009C4B85" w:rsidP="009C4B85">
      <w:pPr>
        <w:rPr>
          <w:rFonts w:ascii="Verdana" w:hAnsi="Verdana"/>
          <w:sz w:val="20"/>
          <w:szCs w:val="20"/>
        </w:rPr>
      </w:pPr>
    </w:p>
    <w:p w:rsidR="009C4B85" w:rsidRDefault="009C4B85" w:rsidP="009C4B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 next step it is planned to wrap other freely available BUFR decoder</w:t>
      </w:r>
      <w:r w:rsidR="00995A9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(e.g. Geo::BUFR) into micro-services and to include</w:t>
      </w:r>
      <w:r w:rsidR="00B62E80">
        <w:rPr>
          <w:rFonts w:ascii="Verdana" w:hAnsi="Verdana"/>
          <w:sz w:val="20"/>
          <w:szCs w:val="20"/>
        </w:rPr>
        <w:t xml:space="preserve"> </w:t>
      </w:r>
      <w:r w:rsidR="00995A9A">
        <w:rPr>
          <w:rFonts w:ascii="Verdana" w:hAnsi="Verdana"/>
          <w:sz w:val="20"/>
          <w:szCs w:val="20"/>
        </w:rPr>
        <w:t xml:space="preserve">those </w:t>
      </w:r>
      <w:r w:rsidR="00B62E80">
        <w:rPr>
          <w:rFonts w:ascii="Verdana" w:hAnsi="Verdana"/>
          <w:sz w:val="20"/>
          <w:szCs w:val="20"/>
        </w:rPr>
        <w:t xml:space="preserve">into the dashboard. </w:t>
      </w:r>
    </w:p>
    <w:p w:rsidR="00B62E80" w:rsidRDefault="00B62E80" w:rsidP="009C4B85">
      <w:pPr>
        <w:rPr>
          <w:rFonts w:ascii="Verdana" w:hAnsi="Verdana"/>
          <w:sz w:val="20"/>
          <w:szCs w:val="20"/>
        </w:rPr>
      </w:pPr>
    </w:p>
    <w:p w:rsidR="00B62E80" w:rsidRPr="00B62E80" w:rsidRDefault="00B62E80" w:rsidP="009C4B85">
      <w:pPr>
        <w:rPr>
          <w:rFonts w:ascii="Verdana" w:hAnsi="Verdana"/>
          <w:b/>
          <w:sz w:val="20"/>
          <w:szCs w:val="20"/>
        </w:rPr>
      </w:pPr>
      <w:r w:rsidRPr="00B62E80">
        <w:rPr>
          <w:rFonts w:ascii="Verdana" w:hAnsi="Verdana"/>
          <w:b/>
          <w:sz w:val="20"/>
          <w:szCs w:val="20"/>
        </w:rPr>
        <w:t>Outlook</w:t>
      </w:r>
    </w:p>
    <w:p w:rsidR="0075152C" w:rsidRPr="0075152C" w:rsidRDefault="00B62E80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GISC Beijing and GISC Tehran plan to host the BUFR validation dashboard if it is sufficient</w:t>
      </w:r>
      <w:r w:rsidR="00995A9A">
        <w:rPr>
          <w:rFonts w:ascii="Verdana" w:hAnsi="Verdana"/>
          <w:sz w:val="20"/>
          <w:szCs w:val="20"/>
        </w:rPr>
        <w:t>ly</w:t>
      </w:r>
      <w:r>
        <w:rPr>
          <w:rFonts w:ascii="Verdana" w:hAnsi="Verdana"/>
          <w:sz w:val="20"/>
          <w:szCs w:val="20"/>
        </w:rPr>
        <w:t xml:space="preserve"> stable for operations. Furthermore it is intended to present the progress on the next TT-GISC meeting. Another option is </w:t>
      </w:r>
      <w:r w:rsidR="002341F5">
        <w:rPr>
          <w:rFonts w:ascii="Verdana" w:hAnsi="Verdana"/>
          <w:sz w:val="20"/>
          <w:szCs w:val="20"/>
        </w:rPr>
        <w:t>to be hosted</w:t>
      </w:r>
      <w:r>
        <w:rPr>
          <w:rFonts w:ascii="Verdana" w:hAnsi="Verdana"/>
          <w:sz w:val="20"/>
          <w:szCs w:val="20"/>
        </w:rPr>
        <w:t xml:space="preserve"> by a cloud-provider.</w:t>
      </w:r>
    </w:p>
    <w:p w:rsidR="00E218B5" w:rsidRDefault="00E218B5" w:rsidP="009F245F">
      <w:pPr>
        <w:rPr>
          <w:rFonts w:ascii="Verdana" w:hAnsi="Verdana"/>
          <w:sz w:val="20"/>
          <w:szCs w:val="20"/>
        </w:rPr>
      </w:pPr>
    </w:p>
    <w:p w:rsidR="00B62E80" w:rsidRDefault="00B62E80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contribution</w:t>
      </w:r>
      <w:r w:rsidR="004C2DF9">
        <w:rPr>
          <w:rFonts w:ascii="Verdana" w:hAnsi="Verdana"/>
          <w:sz w:val="20"/>
          <w:szCs w:val="20"/>
        </w:rPr>
        <w:t>s are highly welcomed please simply contact us.</w:t>
      </w:r>
    </w:p>
    <w:p w:rsidR="00B62E80" w:rsidRDefault="00B62E80" w:rsidP="009F245F">
      <w:pPr>
        <w:rPr>
          <w:rFonts w:ascii="Verdana" w:hAnsi="Verdana"/>
          <w:sz w:val="20"/>
          <w:szCs w:val="20"/>
        </w:rPr>
      </w:pPr>
    </w:p>
    <w:p w:rsidR="00B62E80" w:rsidRPr="00B62E80" w:rsidRDefault="00B62E80" w:rsidP="009F245F">
      <w:pPr>
        <w:rPr>
          <w:rFonts w:ascii="Verdana" w:hAnsi="Verdana"/>
          <w:b/>
          <w:sz w:val="20"/>
          <w:szCs w:val="20"/>
        </w:rPr>
      </w:pPr>
      <w:r w:rsidRPr="00B62E80">
        <w:rPr>
          <w:rFonts w:ascii="Verdana" w:hAnsi="Verdana"/>
          <w:b/>
          <w:sz w:val="20"/>
          <w:szCs w:val="20"/>
        </w:rPr>
        <w:t>Online Resources</w:t>
      </w:r>
    </w:p>
    <w:p w:rsidR="00B62E80" w:rsidRDefault="00B62E80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GIT repository: </w:t>
      </w:r>
      <w:hyperlink r:id="rId11" w:history="1">
        <w:r w:rsidRPr="00874C40">
          <w:rPr>
            <w:rStyle w:val="Hyperlink"/>
            <w:rFonts w:ascii="Verdana" w:hAnsi="Verdana"/>
            <w:sz w:val="20"/>
            <w:szCs w:val="20"/>
          </w:rPr>
          <w:t>https://github.com/mheene/bufrValidationDashboard</w:t>
        </w:r>
      </w:hyperlink>
    </w:p>
    <w:p w:rsidR="00B62E80" w:rsidRDefault="00B62E80" w:rsidP="009F245F">
      <w:pPr>
        <w:rPr>
          <w:rFonts w:ascii="Verdana" w:hAnsi="Verdana"/>
          <w:sz w:val="20"/>
          <w:szCs w:val="20"/>
        </w:rPr>
      </w:pPr>
    </w:p>
    <w:p w:rsidR="00B62E80" w:rsidRPr="00F35A04" w:rsidRDefault="00B62E80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D51173" w:rsidRDefault="00B62E80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None</w:t>
      </w: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5647A48"/>
    <w:multiLevelType w:val="hybridMultilevel"/>
    <w:tmpl w:val="DF704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21A0A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6C2B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341F5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C2DF9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A1590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5152C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63F4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95A9A"/>
    <w:rsid w:val="009C4B8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62E8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18B5"/>
    <w:rsid w:val="00E263EC"/>
    <w:rsid w:val="00E426C7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5152C"/>
    <w:pPr>
      <w:ind w:left="720"/>
      <w:contextualSpacing/>
    </w:pPr>
  </w:style>
  <w:style w:type="character" w:styleId="Hyperlink">
    <w:name w:val="Hyperlink"/>
    <w:basedOn w:val="DefaultParagraphFont"/>
    <w:rsid w:val="009C4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5152C"/>
    <w:pPr>
      <w:ind w:left="720"/>
      <w:contextualSpacing/>
    </w:pPr>
  </w:style>
  <w:style w:type="character" w:styleId="Hyperlink">
    <w:name w:val="Hyperlink"/>
    <w:basedOn w:val="DefaultParagraphFont"/>
    <w:rsid w:val="009C4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mheene/bufrValidationDashboar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ws-bufr-webapp.s3-website-ap-southeast-2.amazonaws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5DCA-7A77-4A1D-AF98-1F476372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2985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2018-05-23T13:59:00Z</cp:lastPrinted>
  <dcterms:created xsi:type="dcterms:W3CDTF">2018-05-25T09:25:00Z</dcterms:created>
  <dcterms:modified xsi:type="dcterms:W3CDTF">2018-05-25T09:25:00Z</dcterms:modified>
</cp:coreProperties>
</file>