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AA0456">
              <w:rPr>
                <w:rFonts w:ascii="Verdana" w:hAnsi="Verdana" w:hint="eastAsia"/>
                <w:sz w:val="20"/>
                <w:szCs w:val="20"/>
                <w:lang w:eastAsia="ja-JP"/>
              </w:rPr>
              <w:t>7.2</w:t>
            </w:r>
            <w:bookmarkStart w:id="0" w:name="_GoBack"/>
            <w:bookmarkEnd w:id="0"/>
            <w:r w:rsidR="00184107">
              <w:rPr>
                <w:rFonts w:ascii="Verdana" w:hAnsi="Verdana"/>
                <w:sz w:val="20"/>
                <w:szCs w:val="20"/>
                <w:lang w:eastAsia="ja-JP"/>
              </w:rPr>
              <w:t xml:space="preserve"> </w:t>
            </w:r>
            <w:r w:rsidR="00AA0456">
              <w:rPr>
                <w:rFonts w:ascii="Verdana" w:hAnsi="Verdana" w:hint="eastAsia"/>
                <w:sz w:val="20"/>
                <w:szCs w:val="20"/>
                <w:lang w:eastAsia="ja-JP"/>
              </w:rPr>
              <w:t>(</w:t>
            </w:r>
            <w:r w:rsidR="00184107">
              <w:rPr>
                <w:rFonts w:ascii="Verdana" w:hAnsi="Verdana"/>
                <w:sz w:val="20"/>
                <w:szCs w:val="20"/>
                <w:lang w:eastAsia="ja-JP"/>
              </w:rPr>
              <w:t>2</w:t>
            </w:r>
            <w:r w:rsidR="00AA0456">
              <w:rPr>
                <w:rFonts w:ascii="Verdana" w:hAnsi="Verdana" w:hint="eastAsia"/>
                <w:sz w:val="20"/>
                <w:szCs w:val="20"/>
                <w:lang w:eastAsia="ja-JP"/>
              </w:rPr>
              <w:t>)</w:t>
            </w:r>
          </w:p>
          <w:p w:rsidR="005554A5" w:rsidRPr="00F35A04" w:rsidRDefault="00184107"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16T00:00:00Z">
                  <w:dateFormat w:val="dd.MM.yyyy"/>
                  <w:lid w:val="en-GB"/>
                  <w:storeMappedDataAs w:val="dateTime"/>
                  <w:calendar w:val="gregorian"/>
                </w:date>
              </w:sdtPr>
              <w:sdtEndPr/>
              <w:sdtContent>
                <w:r w:rsidR="004F2485">
                  <w:rPr>
                    <w:rFonts w:ascii="Verdana" w:hAnsi="Verdana"/>
                    <w:sz w:val="20"/>
                    <w:szCs w:val="20"/>
                  </w:rPr>
                  <w:t>16.05.2018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AA0456">
              <w:rPr>
                <w:rFonts w:ascii="Verdana" w:hAnsi="Verdana" w:hint="eastAsia"/>
                <w:sz w:val="20"/>
                <w:szCs w:val="20"/>
                <w:lang w:eastAsia="ja-JP"/>
              </w:rPr>
              <w:t>7.2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84107"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4F2485">
            <w:rPr>
              <w:rStyle w:val="Style8"/>
            </w:rPr>
            <w:t>MIGRATION TO TABLE-DRIVEN CODE FORMS</w:t>
          </w:r>
        </w:sdtContent>
      </w:sdt>
    </w:p>
    <w:bookmarkStart w:id="1" w:name="Text2"/>
    <w:p w:rsidR="00984C25" w:rsidRPr="006569B7" w:rsidRDefault="00184107"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4F2485">
            <w:rPr>
              <w:rFonts w:ascii="Verdana" w:hAnsi="Verdana" w:cs="Arial"/>
              <w:sz w:val="18"/>
              <w:szCs w:val="18"/>
            </w:rPr>
            <w:t>Reports on status of migration</w:t>
          </w:r>
        </w:sdtContent>
      </w:sdt>
    </w:p>
    <w:p w:rsidR="008E6C3A" w:rsidRPr="004F2485" w:rsidRDefault="008E6C3A" w:rsidP="008E6C3A">
      <w:pPr>
        <w:ind w:left="1208" w:right="1389"/>
        <w:jc w:val="center"/>
        <w:rPr>
          <w:rFonts w:ascii="Verdana" w:hAnsi="Verdana" w:cs="Arial"/>
          <w:b/>
          <w:sz w:val="20"/>
          <w:szCs w:val="20"/>
        </w:rPr>
      </w:pPr>
    </w:p>
    <w:bookmarkEnd w:id="1"/>
    <w:p w:rsidR="009F245F" w:rsidRPr="00F35A04" w:rsidRDefault="004F2485" w:rsidP="008E6C3A">
      <w:pPr>
        <w:ind w:left="1208" w:right="1389"/>
        <w:jc w:val="center"/>
        <w:rPr>
          <w:rFonts w:ascii="Verdana" w:hAnsi="Verdana" w:cs="Arial"/>
          <w:b/>
          <w:sz w:val="20"/>
          <w:szCs w:val="20"/>
        </w:rPr>
      </w:pPr>
      <w:r>
        <w:rPr>
          <w:rStyle w:val="Style7"/>
          <w:rFonts w:hint="eastAsia"/>
          <w:lang w:eastAsia="ja-JP"/>
        </w:rPr>
        <w:t>Status of the migration to TDCF in RA II</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F2485">
        <w:rPr>
          <w:rFonts w:ascii="Verdana" w:hAnsi="Verdana" w:hint="eastAsia"/>
          <w:i/>
          <w:sz w:val="20"/>
          <w:szCs w:val="20"/>
          <w:lang w:eastAsia="ja-JP"/>
        </w:rPr>
        <w:t>Shuichi Ikeda and Jitsuko Hasegawa (Japan)</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4F2485" w:rsidRPr="00921B12" w:rsidRDefault="004F2485" w:rsidP="00921B12">
      <w:pPr>
        <w:pStyle w:val="BodyText"/>
        <w:ind w:left="567" w:right="567" w:firstLine="567"/>
        <w:rPr>
          <w:rFonts w:ascii="Verdana" w:hAnsi="Verdana"/>
          <w:sz w:val="20"/>
          <w:szCs w:val="20"/>
        </w:rPr>
      </w:pPr>
      <w:r w:rsidRPr="00921B12">
        <w:rPr>
          <w:rFonts w:ascii="Verdana" w:hAnsi="Verdana"/>
          <w:sz w:val="20"/>
          <w:szCs w:val="20"/>
        </w:rPr>
        <w:t xml:space="preserve">The document describes the status of migration to Table-Driven Code Forms in RA II, highlighting monitoring results in </w:t>
      </w:r>
      <w:r w:rsidRPr="00921B12">
        <w:rPr>
          <w:rFonts w:ascii="Verdana" w:hAnsi="Verdana" w:hint="eastAsia"/>
          <w:sz w:val="20"/>
          <w:szCs w:val="20"/>
        </w:rPr>
        <w:t>April 2018 and</w:t>
      </w:r>
      <w:r w:rsidRPr="00921B12">
        <w:rPr>
          <w:rFonts w:ascii="Verdana" w:hAnsi="Verdana"/>
          <w:sz w:val="20"/>
          <w:szCs w:val="20"/>
        </w:rPr>
        <w:t xml:space="preserve"> related activities of Members</w:t>
      </w:r>
      <w:r w:rsidRPr="00921B12">
        <w:rPr>
          <w:rFonts w:ascii="Verdana" w:hAnsi="Verdana" w:hint="eastAsia"/>
          <w:sz w:val="20"/>
          <w:szCs w:val="20"/>
        </w:rPr>
        <w:t xml:space="preserve"> since the last meeting</w:t>
      </w:r>
      <w:r w:rsidRPr="00921B12">
        <w:rPr>
          <w:rFonts w:ascii="Verdana" w:hAnsi="Verdana"/>
          <w:sz w:val="20"/>
          <w:szCs w:val="20"/>
        </w:rPr>
        <w:t>.</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921B12" w:rsidRDefault="004F2485" w:rsidP="00921B12">
      <w:pPr>
        <w:jc w:val="both"/>
        <w:rPr>
          <w:rFonts w:ascii="Verdana" w:hAnsi="Verdana"/>
          <w:sz w:val="20"/>
          <w:szCs w:val="20"/>
        </w:rPr>
      </w:pPr>
      <w:r w:rsidRPr="00921B12">
        <w:rPr>
          <w:rFonts w:ascii="Verdana" w:hAnsi="Verdana"/>
          <w:sz w:val="20"/>
          <w:szCs w:val="20"/>
        </w:rPr>
        <w:t>The meeting is requested to note the information.</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4F2485"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4F2485">
        <w:rPr>
          <w:rFonts w:ascii="Verdana" w:hAnsi="Verdana" w:hint="eastAsia"/>
          <w:sz w:val="20"/>
          <w:szCs w:val="20"/>
          <w:lang w:eastAsia="ja-JP"/>
        </w:rPr>
        <w:t>None</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921B12" w:rsidRDefault="009F245F" w:rsidP="009F245F">
      <w:pPr>
        <w:rPr>
          <w:rFonts w:ascii="Verdana" w:hAnsi="Verdana"/>
          <w:sz w:val="20"/>
          <w:szCs w:val="20"/>
        </w:rPr>
      </w:pPr>
    </w:p>
    <w:p w:rsidR="004F2485" w:rsidRPr="00921B12" w:rsidRDefault="004F2485" w:rsidP="004F2485">
      <w:pPr>
        <w:rPr>
          <w:rFonts w:ascii="Verdana" w:hAnsi="Verdana"/>
          <w:b/>
        </w:rPr>
      </w:pPr>
      <w:bookmarkStart w:id="2" w:name="Text7"/>
      <w:r w:rsidRPr="00921B12">
        <w:rPr>
          <w:rFonts w:ascii="Verdana" w:hAnsi="Verdana"/>
          <w:b/>
        </w:rPr>
        <w:t>1</w:t>
      </w:r>
      <w:r w:rsidRPr="00921B12">
        <w:rPr>
          <w:rFonts w:ascii="Verdana" w:hAnsi="Verdana"/>
          <w:b/>
        </w:rPr>
        <w:tab/>
        <w:t>Background of this report</w:t>
      </w:r>
    </w:p>
    <w:p w:rsidR="004F2485" w:rsidRPr="00921B12" w:rsidRDefault="004F2485" w:rsidP="004F2485">
      <w:pPr>
        <w:rPr>
          <w:rFonts w:ascii="Verdana" w:hAnsi="Verdana"/>
        </w:rPr>
      </w:pPr>
      <w:r w:rsidRPr="00921B12">
        <w:rPr>
          <w:rFonts w:ascii="Verdana" w:hAnsi="Verdana"/>
          <w:lang w:eastAsia="ja-JP"/>
        </w:rPr>
        <w:t xml:space="preserve">Following the decisions of </w:t>
      </w:r>
      <w:r w:rsidRPr="00921B12">
        <w:rPr>
          <w:rFonts w:ascii="Verdana" w:hAnsi="Verdana"/>
        </w:rPr>
        <w:t xml:space="preserve">the </w:t>
      </w:r>
      <w:r w:rsidRPr="00921B12">
        <w:rPr>
          <w:rFonts w:ascii="Verdana" w:hAnsi="Verdana"/>
          <w:lang w:eastAsia="ja-JP"/>
        </w:rPr>
        <w:t>sixteenth</w:t>
      </w:r>
      <w:r w:rsidRPr="00921B12">
        <w:rPr>
          <w:rFonts w:ascii="Verdana" w:hAnsi="Verdana"/>
        </w:rPr>
        <w:t xml:space="preserve"> session of Regional Association II (</w:t>
      </w:r>
      <w:r w:rsidRPr="00921B12">
        <w:rPr>
          <w:rFonts w:ascii="Verdana" w:hAnsi="Verdana"/>
          <w:lang w:eastAsia="ja-JP"/>
        </w:rPr>
        <w:t>Abu Dhabi</w:t>
      </w:r>
      <w:r w:rsidRPr="00921B12">
        <w:rPr>
          <w:rFonts w:ascii="Verdana" w:hAnsi="Verdana"/>
        </w:rPr>
        <w:t xml:space="preserve">, </w:t>
      </w:r>
      <w:r w:rsidRPr="00921B12">
        <w:rPr>
          <w:rFonts w:ascii="Verdana" w:hAnsi="Verdana"/>
          <w:lang w:eastAsia="ja-JP"/>
        </w:rPr>
        <w:t>February</w:t>
      </w:r>
      <w:r w:rsidRPr="00921B12">
        <w:rPr>
          <w:rFonts w:ascii="Verdana" w:hAnsi="Verdana"/>
        </w:rPr>
        <w:t xml:space="preserve"> </w:t>
      </w:r>
      <w:r w:rsidRPr="00921B12">
        <w:rPr>
          <w:rFonts w:ascii="Verdana" w:hAnsi="Verdana"/>
          <w:lang w:eastAsia="ja-JP"/>
        </w:rPr>
        <w:t>12</w:t>
      </w:r>
      <w:r w:rsidRPr="00921B12">
        <w:rPr>
          <w:rFonts w:ascii="Verdana" w:hAnsi="Verdana"/>
        </w:rPr>
        <w:t>-</w:t>
      </w:r>
      <w:r w:rsidRPr="00921B12">
        <w:rPr>
          <w:rFonts w:ascii="Verdana" w:hAnsi="Verdana"/>
          <w:lang w:eastAsia="ja-JP"/>
        </w:rPr>
        <w:t>16</w:t>
      </w:r>
      <w:r w:rsidRPr="00921B12">
        <w:rPr>
          <w:rFonts w:ascii="Verdana" w:hAnsi="Verdana"/>
        </w:rPr>
        <w:t>, 20</w:t>
      </w:r>
      <w:r w:rsidRPr="00921B12">
        <w:rPr>
          <w:rFonts w:ascii="Verdana" w:hAnsi="Verdana"/>
          <w:lang w:eastAsia="ja-JP"/>
        </w:rPr>
        <w:t>17</w:t>
      </w:r>
      <w:r w:rsidRPr="00921B12">
        <w:rPr>
          <w:rFonts w:ascii="Verdana" w:hAnsi="Verdana"/>
        </w:rPr>
        <w:t>)</w:t>
      </w:r>
      <w:r w:rsidRPr="00921B12">
        <w:rPr>
          <w:rFonts w:ascii="Verdana" w:hAnsi="Verdana"/>
          <w:lang w:eastAsia="ja-JP"/>
        </w:rPr>
        <w:t>, the Management Group defined working structures and the terms of reference of Working Groups and Leaders. The Leader in Data Representation and Metadata, appointed under the Working Group on WMO Integrated Global Observing System (WIGOS) and WMO Information System (WIS) (WG-WIGOS/WIS), is responsible for:</w:t>
      </w:r>
    </w:p>
    <w:p w:rsidR="004F2485" w:rsidRPr="00921B12" w:rsidRDefault="004F2485" w:rsidP="004F2485">
      <w:pPr>
        <w:ind w:leftChars="200" w:left="770" w:hangingChars="150" w:hanging="330"/>
        <w:rPr>
          <w:rFonts w:ascii="Verdana" w:hAnsi="Verdana"/>
          <w:i/>
          <w:lang w:eastAsia="ja-JP"/>
        </w:rPr>
      </w:pPr>
      <w:r w:rsidRPr="00921B12">
        <w:rPr>
          <w:rFonts w:ascii="Verdana" w:hAnsi="Verdana"/>
          <w:i/>
          <w:lang w:eastAsia="ja-JP"/>
        </w:rPr>
        <w:t>(a)</w:t>
      </w:r>
      <w:r w:rsidRPr="00921B12">
        <w:rPr>
          <w:rFonts w:ascii="Verdana" w:hAnsi="Verdana"/>
          <w:i/>
          <w:lang w:eastAsia="ja-JP"/>
        </w:rPr>
        <w:tab/>
        <w:t>Keeping under review inter-programme data representation matters, including migration to Table Driven Code Forms and regional codes, and make recommendations.</w:t>
      </w:r>
    </w:p>
    <w:p w:rsidR="004F2485" w:rsidRPr="00921B12" w:rsidRDefault="004F2485" w:rsidP="004F2485">
      <w:pPr>
        <w:ind w:leftChars="200" w:left="770" w:hangingChars="150" w:hanging="330"/>
        <w:rPr>
          <w:rFonts w:ascii="Verdana" w:hAnsi="Verdana"/>
          <w:i/>
          <w:lang w:eastAsia="ja-JP"/>
        </w:rPr>
      </w:pPr>
      <w:r w:rsidRPr="00921B12">
        <w:rPr>
          <w:rFonts w:ascii="Verdana" w:hAnsi="Verdana"/>
          <w:i/>
          <w:lang w:eastAsia="ja-JP"/>
        </w:rPr>
        <w:t>(b)</w:t>
      </w:r>
      <w:r w:rsidRPr="00921B12">
        <w:rPr>
          <w:rFonts w:ascii="Verdana" w:hAnsi="Verdana"/>
          <w:i/>
          <w:lang w:eastAsia="ja-JP"/>
        </w:rPr>
        <w:tab/>
        <w:t>Keeping under review the status of implementation of the WIS DAR metadata catalogue and migration from WMO Catalogue of Meteorological Bulletins (Volume C1) to DAR metadata.</w:t>
      </w:r>
    </w:p>
    <w:p w:rsidR="004F2485" w:rsidRPr="00921B12" w:rsidRDefault="004F2485" w:rsidP="004F2485">
      <w:pPr>
        <w:rPr>
          <w:rFonts w:ascii="Verdana" w:hAnsi="Verdana"/>
          <w:lang w:eastAsia="ja-JP"/>
        </w:rPr>
      </w:pPr>
      <w:r w:rsidRPr="00921B12">
        <w:rPr>
          <w:rFonts w:ascii="Verdana" w:hAnsi="Verdana"/>
        </w:rPr>
        <w:t xml:space="preserve">In accordance with this mandate, the leader monitors and gives technical assistance as well as conducts survey on migration status on a regular basis.  This document summarizes the </w:t>
      </w:r>
      <w:r w:rsidRPr="00921B12">
        <w:rPr>
          <w:rFonts w:ascii="Verdana" w:hAnsi="Verdana"/>
          <w:lang w:eastAsia="ja-JP"/>
        </w:rPr>
        <w:t xml:space="preserve">monitoring </w:t>
      </w:r>
      <w:r w:rsidRPr="00921B12">
        <w:rPr>
          <w:rFonts w:ascii="Verdana" w:hAnsi="Verdana"/>
        </w:rPr>
        <w:t xml:space="preserve">results of migration status of RA-II Members as of </w:t>
      </w:r>
      <w:r w:rsidRPr="00921B12">
        <w:rPr>
          <w:rFonts w:ascii="Verdana" w:hAnsi="Verdana"/>
          <w:lang w:eastAsia="ja-JP"/>
        </w:rPr>
        <w:t xml:space="preserve">April </w:t>
      </w:r>
      <w:r w:rsidRPr="00921B12">
        <w:rPr>
          <w:rFonts w:ascii="Verdana" w:hAnsi="Verdana"/>
        </w:rPr>
        <w:t>201</w:t>
      </w:r>
      <w:r w:rsidRPr="00921B12">
        <w:rPr>
          <w:rFonts w:ascii="Verdana" w:hAnsi="Verdana"/>
          <w:lang w:eastAsia="ja-JP"/>
        </w:rPr>
        <w:t>8</w:t>
      </w:r>
      <w:r w:rsidRPr="00921B12">
        <w:rPr>
          <w:rFonts w:ascii="Verdana" w:hAnsi="Verdana"/>
        </w:rPr>
        <w:t xml:space="preserve"> and related activities by RA-II Members during the period between </w:t>
      </w:r>
      <w:r w:rsidRPr="00921B12">
        <w:rPr>
          <w:rFonts w:ascii="Verdana" w:hAnsi="Verdana"/>
          <w:lang w:eastAsia="ja-JP"/>
        </w:rPr>
        <w:t>July</w:t>
      </w:r>
      <w:r w:rsidRPr="00921B12">
        <w:rPr>
          <w:rFonts w:ascii="Verdana" w:hAnsi="Verdana"/>
        </w:rPr>
        <w:t xml:space="preserve"> 201</w:t>
      </w:r>
      <w:r w:rsidRPr="00921B12">
        <w:rPr>
          <w:rFonts w:ascii="Verdana" w:hAnsi="Verdana"/>
          <w:lang w:eastAsia="ja-JP"/>
        </w:rPr>
        <w:t>7</w:t>
      </w:r>
      <w:r w:rsidRPr="00921B12">
        <w:rPr>
          <w:rFonts w:ascii="Verdana" w:hAnsi="Verdana"/>
        </w:rPr>
        <w:t xml:space="preserve"> and </w:t>
      </w:r>
      <w:r w:rsidRPr="00921B12">
        <w:rPr>
          <w:rFonts w:ascii="Verdana" w:hAnsi="Verdana"/>
          <w:lang w:eastAsia="ja-JP"/>
        </w:rPr>
        <w:t>May</w:t>
      </w:r>
      <w:r w:rsidRPr="00921B12">
        <w:rPr>
          <w:rFonts w:ascii="Verdana" w:hAnsi="Verdana"/>
        </w:rPr>
        <w:t xml:space="preserve"> 201</w:t>
      </w:r>
      <w:r w:rsidRPr="00921B12">
        <w:rPr>
          <w:rFonts w:ascii="Verdana" w:hAnsi="Verdana"/>
          <w:lang w:eastAsia="ja-JP"/>
        </w:rPr>
        <w:t>8</w:t>
      </w:r>
      <w:r w:rsidRPr="00921B12">
        <w:rPr>
          <w:rFonts w:ascii="Verdana" w:hAnsi="Verdana"/>
        </w:rPr>
        <w:t>.</w:t>
      </w:r>
    </w:p>
    <w:p w:rsidR="004F2485" w:rsidRPr="00921B12" w:rsidRDefault="004F2485" w:rsidP="004F2485">
      <w:pPr>
        <w:rPr>
          <w:rFonts w:ascii="Verdana" w:hAnsi="Verdana"/>
          <w:lang w:eastAsia="ja-JP"/>
        </w:rPr>
      </w:pPr>
    </w:p>
    <w:p w:rsidR="004F2485" w:rsidRPr="00921B12" w:rsidRDefault="004F2485" w:rsidP="004F2485">
      <w:pPr>
        <w:spacing w:beforeLines="50" w:before="163"/>
        <w:rPr>
          <w:rFonts w:ascii="Verdana" w:hAnsi="Verdana"/>
          <w:b/>
          <w:lang w:eastAsia="ja-JP"/>
        </w:rPr>
      </w:pPr>
      <w:r w:rsidRPr="00921B12">
        <w:rPr>
          <w:rFonts w:ascii="Verdana" w:hAnsi="Verdana"/>
          <w:b/>
          <w:lang w:eastAsia="ja-JP"/>
        </w:rPr>
        <w:t>2</w:t>
      </w:r>
      <w:r w:rsidRPr="00921B12">
        <w:rPr>
          <w:rFonts w:ascii="Verdana" w:hAnsi="Verdana"/>
          <w:b/>
          <w:lang w:eastAsia="ja-JP"/>
        </w:rPr>
        <w:tab/>
        <w:t>RA-II Member activities related to TDCF</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Several activities related to TDCF were reported by RA-II Members since the last meeting in July 2017:</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2.1</w:t>
      </w:r>
      <w:r w:rsidRPr="00921B12">
        <w:rPr>
          <w:rFonts w:ascii="Verdana" w:hAnsi="Verdana"/>
          <w:bCs/>
          <w:lang w:eastAsia="ja-JP"/>
        </w:rPr>
        <w:tab/>
      </w:r>
      <w:r w:rsidRPr="00921B12">
        <w:rPr>
          <w:rFonts w:ascii="Verdana" w:hAnsi="Verdana"/>
          <w:bCs/>
          <w:i/>
          <w:lang w:eastAsia="ja-JP"/>
        </w:rPr>
        <w:t>Hong Kong</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 xml:space="preserve">Hong Kong started dissemination of </w:t>
      </w:r>
      <w:r w:rsidR="00A20AF2">
        <w:rPr>
          <w:rFonts w:ascii="Verdana" w:hAnsi="Verdana" w:hint="eastAsia"/>
          <w:bCs/>
          <w:lang w:eastAsia="ja-JP"/>
        </w:rPr>
        <w:t>d</w:t>
      </w:r>
      <w:r w:rsidR="00A20AF2" w:rsidRPr="00921B12">
        <w:rPr>
          <w:rFonts w:ascii="Verdana" w:hAnsi="Verdana"/>
          <w:bCs/>
          <w:lang w:eastAsia="ja-JP"/>
        </w:rPr>
        <w:t xml:space="preserve">ropsonde </w:t>
      </w:r>
      <w:r w:rsidRPr="00921B12">
        <w:rPr>
          <w:rFonts w:ascii="Verdana" w:hAnsi="Verdana"/>
          <w:bCs/>
          <w:lang w:eastAsia="ja-JP"/>
        </w:rPr>
        <w:t xml:space="preserve">observation data in BUFR format in October 2017 with GTS headings of IUDC[01-10] VHHH (when available). They also started to disseminate </w:t>
      </w:r>
      <w:r w:rsidR="00A20AF2">
        <w:rPr>
          <w:rFonts w:ascii="Verdana" w:hAnsi="Verdana" w:hint="eastAsia"/>
          <w:bCs/>
          <w:lang w:eastAsia="ja-JP"/>
        </w:rPr>
        <w:t>h</w:t>
      </w:r>
      <w:r w:rsidR="00A20AF2" w:rsidRPr="00921B12">
        <w:rPr>
          <w:rFonts w:ascii="Verdana" w:hAnsi="Verdana"/>
          <w:bCs/>
          <w:lang w:eastAsia="ja-JP"/>
        </w:rPr>
        <w:t>igh</w:t>
      </w:r>
      <w:r w:rsidR="00A20AF2">
        <w:rPr>
          <w:rFonts w:ascii="Verdana" w:hAnsi="Verdana" w:hint="eastAsia"/>
          <w:bCs/>
          <w:lang w:eastAsia="ja-JP"/>
        </w:rPr>
        <w:t>-</w:t>
      </w:r>
      <w:r w:rsidRPr="00921B12">
        <w:rPr>
          <w:rFonts w:ascii="Verdana" w:hAnsi="Verdana"/>
          <w:bCs/>
          <w:lang w:eastAsia="ja-JP"/>
        </w:rPr>
        <w:t>resolution radiosonde data in December 2017 with GTS heading IUSC02 VHHH (00 and 12 UTC).</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2.</w:t>
      </w:r>
      <w:r w:rsidR="00A20AF2">
        <w:rPr>
          <w:rFonts w:ascii="Verdana" w:hAnsi="Verdana" w:hint="eastAsia"/>
          <w:bCs/>
          <w:lang w:eastAsia="ja-JP"/>
        </w:rPr>
        <w:t>2</w:t>
      </w:r>
      <w:r w:rsidRPr="00921B12">
        <w:rPr>
          <w:rFonts w:ascii="Verdana" w:hAnsi="Verdana"/>
          <w:bCs/>
          <w:lang w:eastAsia="ja-JP"/>
        </w:rPr>
        <w:tab/>
      </w:r>
      <w:r w:rsidRPr="00921B12">
        <w:rPr>
          <w:rFonts w:ascii="Verdana" w:hAnsi="Verdana"/>
          <w:bCs/>
          <w:i/>
          <w:lang w:eastAsia="ja-JP"/>
        </w:rPr>
        <w:t>Republic of Korea</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Republic of Korea started dissemination of VOS (Voluntary Observing Ships) data in BUFR format in December 2017 with GTS headings of ISSX[01-02] RKSL</w:t>
      </w:r>
      <w:r w:rsidR="00A20AF2">
        <w:rPr>
          <w:rFonts w:ascii="Verdana" w:hAnsi="Verdana" w:hint="eastAsia"/>
          <w:bCs/>
          <w:lang w:eastAsia="ja-JP"/>
        </w:rPr>
        <w:t xml:space="preserve"> </w:t>
      </w:r>
      <w:r w:rsidRPr="00921B12">
        <w:rPr>
          <w:rFonts w:ascii="Verdana" w:hAnsi="Verdana"/>
          <w:bCs/>
          <w:lang w:eastAsia="ja-JP"/>
        </w:rPr>
        <w:t>(manual), ISSX[11-12] RKSL</w:t>
      </w:r>
      <w:r w:rsidR="00A20AF2">
        <w:rPr>
          <w:rFonts w:ascii="Verdana" w:hAnsi="Verdana" w:hint="eastAsia"/>
          <w:bCs/>
          <w:lang w:eastAsia="ja-JP"/>
        </w:rPr>
        <w:t xml:space="preserve"> </w:t>
      </w:r>
      <w:r w:rsidRPr="00921B12">
        <w:rPr>
          <w:rFonts w:ascii="Verdana" w:hAnsi="Verdana"/>
          <w:bCs/>
          <w:lang w:eastAsia="ja-JP"/>
        </w:rPr>
        <w:t>(automatic).</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2.</w:t>
      </w:r>
      <w:r w:rsidR="00A20AF2">
        <w:rPr>
          <w:rFonts w:ascii="Verdana" w:hAnsi="Verdana" w:hint="eastAsia"/>
          <w:bCs/>
          <w:lang w:eastAsia="ja-JP"/>
        </w:rPr>
        <w:t>3</w:t>
      </w:r>
      <w:r w:rsidRPr="00921B12">
        <w:rPr>
          <w:rFonts w:ascii="Verdana" w:hAnsi="Verdana"/>
          <w:bCs/>
          <w:lang w:eastAsia="ja-JP"/>
        </w:rPr>
        <w:tab/>
      </w:r>
      <w:r w:rsidRPr="00921B12">
        <w:rPr>
          <w:rFonts w:ascii="Verdana" w:hAnsi="Verdana"/>
          <w:bCs/>
          <w:i/>
          <w:lang w:eastAsia="ja-JP"/>
        </w:rPr>
        <w:t>Vietnam</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Vietnam started dissemination of TEMP and PILOT data in BUFR format in February 2018 with GTS headings of IUSC01 VNNN (00 and 12 UTC), IUJC01 VNNN (00 UTC).</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2.</w:t>
      </w:r>
      <w:r w:rsidR="00A20AF2">
        <w:rPr>
          <w:rFonts w:ascii="Verdana" w:hAnsi="Verdana" w:hint="eastAsia"/>
          <w:bCs/>
          <w:lang w:eastAsia="ja-JP"/>
        </w:rPr>
        <w:t>4</w:t>
      </w:r>
      <w:r w:rsidRPr="00921B12">
        <w:rPr>
          <w:rFonts w:ascii="Verdana" w:hAnsi="Verdana"/>
          <w:bCs/>
          <w:lang w:eastAsia="ja-JP"/>
        </w:rPr>
        <w:tab/>
      </w:r>
      <w:r w:rsidRPr="00921B12">
        <w:rPr>
          <w:rFonts w:ascii="Verdana" w:hAnsi="Verdana"/>
          <w:bCs/>
          <w:i/>
          <w:lang w:eastAsia="ja-JP"/>
        </w:rPr>
        <w:t>Kazakhstan</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Kazakhstan started SYNOP data in BUFR format in April 2018 with GTS headings of ISID[20, 30, 31] UAST (03, 09, 15, 21 UTC) and ISMD[01, 20, 21] UAST (00, 06, 12, 18 UTC).</w:t>
      </w:r>
    </w:p>
    <w:p w:rsidR="004F2485" w:rsidRPr="00921B12" w:rsidRDefault="004F2485" w:rsidP="004F2485">
      <w:pPr>
        <w:spacing w:afterLines="50" w:after="163"/>
        <w:jc w:val="both"/>
        <w:rPr>
          <w:rFonts w:ascii="Verdana" w:hAnsi="Verdana"/>
          <w:bCs/>
          <w:i/>
          <w:lang w:eastAsia="ja-JP"/>
        </w:rPr>
      </w:pPr>
      <w:r w:rsidRPr="00921B12">
        <w:rPr>
          <w:rFonts w:ascii="Verdana" w:hAnsi="Verdana"/>
          <w:bCs/>
          <w:lang w:eastAsia="ja-JP"/>
        </w:rPr>
        <w:lastRenderedPageBreak/>
        <w:t>2.</w:t>
      </w:r>
      <w:r w:rsidR="00A20AF2">
        <w:rPr>
          <w:rFonts w:ascii="Verdana" w:hAnsi="Verdana" w:hint="eastAsia"/>
          <w:bCs/>
          <w:lang w:eastAsia="ja-JP"/>
        </w:rPr>
        <w:t>5</w:t>
      </w:r>
      <w:r w:rsidRPr="00921B12">
        <w:rPr>
          <w:rFonts w:ascii="Verdana" w:hAnsi="Verdana"/>
          <w:bCs/>
          <w:lang w:eastAsia="ja-JP"/>
        </w:rPr>
        <w:tab/>
      </w:r>
      <w:r w:rsidRPr="00921B12">
        <w:rPr>
          <w:rFonts w:ascii="Verdana" w:hAnsi="Verdana"/>
          <w:bCs/>
          <w:i/>
          <w:lang w:eastAsia="ja-JP"/>
        </w:rPr>
        <w:t>Japan</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Japan ceased drifting buoy data in the old format with GTS headings of IOB[A-D,I-L]0[1-3] RJTD in April 2018. Japan will start dissemination of high resolution native upper-air data in BUFR format in a few months, replacing BUFR reports converted from TEMP. GTS headings are as follows:</w:t>
      </w:r>
    </w:p>
    <w:tbl>
      <w:tblPr>
        <w:tblStyle w:val="TableGrid"/>
        <w:tblW w:w="0" w:type="auto"/>
        <w:tblInd w:w="421" w:type="dxa"/>
        <w:tblLook w:val="04A0" w:firstRow="1" w:lastRow="0" w:firstColumn="1" w:lastColumn="0" w:noHBand="0" w:noVBand="1"/>
      </w:tblPr>
      <w:tblGrid>
        <w:gridCol w:w="1602"/>
        <w:gridCol w:w="1047"/>
        <w:gridCol w:w="1139"/>
        <w:gridCol w:w="2658"/>
      </w:tblGrid>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proofErr w:type="spellStart"/>
            <w:r w:rsidRPr="00921B12">
              <w:rPr>
                <w:rFonts w:ascii="Verdana" w:hAnsi="Verdana" w:cs="Arial"/>
                <w:snapToGrid/>
                <w:lang w:eastAsia="ja-JP"/>
              </w:rPr>
              <w:t>TTAAii</w:t>
            </w:r>
            <w:proofErr w:type="spellEnd"/>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CCCC</w:t>
            </w:r>
          </w:p>
        </w:tc>
        <w:tc>
          <w:tcPr>
            <w:tcW w:w="3797" w:type="dxa"/>
            <w:gridSpan w:val="2"/>
            <w:tcBorders>
              <w:bottom w:val="single" w:sz="4" w:space="0" w:color="auto"/>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WMO Station Index Number</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IU[K,S]C60</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47401</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(WAKKANAI)</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IU[K,S]C61</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47412</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(SAPPORO)</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IU[K,S]C62</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47418</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(KUSHIRO)</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IU[K,S]C63</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47582</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(AKITA)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IU[K,S]C64</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47600</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(WAJIMA)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IU[K,S]C65</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47646</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(TATENO)</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IU[K,S]C66</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47678</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(HACHIJOJIMA)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IU[K,S]C67</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47741</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(MATSUE)</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IU[K,S]C68</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47778</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(SHIONOMISAKI)</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IU[K,S]C69</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47807</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(FUKUOKA)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IU[K,S]C70</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47827</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(KAGOSHIMA)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IU[K,S]C71</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47909</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(NAZE/FUNCHATOGE)</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IU[K,S]C72</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47918</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(ISHIGAKIJIMA)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IU[K,S]C73</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47945</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(MINAMIDAITOJIMA)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IU[K,S]C74</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47971</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(CHICHIJIMA)</w:t>
            </w:r>
          </w:p>
        </w:tc>
      </w:tr>
      <w:tr w:rsidR="004F2485" w:rsidRPr="00921B12" w:rsidTr="004F2485">
        <w:tc>
          <w:tcPr>
            <w:tcW w:w="1506"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sz w:val="24"/>
                <w:szCs w:val="24"/>
                <w:lang w:eastAsia="ja-JP"/>
              </w:rPr>
              <w:t>IU[K,S]C75</w:t>
            </w:r>
          </w:p>
        </w:tc>
        <w:tc>
          <w:tcPr>
            <w:tcW w:w="1047" w:type="dxa"/>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RJTD</w:t>
            </w:r>
          </w:p>
        </w:tc>
        <w:tc>
          <w:tcPr>
            <w:tcW w:w="1139" w:type="dxa"/>
            <w:tcBorders>
              <w:righ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47991</w:t>
            </w:r>
          </w:p>
        </w:tc>
        <w:tc>
          <w:tcPr>
            <w:tcW w:w="2658" w:type="dxa"/>
            <w:tcBorders>
              <w:left w:val="nil"/>
            </w:tcBorders>
          </w:tcPr>
          <w:p w:rsidR="004F2485" w:rsidRPr="00921B12" w:rsidRDefault="004F2485" w:rsidP="007C2E02">
            <w:pPr>
              <w:widowControl w:val="0"/>
              <w:jc w:val="both"/>
              <w:rPr>
                <w:rFonts w:ascii="Verdana" w:hAnsi="Verdana" w:cs="Arial"/>
                <w:snapToGrid/>
                <w:lang w:eastAsia="ja-JP"/>
              </w:rPr>
            </w:pPr>
            <w:r w:rsidRPr="00921B12">
              <w:rPr>
                <w:rFonts w:ascii="Verdana" w:hAnsi="Verdana" w:cs="Arial"/>
                <w:snapToGrid/>
                <w:lang w:eastAsia="ja-JP"/>
              </w:rPr>
              <w:t>(MINAMITORISHIMA)</w:t>
            </w:r>
          </w:p>
        </w:tc>
      </w:tr>
    </w:tbl>
    <w:p w:rsidR="004F2485" w:rsidRPr="00921B12" w:rsidRDefault="004F2485" w:rsidP="004F2485">
      <w:pPr>
        <w:spacing w:afterLines="50" w:after="163"/>
        <w:jc w:val="both"/>
        <w:rPr>
          <w:rFonts w:ascii="Verdana" w:hAnsi="Verdana"/>
          <w:bCs/>
          <w:highlight w:val="yellow"/>
          <w:lang w:eastAsia="ja-JP"/>
        </w:rPr>
      </w:pPr>
    </w:p>
    <w:p w:rsidR="00A20AF2" w:rsidRPr="00921B12" w:rsidRDefault="00A20AF2" w:rsidP="00A20AF2">
      <w:pPr>
        <w:spacing w:afterLines="50" w:after="163"/>
        <w:jc w:val="both"/>
        <w:rPr>
          <w:rFonts w:ascii="Verdana" w:hAnsi="Verdana"/>
          <w:bCs/>
          <w:i/>
          <w:lang w:eastAsia="ja-JP"/>
        </w:rPr>
      </w:pPr>
      <w:r w:rsidRPr="00921B12">
        <w:rPr>
          <w:rFonts w:ascii="Verdana" w:hAnsi="Verdana"/>
          <w:bCs/>
          <w:lang w:eastAsia="ja-JP"/>
        </w:rPr>
        <w:t>2.6</w:t>
      </w:r>
      <w:r w:rsidRPr="00921B12">
        <w:rPr>
          <w:rFonts w:ascii="Verdana" w:hAnsi="Verdana"/>
          <w:bCs/>
          <w:lang w:eastAsia="ja-JP"/>
        </w:rPr>
        <w:tab/>
      </w:r>
      <w:r>
        <w:rPr>
          <w:rFonts w:ascii="Verdana" w:hAnsi="Verdana" w:hint="eastAsia"/>
          <w:bCs/>
          <w:i/>
          <w:lang w:eastAsia="ja-JP"/>
        </w:rPr>
        <w:t>New satellite products (out of scope of TDCF migration)</w:t>
      </w:r>
    </w:p>
    <w:p w:rsidR="004F2485" w:rsidRDefault="00A20AF2" w:rsidP="00A20AF2">
      <w:pPr>
        <w:spacing w:afterLines="50" w:after="163"/>
        <w:jc w:val="both"/>
        <w:rPr>
          <w:rFonts w:ascii="Verdana" w:hAnsi="Verdana"/>
          <w:bCs/>
          <w:lang w:eastAsia="ja-JP"/>
        </w:rPr>
      </w:pPr>
      <w:r w:rsidRPr="00921B12">
        <w:rPr>
          <w:rFonts w:ascii="Verdana" w:hAnsi="Verdana"/>
          <w:bCs/>
          <w:lang w:eastAsia="ja-JP"/>
        </w:rPr>
        <w:t>India began to disseminat</w:t>
      </w:r>
      <w:r>
        <w:rPr>
          <w:rFonts w:ascii="Verdana" w:hAnsi="Verdana" w:hint="eastAsia"/>
          <w:bCs/>
          <w:lang w:eastAsia="ja-JP"/>
        </w:rPr>
        <w:t>e</w:t>
      </w:r>
      <w:r w:rsidRPr="00921B12">
        <w:rPr>
          <w:rFonts w:ascii="Verdana" w:hAnsi="Verdana"/>
          <w:bCs/>
          <w:lang w:eastAsia="ja-JP"/>
        </w:rPr>
        <w:t xml:space="preserve"> </w:t>
      </w:r>
      <w:r w:rsidR="002A3944" w:rsidRPr="002A3944">
        <w:rPr>
          <w:rFonts w:ascii="Verdana" w:hAnsi="Verdana"/>
          <w:bCs/>
          <w:lang w:eastAsia="ja-JP"/>
        </w:rPr>
        <w:t>Radio Occultation Sounder of the Atmosphere</w:t>
      </w:r>
      <w:r w:rsidR="002A3944">
        <w:rPr>
          <w:rFonts w:ascii="Verdana" w:hAnsi="Verdana" w:hint="eastAsia"/>
          <w:bCs/>
          <w:lang w:eastAsia="ja-JP"/>
        </w:rPr>
        <w:t xml:space="preserve"> (ROSA) </w:t>
      </w:r>
      <w:r w:rsidR="00C77AB4">
        <w:rPr>
          <w:rFonts w:ascii="Verdana" w:hAnsi="Verdana" w:hint="eastAsia"/>
          <w:bCs/>
          <w:lang w:eastAsia="ja-JP"/>
        </w:rPr>
        <w:t>data</w:t>
      </w:r>
      <w:r w:rsidR="002A3944">
        <w:rPr>
          <w:rFonts w:ascii="Verdana" w:hAnsi="Verdana" w:hint="eastAsia"/>
          <w:bCs/>
          <w:lang w:eastAsia="ja-JP"/>
        </w:rPr>
        <w:t xml:space="preserve"> in BUFR format </w:t>
      </w:r>
      <w:r w:rsidRPr="00921B12">
        <w:rPr>
          <w:rFonts w:ascii="Verdana" w:hAnsi="Verdana"/>
          <w:bCs/>
          <w:lang w:eastAsia="ja-JP"/>
        </w:rPr>
        <w:t xml:space="preserve">in October 2017, </w:t>
      </w:r>
      <w:r>
        <w:rPr>
          <w:rFonts w:ascii="Verdana" w:hAnsi="Verdana" w:hint="eastAsia"/>
          <w:bCs/>
          <w:lang w:eastAsia="ja-JP"/>
        </w:rPr>
        <w:t xml:space="preserve">with </w:t>
      </w:r>
      <w:r w:rsidRPr="00921B12">
        <w:rPr>
          <w:rFonts w:ascii="Verdana" w:hAnsi="Verdana"/>
          <w:bCs/>
          <w:lang w:eastAsia="ja-JP"/>
        </w:rPr>
        <w:t xml:space="preserve">the GTS headings </w:t>
      </w:r>
      <w:r>
        <w:rPr>
          <w:rFonts w:ascii="Verdana" w:hAnsi="Verdana" w:hint="eastAsia"/>
          <w:bCs/>
          <w:lang w:eastAsia="ja-JP"/>
        </w:rPr>
        <w:t>of</w:t>
      </w:r>
      <w:r w:rsidRPr="00921B12">
        <w:rPr>
          <w:rFonts w:ascii="Verdana" w:hAnsi="Verdana"/>
          <w:bCs/>
          <w:lang w:eastAsia="ja-JP"/>
        </w:rPr>
        <w:t xml:space="preserve"> IUT[A-L]14 DEMS.</w:t>
      </w:r>
      <w:r>
        <w:rPr>
          <w:rFonts w:ascii="Verdana" w:hAnsi="Verdana" w:hint="eastAsia"/>
          <w:bCs/>
          <w:lang w:eastAsia="ja-JP"/>
        </w:rPr>
        <w:t xml:space="preserve"> </w:t>
      </w:r>
      <w:r w:rsidRPr="00A20AF2">
        <w:rPr>
          <w:rFonts w:ascii="Verdana" w:hAnsi="Verdana"/>
          <w:bCs/>
          <w:lang w:eastAsia="ja-JP"/>
        </w:rPr>
        <w:t>Republic of Korea</w:t>
      </w:r>
      <w:r w:rsidRPr="00921B12">
        <w:rPr>
          <w:rFonts w:ascii="Verdana" w:hAnsi="Verdana"/>
          <w:bCs/>
          <w:lang w:eastAsia="ja-JP"/>
        </w:rPr>
        <w:t xml:space="preserve"> started dissemination of Clear Sky Radiance </w:t>
      </w:r>
      <w:r>
        <w:rPr>
          <w:rFonts w:ascii="Verdana" w:hAnsi="Verdana" w:hint="eastAsia"/>
          <w:bCs/>
          <w:lang w:eastAsia="ja-JP"/>
        </w:rPr>
        <w:t xml:space="preserve">(CSR) </w:t>
      </w:r>
      <w:r w:rsidRPr="00921B12">
        <w:rPr>
          <w:rFonts w:ascii="Verdana" w:hAnsi="Verdana"/>
          <w:bCs/>
          <w:lang w:eastAsia="ja-JP"/>
        </w:rPr>
        <w:t>data in BUFR format in March 2018 with GTS heading of IURX01 RKSL (</w:t>
      </w:r>
      <w:r>
        <w:rPr>
          <w:rFonts w:ascii="Verdana" w:hAnsi="Verdana" w:hint="eastAsia"/>
          <w:bCs/>
          <w:lang w:eastAsia="ja-JP"/>
        </w:rPr>
        <w:t>h</w:t>
      </w:r>
      <w:r w:rsidRPr="00921B12">
        <w:rPr>
          <w:rFonts w:ascii="Verdana" w:hAnsi="Verdana"/>
          <w:bCs/>
          <w:lang w:eastAsia="ja-JP"/>
        </w:rPr>
        <w:t>ourly).</w:t>
      </w:r>
    </w:p>
    <w:p w:rsidR="004F2485" w:rsidRPr="00921B12" w:rsidRDefault="004F2485" w:rsidP="004F2485">
      <w:pPr>
        <w:rPr>
          <w:rFonts w:ascii="Verdana" w:hAnsi="Verdana"/>
          <w:b/>
          <w:lang w:eastAsia="ja-JP"/>
        </w:rPr>
      </w:pPr>
      <w:r w:rsidRPr="00921B12">
        <w:rPr>
          <w:rFonts w:ascii="Verdana" w:hAnsi="Verdana"/>
          <w:b/>
          <w:lang w:eastAsia="ja-JP"/>
        </w:rPr>
        <w:t>3</w:t>
      </w:r>
      <w:r w:rsidRPr="00921B12">
        <w:rPr>
          <w:rFonts w:ascii="Verdana" w:hAnsi="Verdana"/>
          <w:b/>
        </w:rPr>
        <w:tab/>
        <w:t>Monitoring and Analysis of Migration Status</w:t>
      </w:r>
    </w:p>
    <w:p w:rsidR="004F2485" w:rsidRPr="00921B12" w:rsidRDefault="004F2485" w:rsidP="004F2485">
      <w:pPr>
        <w:jc w:val="both"/>
        <w:rPr>
          <w:rFonts w:ascii="Verdana" w:hAnsi="Verdana"/>
          <w:bCs/>
          <w:u w:val="single"/>
          <w:lang w:eastAsia="ja-JP"/>
        </w:rPr>
      </w:pPr>
      <w:r w:rsidRPr="00921B12">
        <w:rPr>
          <w:rFonts w:ascii="Verdana" w:hAnsi="Verdana"/>
          <w:bCs/>
          <w:u w:val="single"/>
          <w:lang w:eastAsia="ja-JP"/>
        </w:rPr>
        <w:t>3.1</w:t>
      </w:r>
      <w:r w:rsidRPr="00921B12">
        <w:rPr>
          <w:rFonts w:ascii="Verdana" w:hAnsi="Verdana"/>
          <w:bCs/>
          <w:u w:val="single"/>
          <w:lang w:eastAsia="ja-JP"/>
        </w:rPr>
        <w:tab/>
        <w:t>Monitoring method</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Statistics were collected for the monitoring period (January, April, July and October 1 through 15). Resources were derived from the results of Special MTN Monitoring (SMM) pre-analysis and Integrated WWW Monitoring (IWM) created by WMC Melbourne/RTH Tokyo and from the latest version of the surface and upper-air station list of Regional Basic Synoptic Networks (RBSN) at the time of analysis.</w:t>
      </w:r>
    </w:p>
    <w:p w:rsidR="004F2485" w:rsidRPr="00921B12" w:rsidRDefault="004F2485" w:rsidP="004F2485">
      <w:pPr>
        <w:spacing w:afterLines="50" w:after="163"/>
        <w:jc w:val="both"/>
        <w:rPr>
          <w:rFonts w:ascii="Verdana" w:hAnsi="Verdana"/>
          <w:bCs/>
          <w:lang w:eastAsia="ja-JP"/>
        </w:rPr>
      </w:pPr>
      <w:r w:rsidRPr="00921B12">
        <w:rPr>
          <w:rFonts w:ascii="Verdana" w:hAnsi="Verdana"/>
          <w:bCs/>
          <w:lang w:eastAsia="ja-JP"/>
        </w:rPr>
        <w:t>In addition to WWW monitoring, the status of TDCF data communication is also monitored based on a catalogue created by GISC Tokyo (available at http://www.wis-jma.go.jp/csv/catalog.csv).</w:t>
      </w:r>
    </w:p>
    <w:p w:rsidR="004F2485" w:rsidRPr="00921B12" w:rsidRDefault="004F2485" w:rsidP="004F2485">
      <w:pPr>
        <w:jc w:val="both"/>
        <w:rPr>
          <w:rFonts w:ascii="Verdana" w:hAnsi="Verdana"/>
          <w:bCs/>
          <w:u w:val="single"/>
          <w:lang w:eastAsia="ja-JP"/>
        </w:rPr>
      </w:pPr>
      <w:r w:rsidRPr="00921B12">
        <w:rPr>
          <w:rFonts w:ascii="Verdana" w:hAnsi="Verdana"/>
          <w:bCs/>
          <w:u w:val="single"/>
          <w:lang w:eastAsia="ja-JP"/>
        </w:rPr>
        <w:t>3.2</w:t>
      </w:r>
      <w:r w:rsidRPr="00921B12">
        <w:rPr>
          <w:rFonts w:ascii="Verdana" w:hAnsi="Verdana"/>
          <w:bCs/>
          <w:u w:val="single"/>
          <w:lang w:eastAsia="ja-JP"/>
        </w:rPr>
        <w:tab/>
        <w:t>Migration progress and status</w:t>
      </w:r>
    </w:p>
    <w:p w:rsidR="004F2485" w:rsidRPr="00921B12" w:rsidRDefault="004F2485" w:rsidP="004F2485">
      <w:pPr>
        <w:rPr>
          <w:rFonts w:ascii="Verdana" w:hAnsi="Verdana"/>
          <w:bCs/>
          <w:lang w:eastAsia="ja-JP"/>
        </w:rPr>
      </w:pPr>
      <w:r w:rsidRPr="00921B12">
        <w:rPr>
          <w:rFonts w:ascii="Verdana" w:hAnsi="Verdana"/>
          <w:bCs/>
          <w:lang w:eastAsia="ja-JP"/>
        </w:rPr>
        <w:t>(1) SYNOP, TEMP and PILOT reports</w:t>
      </w:r>
    </w:p>
    <w:p w:rsidR="004F2485" w:rsidRPr="00921B12" w:rsidRDefault="004F2485" w:rsidP="004F2485">
      <w:pPr>
        <w:spacing w:afterLines="50" w:after="163"/>
        <w:jc w:val="both"/>
        <w:rPr>
          <w:rFonts w:ascii="Verdana" w:hAnsi="Verdana"/>
          <w:bCs/>
          <w:lang w:val="en-US" w:eastAsia="ja-JP"/>
        </w:rPr>
      </w:pPr>
      <w:r w:rsidRPr="00921B12">
        <w:rPr>
          <w:rFonts w:ascii="Verdana" w:hAnsi="Verdana"/>
          <w:bCs/>
          <w:lang w:val="en-US" w:eastAsia="ja-JP"/>
        </w:rPr>
        <w:t xml:space="preserve">The figures below show numerical representations of the progress of stations issuing BUFR-format bulletins equivalent to SYNOP and TEMP reports over the past three </w:t>
      </w:r>
      <w:r w:rsidRPr="00921B12">
        <w:rPr>
          <w:rFonts w:ascii="Verdana" w:hAnsi="Verdana"/>
          <w:bCs/>
          <w:lang w:val="en-US" w:eastAsia="ja-JP"/>
        </w:rPr>
        <w:lastRenderedPageBreak/>
        <w:t>years. In the latest monitoring period from April 1 to 15, 2018, RTH Tokyo received (</w:t>
      </w:r>
      <w:proofErr w:type="spellStart"/>
      <w:r w:rsidRPr="00921B12">
        <w:rPr>
          <w:rFonts w:ascii="Verdana" w:hAnsi="Verdana"/>
          <w:bCs/>
          <w:lang w:val="en-US" w:eastAsia="ja-JP"/>
        </w:rPr>
        <w:t>i</w:t>
      </w:r>
      <w:proofErr w:type="spellEnd"/>
      <w:r w:rsidRPr="00921B12">
        <w:rPr>
          <w:rFonts w:ascii="Verdana" w:hAnsi="Verdana"/>
          <w:bCs/>
          <w:lang w:val="en-US" w:eastAsia="ja-JP"/>
        </w:rPr>
        <w:t>) at least one surface synoptic observation report (excluding NIL reports) in BUFR format from 75% of RA-II observation stations registered as part of RBSN (TAC format from 94%), and (ii) at least one upper-air sounding report in BUFR format from 54% of registered stations (TAC format from 91%). Twelve BUFR reports equivalent to PILOT reports were received by RTH Tokyo in the monitoring period, while TAC bulletins were received from eight stations.</w:t>
      </w:r>
    </w:p>
    <w:p w:rsidR="004F2485" w:rsidRPr="00921B12" w:rsidRDefault="004F2485" w:rsidP="004F2485">
      <w:pPr>
        <w:spacing w:afterLines="50" w:after="163"/>
        <w:jc w:val="center"/>
        <w:rPr>
          <w:rFonts w:ascii="Verdana" w:hAnsi="Verdana"/>
          <w:bCs/>
          <w:lang w:val="en-US" w:eastAsia="ja-JP"/>
        </w:rPr>
      </w:pPr>
      <w:r w:rsidRPr="00921B12">
        <w:rPr>
          <w:rFonts w:ascii="Verdana" w:hAnsi="Verdana"/>
          <w:noProof/>
          <w:snapToGrid/>
          <w:lang w:eastAsia="ja-JP"/>
        </w:rPr>
        <w:drawing>
          <wp:inline distT="0" distB="0" distL="0" distR="0" wp14:anchorId="128421D6" wp14:editId="7212CE21">
            <wp:extent cx="2880995" cy="18002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95" cy="1800225"/>
                    </a:xfrm>
                    <a:prstGeom prst="rect">
                      <a:avLst/>
                    </a:prstGeom>
                    <a:noFill/>
                    <a:ln>
                      <a:noFill/>
                    </a:ln>
                  </pic:spPr>
                </pic:pic>
              </a:graphicData>
            </a:graphic>
          </wp:inline>
        </w:drawing>
      </w:r>
      <w:r w:rsidRPr="00921B12">
        <w:rPr>
          <w:rFonts w:ascii="Verdana" w:hAnsi="Verdana"/>
          <w:noProof/>
          <w:snapToGrid/>
          <w:lang w:val="en-US" w:eastAsia="ja-JP"/>
        </w:rPr>
        <w:t xml:space="preserve"> </w:t>
      </w:r>
      <w:r w:rsidRPr="00921B12">
        <w:rPr>
          <w:rFonts w:ascii="Verdana" w:hAnsi="Verdana"/>
          <w:noProof/>
          <w:snapToGrid/>
          <w:lang w:eastAsia="ja-JP"/>
        </w:rPr>
        <w:drawing>
          <wp:inline distT="0" distB="0" distL="0" distR="0" wp14:anchorId="567ABB74" wp14:editId="3D762789">
            <wp:extent cx="2880995" cy="1800225"/>
            <wp:effectExtent l="0" t="0" r="0" b="952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995" cy="1800225"/>
                    </a:xfrm>
                    <a:prstGeom prst="rect">
                      <a:avLst/>
                    </a:prstGeom>
                    <a:noFill/>
                    <a:ln>
                      <a:noFill/>
                    </a:ln>
                  </pic:spPr>
                </pic:pic>
              </a:graphicData>
            </a:graphic>
          </wp:inline>
        </w:drawing>
      </w:r>
    </w:p>
    <w:p w:rsidR="004F2485" w:rsidRPr="00921B12" w:rsidRDefault="004F2485" w:rsidP="004F2485">
      <w:pPr>
        <w:jc w:val="center"/>
        <w:rPr>
          <w:rFonts w:ascii="Verdana" w:hAnsi="Verdana"/>
          <w:b/>
          <w:lang w:eastAsia="ja-JP"/>
        </w:rPr>
      </w:pPr>
      <w:r w:rsidRPr="00921B12">
        <w:rPr>
          <w:rFonts w:ascii="Verdana" w:hAnsi="Verdana"/>
          <w:lang w:val="en-US" w:eastAsia="ja-JP"/>
        </w:rPr>
        <w:t>Number of RA-II RBSN stations issuing surface synoptic observation (SYNOP) and upper-air sounding (TEMP) reports in TAC and BUFR format from July 2015 to April 2018</w:t>
      </w:r>
    </w:p>
    <w:p w:rsidR="004F2485" w:rsidRPr="00921B12" w:rsidRDefault="004F2485" w:rsidP="004F2485">
      <w:pPr>
        <w:jc w:val="both"/>
        <w:rPr>
          <w:rFonts w:ascii="Verdana" w:hAnsi="Verdana"/>
          <w:bCs/>
          <w:lang w:val="en-US" w:eastAsia="ja-JP"/>
        </w:rPr>
      </w:pPr>
    </w:p>
    <w:p w:rsidR="004F2485" w:rsidRPr="00921B12" w:rsidRDefault="004F2485" w:rsidP="004F2485">
      <w:pPr>
        <w:jc w:val="both"/>
        <w:rPr>
          <w:rFonts w:ascii="Verdana" w:hAnsi="Verdana"/>
          <w:bCs/>
          <w:lang w:val="en-US" w:eastAsia="ja-JP"/>
        </w:rPr>
      </w:pPr>
      <w:r w:rsidRPr="00921B12">
        <w:rPr>
          <w:rFonts w:ascii="Verdana" w:hAnsi="Verdana"/>
          <w:bCs/>
          <w:lang w:val="en-US" w:eastAsia="ja-JP"/>
        </w:rPr>
        <w:t>(2) CLIMAT reports</w:t>
      </w:r>
    </w:p>
    <w:p w:rsidR="004F2485" w:rsidRPr="00921B12" w:rsidRDefault="004F2485" w:rsidP="004F2485">
      <w:pPr>
        <w:spacing w:afterLines="50" w:after="163"/>
        <w:jc w:val="both"/>
        <w:rPr>
          <w:rFonts w:ascii="Verdana" w:hAnsi="Verdana"/>
          <w:bCs/>
          <w:lang w:val="en-US" w:eastAsia="ja-JP"/>
        </w:rPr>
      </w:pPr>
      <w:r w:rsidRPr="00921B12">
        <w:rPr>
          <w:rFonts w:ascii="Verdana" w:hAnsi="Verdana"/>
          <w:bCs/>
          <w:lang w:val="en-US" w:eastAsia="ja-JP"/>
        </w:rPr>
        <w:t>As of May 2018, 13 Members out of 35 Members who have Regional Basic Climatological Network (RBCN) stations were reporting CLIMAT data in BUFR format: China; India; Mongolia; Saudi Arabia; Pakistan; Japan; Bangladesh; Hong Kong, China; Macao, China, Republic of Korea, Myanmar, Thailand and Lao PDR.</w:t>
      </w:r>
    </w:p>
    <w:p w:rsidR="004F2485" w:rsidRPr="00921B12" w:rsidRDefault="004F2485" w:rsidP="004F2485">
      <w:pPr>
        <w:jc w:val="both"/>
        <w:rPr>
          <w:rFonts w:ascii="Verdana" w:hAnsi="Verdana"/>
          <w:bCs/>
          <w:lang w:val="en-US" w:eastAsia="ja-JP"/>
        </w:rPr>
      </w:pPr>
      <w:r w:rsidRPr="00921B12">
        <w:rPr>
          <w:rFonts w:ascii="Verdana" w:hAnsi="Verdana"/>
          <w:bCs/>
          <w:lang w:val="en-US" w:eastAsia="ja-JP"/>
        </w:rPr>
        <w:t>(3) Marine reports</w:t>
      </w:r>
    </w:p>
    <w:p w:rsidR="004F2485" w:rsidRPr="00921B12" w:rsidRDefault="004F2485" w:rsidP="004F2485">
      <w:pPr>
        <w:spacing w:afterLines="50" w:after="163"/>
        <w:jc w:val="both"/>
        <w:rPr>
          <w:rFonts w:ascii="Verdana" w:hAnsi="Verdana"/>
          <w:bCs/>
          <w:lang w:val="en-US" w:eastAsia="ja-JP"/>
        </w:rPr>
      </w:pPr>
      <w:r w:rsidRPr="00921B12">
        <w:rPr>
          <w:rFonts w:ascii="Verdana" w:hAnsi="Verdana"/>
          <w:bCs/>
          <w:lang w:val="en-US" w:eastAsia="ja-JP"/>
        </w:rPr>
        <w:t>As of May 2018, India (TESAC), Hong Kong, China (SHIP), Japan (TESAC, TRACKOB, SHIP) and Republic of Korea (TESAC, VOS) were routinely disseminating marine observation data in BUFR format.  Adoption of new templates for TESAC and BATHY is limited.</w:t>
      </w:r>
    </w:p>
    <w:p w:rsidR="004F2485" w:rsidRPr="00921B12" w:rsidRDefault="004F2485" w:rsidP="004F2485">
      <w:pPr>
        <w:spacing w:afterLines="50" w:after="163"/>
        <w:jc w:val="both"/>
        <w:rPr>
          <w:rFonts w:ascii="Verdana" w:hAnsi="Verdana"/>
          <w:bCs/>
          <w:lang w:eastAsia="ja-JP"/>
        </w:rPr>
      </w:pPr>
    </w:p>
    <w:bookmarkEnd w:id="2"/>
    <w:p w:rsidR="009F245F" w:rsidRPr="00921B12" w:rsidRDefault="009F245F" w:rsidP="00B306F7">
      <w:pPr>
        <w:jc w:val="both"/>
        <w:rPr>
          <w:rFonts w:ascii="Verdana" w:hAnsi="Verdana"/>
          <w:sz w:val="20"/>
          <w:szCs w:val="20"/>
        </w:rPr>
      </w:pPr>
    </w:p>
    <w:p w:rsidR="009F245F" w:rsidRPr="00921B12" w:rsidRDefault="009F245F" w:rsidP="009F245F">
      <w:pPr>
        <w:rPr>
          <w:rFonts w:ascii="Verdana" w:hAnsi="Verdana"/>
          <w:sz w:val="20"/>
          <w:szCs w:val="20"/>
        </w:rPr>
      </w:pPr>
    </w:p>
    <w:p w:rsidR="00202193" w:rsidRPr="00921B12" w:rsidRDefault="00202193" w:rsidP="009F245F">
      <w:pPr>
        <w:rPr>
          <w:rFonts w:ascii="Verdana" w:hAnsi="Verdana"/>
          <w:sz w:val="20"/>
          <w:szCs w:val="20"/>
        </w:rPr>
      </w:pPr>
    </w:p>
    <w:p w:rsidR="00D51173" w:rsidRPr="00921B12" w:rsidRDefault="00D51173">
      <w:pPr>
        <w:jc w:val="both"/>
        <w:rPr>
          <w:rFonts w:ascii="Verdana" w:hAnsi="Verdana"/>
          <w:sz w:val="20"/>
          <w:szCs w:val="20"/>
          <w:lang w:val="en-US"/>
        </w:rPr>
      </w:pPr>
    </w:p>
    <w:sectPr w:rsidR="00D51173" w:rsidRPr="00921B12"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8A" w:rsidRDefault="00D45B8A" w:rsidP="004C1690">
      <w:r>
        <w:separator/>
      </w:r>
    </w:p>
  </w:endnote>
  <w:endnote w:type="continuationSeparator" w:id="0">
    <w:p w:rsidR="00D45B8A" w:rsidRDefault="00D45B8A"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8A" w:rsidRDefault="00D45B8A" w:rsidP="004C1690">
      <w:r>
        <w:separator/>
      </w:r>
    </w:p>
  </w:footnote>
  <w:footnote w:type="continuationSeparator" w:id="0">
    <w:p w:rsidR="00D45B8A" w:rsidRDefault="00D45B8A"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84107"/>
    <w:rsid w:val="001934B1"/>
    <w:rsid w:val="001A1400"/>
    <w:rsid w:val="001A1B97"/>
    <w:rsid w:val="001B6D4A"/>
    <w:rsid w:val="001B74EA"/>
    <w:rsid w:val="001C6D52"/>
    <w:rsid w:val="001E01AE"/>
    <w:rsid w:val="001E5BCA"/>
    <w:rsid w:val="001F354A"/>
    <w:rsid w:val="002012ED"/>
    <w:rsid w:val="00202193"/>
    <w:rsid w:val="00205D7D"/>
    <w:rsid w:val="0021296B"/>
    <w:rsid w:val="00214F1F"/>
    <w:rsid w:val="002151FB"/>
    <w:rsid w:val="00216E6B"/>
    <w:rsid w:val="0022582B"/>
    <w:rsid w:val="00225E68"/>
    <w:rsid w:val="002305E7"/>
    <w:rsid w:val="00231A50"/>
    <w:rsid w:val="002601CB"/>
    <w:rsid w:val="00287AE7"/>
    <w:rsid w:val="00291039"/>
    <w:rsid w:val="002921A7"/>
    <w:rsid w:val="002A2002"/>
    <w:rsid w:val="002A3944"/>
    <w:rsid w:val="002A7D7D"/>
    <w:rsid w:val="002B393E"/>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2485"/>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D251F"/>
    <w:rsid w:val="008E669E"/>
    <w:rsid w:val="008E6C3A"/>
    <w:rsid w:val="00910EDE"/>
    <w:rsid w:val="00911012"/>
    <w:rsid w:val="00916862"/>
    <w:rsid w:val="00921B1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0AF2"/>
    <w:rsid w:val="00A259DA"/>
    <w:rsid w:val="00A35997"/>
    <w:rsid w:val="00A64379"/>
    <w:rsid w:val="00A6536B"/>
    <w:rsid w:val="00A70764"/>
    <w:rsid w:val="00A710FD"/>
    <w:rsid w:val="00A74392"/>
    <w:rsid w:val="00A755B1"/>
    <w:rsid w:val="00A8078C"/>
    <w:rsid w:val="00A83665"/>
    <w:rsid w:val="00AA0456"/>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77AB4"/>
    <w:rsid w:val="00C80626"/>
    <w:rsid w:val="00C8416C"/>
    <w:rsid w:val="00C85A94"/>
    <w:rsid w:val="00CA73DC"/>
    <w:rsid w:val="00CB32EA"/>
    <w:rsid w:val="00CD3FA6"/>
    <w:rsid w:val="00CE2D9D"/>
    <w:rsid w:val="00CF78DB"/>
    <w:rsid w:val="00D02230"/>
    <w:rsid w:val="00D078E7"/>
    <w:rsid w:val="00D2274D"/>
    <w:rsid w:val="00D42900"/>
    <w:rsid w:val="00D45B8A"/>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57068"/>
    <w:rsid w:val="00E65F3F"/>
    <w:rsid w:val="00E740BE"/>
    <w:rsid w:val="00E743BB"/>
    <w:rsid w:val="00E75B6E"/>
    <w:rsid w:val="00E75DE2"/>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4F2485"/>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0AF2"/>
    <w:rPr>
      <w:sz w:val="18"/>
      <w:szCs w:val="18"/>
    </w:rPr>
  </w:style>
  <w:style w:type="paragraph" w:styleId="CommentText">
    <w:name w:val="annotation text"/>
    <w:basedOn w:val="Normal"/>
    <w:link w:val="CommentTextChar"/>
    <w:rsid w:val="00A20AF2"/>
  </w:style>
  <w:style w:type="character" w:customStyle="1" w:styleId="CommentTextChar">
    <w:name w:val="Comment Text Char"/>
    <w:basedOn w:val="DefaultParagraphFont"/>
    <w:link w:val="CommentText"/>
    <w:rsid w:val="00A20AF2"/>
    <w:rPr>
      <w:rFonts w:ascii="Arial" w:hAnsi="Arial"/>
      <w:snapToGrid w:val="0"/>
      <w:sz w:val="22"/>
      <w:szCs w:val="22"/>
      <w:lang w:eastAsia="en-US"/>
    </w:rPr>
  </w:style>
  <w:style w:type="paragraph" w:styleId="CommentSubject">
    <w:name w:val="annotation subject"/>
    <w:basedOn w:val="CommentText"/>
    <w:next w:val="CommentText"/>
    <w:link w:val="CommentSubjectChar"/>
    <w:rsid w:val="00A20AF2"/>
    <w:rPr>
      <w:b/>
      <w:bCs/>
    </w:rPr>
  </w:style>
  <w:style w:type="character" w:customStyle="1" w:styleId="CommentSubjectChar">
    <w:name w:val="Comment Subject Char"/>
    <w:basedOn w:val="CommentTextChar"/>
    <w:link w:val="CommentSubject"/>
    <w:rsid w:val="00A20AF2"/>
    <w:rPr>
      <w:rFonts w:ascii="Arial" w:hAnsi="Arial"/>
      <w:b/>
      <w:bCs/>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4F2485"/>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0AF2"/>
    <w:rPr>
      <w:sz w:val="18"/>
      <w:szCs w:val="18"/>
    </w:rPr>
  </w:style>
  <w:style w:type="paragraph" w:styleId="CommentText">
    <w:name w:val="annotation text"/>
    <w:basedOn w:val="Normal"/>
    <w:link w:val="CommentTextChar"/>
    <w:rsid w:val="00A20AF2"/>
  </w:style>
  <w:style w:type="character" w:customStyle="1" w:styleId="CommentTextChar">
    <w:name w:val="Comment Text Char"/>
    <w:basedOn w:val="DefaultParagraphFont"/>
    <w:link w:val="CommentText"/>
    <w:rsid w:val="00A20AF2"/>
    <w:rPr>
      <w:rFonts w:ascii="Arial" w:hAnsi="Arial"/>
      <w:snapToGrid w:val="0"/>
      <w:sz w:val="22"/>
      <w:szCs w:val="22"/>
      <w:lang w:eastAsia="en-US"/>
    </w:rPr>
  </w:style>
  <w:style w:type="paragraph" w:styleId="CommentSubject">
    <w:name w:val="annotation subject"/>
    <w:basedOn w:val="CommentText"/>
    <w:next w:val="CommentText"/>
    <w:link w:val="CommentSubjectChar"/>
    <w:rsid w:val="00A20AF2"/>
    <w:rPr>
      <w:b/>
      <w:bCs/>
    </w:rPr>
  </w:style>
  <w:style w:type="character" w:customStyle="1" w:styleId="CommentSubjectChar">
    <w:name w:val="Comment Subject Char"/>
    <w:basedOn w:val="CommentTextChar"/>
    <w:link w:val="CommentSubject"/>
    <w:rsid w:val="00A20AF2"/>
    <w:rPr>
      <w:rFonts w:ascii="Arial" w:hAnsi="Arial"/>
      <w:b/>
      <w:bCs/>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06ED0"/>
    <w:rsid w:val="00356384"/>
    <w:rsid w:val="004A6AA6"/>
    <w:rsid w:val="00594E66"/>
    <w:rsid w:val="00876B2D"/>
    <w:rsid w:val="0095775F"/>
    <w:rsid w:val="00A166E6"/>
    <w:rsid w:val="00C40F99"/>
    <w:rsid w:val="00C71184"/>
    <w:rsid w:val="00CC7183"/>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084E-F84F-4EC4-8C8A-8A4148A7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5566</Characters>
  <Application>Microsoft Office Word</Application>
  <DocSecurity>4</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2018-05-17T13:15:00Z</dcterms:created>
  <dcterms:modified xsi:type="dcterms:W3CDTF">2018-05-17T13:15:00Z</dcterms:modified>
</cp:coreProperties>
</file>