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247D26BB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2160B7EC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167C8E63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36F21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1966801B" w14:textId="77777777"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0C4D3E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0A64E67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EAFF48" w14:textId="77777777"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61505DFF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6332EE9B" w14:textId="3BA59727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CB3617">
              <w:rPr>
                <w:rFonts w:ascii="Verdana" w:hAnsi="Verdana"/>
                <w:sz w:val="20"/>
                <w:szCs w:val="20"/>
              </w:rPr>
              <w:t>2.4(8)</w:t>
            </w:r>
          </w:p>
          <w:p w14:paraId="33F88A86" w14:textId="757B93F4" w:rsidR="005554A5" w:rsidRPr="00F35A04" w:rsidRDefault="00CB3617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4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24.05.2018</w:t>
                </w:r>
              </w:sdtContent>
            </w:sdt>
          </w:p>
          <w:p w14:paraId="60E704D4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19B1242A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3BC52F5B" w14:textId="7BEE5D6E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CB3617">
              <w:rPr>
                <w:rFonts w:ascii="Verdana" w:hAnsi="Verdana"/>
                <w:sz w:val="20"/>
                <w:szCs w:val="20"/>
              </w:rPr>
              <w:t>2.4</w:t>
            </w:r>
          </w:p>
          <w:p w14:paraId="16B69692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75BB10B7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70439D4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6CF5F30D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327A2B8A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3E523AE" w14:textId="77777777" w:rsidR="009F245F" w:rsidRPr="00F35A04" w:rsidRDefault="00CB3617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2C7BB6">
            <w:rPr>
              <w:rStyle w:val="Style8"/>
            </w:rPr>
            <w:t>BUFR</w:t>
          </w:r>
        </w:sdtContent>
      </w:sdt>
    </w:p>
    <w:p w14:paraId="1F32C831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14:paraId="7A36BD8A" w14:textId="77777777" w:rsidR="009F245F" w:rsidRPr="00F35A04" w:rsidRDefault="002C7BB6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BUFR sequence for the reporting as basic ship AWS data</w:t>
      </w:r>
    </w:p>
    <w:p w14:paraId="21124AC0" w14:textId="13733A05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24988">
        <w:rPr>
          <w:rFonts w:ascii="Verdana" w:hAnsi="Verdana"/>
          <w:i/>
          <w:sz w:val="20"/>
          <w:szCs w:val="20"/>
        </w:rPr>
        <w:t>Jon Turton (UK Met Office), David Berry (JCOMM)</w:t>
      </w:r>
    </w:p>
    <w:p w14:paraId="55CA65B7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0ACFFA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7D7E81C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50F0301F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2972E6B6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3809989A" w14:textId="77777777" w:rsidR="009F245F" w:rsidRPr="00F35A04" w:rsidRDefault="002C7BB6" w:rsidP="002C7BB6">
      <w:pPr>
        <w:pStyle w:val="BodyText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a new BUFR sequence for the reporting of basic ship AWS data.</w:t>
      </w:r>
    </w:p>
    <w:p w14:paraId="63302688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4943206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F3EBF99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549228E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1BF707D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184B2927" w14:textId="77777777" w:rsidR="002C7BB6" w:rsidRDefault="002C7BB6" w:rsidP="002C7BB6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of this proposal for validation status.</w:t>
      </w:r>
    </w:p>
    <w:p w14:paraId="16768A6C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5CA90F20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CB619D0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51091C93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659A0F56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7E854D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p w14:paraId="5AFAB3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5EC49EA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380710C9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021BB7A1" w14:textId="409DB2F2" w:rsidR="009F245F" w:rsidRPr="00F35A04" w:rsidRDefault="002C7BB6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D</w:t>
      </w:r>
      <w:bookmarkEnd w:id="2"/>
      <w:r>
        <w:rPr>
          <w:rFonts w:ascii="Verdana" w:hAnsi="Verdana"/>
          <w:sz w:val="20"/>
          <w:szCs w:val="20"/>
        </w:rPr>
        <w:t>uring the period between IPET-DRMM IV and IPET-CM II there has been a discussion over the need for a trimmed version of the VOS template for those ships using basic AWS systems</w:t>
      </w:r>
      <w:r w:rsidR="00CF01D2">
        <w:rPr>
          <w:rFonts w:ascii="Verdana" w:hAnsi="Verdana"/>
          <w:sz w:val="20"/>
          <w:szCs w:val="20"/>
        </w:rPr>
        <w:t>. This has been</w:t>
      </w:r>
      <w:r>
        <w:rPr>
          <w:rFonts w:ascii="Verdana" w:hAnsi="Verdana"/>
          <w:sz w:val="20"/>
          <w:szCs w:val="20"/>
        </w:rPr>
        <w:t xml:space="preserve"> led by the UK Met Office and ECMWF. One potential solution discussed</w:t>
      </w:r>
      <w:r w:rsidR="00CF01D2">
        <w:rPr>
          <w:rFonts w:ascii="Verdana" w:hAnsi="Verdana"/>
          <w:sz w:val="20"/>
          <w:szCs w:val="20"/>
        </w:rPr>
        <w:t>, making use of the flexibilities of BUFR,</w:t>
      </w:r>
      <w:r>
        <w:rPr>
          <w:rFonts w:ascii="Verdana" w:hAnsi="Verdana"/>
          <w:sz w:val="20"/>
          <w:szCs w:val="20"/>
        </w:rPr>
        <w:t xml:space="preserve"> was the use of sub-sequences from Table D sequence 3-08-014 </w:t>
      </w:r>
      <w:r w:rsidRPr="002C7BB6">
        <w:rPr>
          <w:rFonts w:ascii="Verdana" w:hAnsi="Verdana"/>
          <w:sz w:val="20"/>
          <w:szCs w:val="20"/>
        </w:rPr>
        <w:t>(Synoptic reports from sea stations suitable for VOS observation data)</w:t>
      </w:r>
      <w:r>
        <w:rPr>
          <w:rFonts w:ascii="Verdana" w:hAnsi="Verdana"/>
          <w:sz w:val="20"/>
          <w:szCs w:val="20"/>
        </w:rPr>
        <w:t xml:space="preserve"> on an ad-hoc basis. It was noted that the use of ad-hoc sequences was not ideal and that there was a preference for a new sequence to be formalised. This document proposes that sequence.</w:t>
      </w:r>
    </w:p>
    <w:p w14:paraId="15D08AC3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7C681043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2DEE22C9" w14:textId="77777777" w:rsidR="00CF01D2" w:rsidRDefault="00CF01D2" w:rsidP="00CF01D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Add new entry to BUFR Table D</w:t>
      </w:r>
    </w:p>
    <w:p w14:paraId="3F44C7BC" w14:textId="7FD67EAA" w:rsidR="00647501" w:rsidRDefault="00CF01D2">
      <w:pPr>
        <w:jc w:val="both"/>
        <w:rPr>
          <w:rFonts w:ascii="Verdana" w:hAnsi="Verdana"/>
          <w:sz w:val="20"/>
          <w:szCs w:val="20"/>
          <w:lang w:val="en-US"/>
        </w:rPr>
      </w:pPr>
      <w:r w:rsidRPr="00CF01D2">
        <w:rPr>
          <w:rFonts w:ascii="Verdana" w:hAnsi="Verdana"/>
          <w:b/>
          <w:sz w:val="20"/>
          <w:szCs w:val="20"/>
          <w:lang w:val="en-US"/>
        </w:rPr>
        <w:t>Category 08 – Surface report sequences (sea)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245"/>
        <w:gridCol w:w="1667"/>
      </w:tblGrid>
      <w:tr w:rsidR="00CF01D2" w14:paraId="60AF7F17" w14:textId="77777777" w:rsidTr="00CF01D2">
        <w:tc>
          <w:tcPr>
            <w:tcW w:w="1384" w:type="dxa"/>
          </w:tcPr>
          <w:p w14:paraId="764E1BA2" w14:textId="16D882B6" w:rsidR="00CF01D2" w:rsidRP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87063F" w14:textId="0B1B2F07" w:rsidR="00CF01D2" w:rsidRP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3007640C" w14:textId="52E80BE3" w:rsidR="00CF01D2" w:rsidRP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Sequence for reporting of basic ship AWS observations</w:t>
            </w:r>
          </w:p>
        </w:tc>
        <w:tc>
          <w:tcPr>
            <w:tcW w:w="1667" w:type="dxa"/>
          </w:tcPr>
          <w:p w14:paraId="2695ECF0" w14:textId="2B1CE134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08BFF3BA" w14:textId="77777777" w:rsidTr="00CF01D2">
        <w:tc>
          <w:tcPr>
            <w:tcW w:w="1384" w:type="dxa"/>
          </w:tcPr>
          <w:p w14:paraId="6763B56C" w14:textId="0B93BD35" w:rsidR="00CF01D2" w:rsidRPr="00CF01D2" w:rsidRDefault="00CF01D2" w:rsidP="0052498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3 08 </w:t>
            </w:r>
            <w:r w:rsidR="00524988">
              <w:rPr>
                <w:rFonts w:ascii="Verdana" w:hAnsi="Verdana"/>
                <w:sz w:val="20"/>
                <w:szCs w:val="20"/>
                <w:lang w:val="en-US"/>
              </w:rPr>
              <w:t>018</w:t>
            </w:r>
          </w:p>
        </w:tc>
        <w:tc>
          <w:tcPr>
            <w:tcW w:w="1559" w:type="dxa"/>
          </w:tcPr>
          <w:p w14:paraId="7733ECC3" w14:textId="60DD4E7A" w:rsidR="00CF01D2" w:rsidRP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3 01 093</w:t>
            </w:r>
          </w:p>
        </w:tc>
        <w:tc>
          <w:tcPr>
            <w:tcW w:w="5245" w:type="dxa"/>
          </w:tcPr>
          <w:p w14:paraId="1E0EF0B3" w14:textId="154DEF57" w:rsidR="00CF01D2" w:rsidRDefault="00CF01D2" w:rsidP="00CF0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CF01D2">
              <w:rPr>
                <w:rFonts w:ascii="Verdana" w:hAnsi="Verdana"/>
                <w:sz w:val="20"/>
                <w:szCs w:val="20"/>
                <w:lang w:val="en-US"/>
              </w:rPr>
              <w:t>Ship identification, movement, date/time, horizontal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CF01D2">
              <w:rPr>
                <w:rFonts w:ascii="Verdana" w:hAnsi="Verdana"/>
                <w:sz w:val="20"/>
                <w:szCs w:val="20"/>
                <w:lang w:val="en-US"/>
              </w:rPr>
              <w:t>and vertical coordinates)</w:t>
            </w:r>
          </w:p>
        </w:tc>
        <w:tc>
          <w:tcPr>
            <w:tcW w:w="1667" w:type="dxa"/>
          </w:tcPr>
          <w:p w14:paraId="3E34C03F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6304171B" w14:textId="77777777" w:rsidTr="00CF01D2">
        <w:tc>
          <w:tcPr>
            <w:tcW w:w="1384" w:type="dxa"/>
          </w:tcPr>
          <w:p w14:paraId="0120DF79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529CB8B" w14:textId="2EF74020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3 02 001</w:t>
            </w:r>
          </w:p>
        </w:tc>
        <w:tc>
          <w:tcPr>
            <w:tcW w:w="5245" w:type="dxa"/>
          </w:tcPr>
          <w:p w14:paraId="0F72823F" w14:textId="326A6E60" w:rsidR="00CF01D2" w:rsidRP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F01D2">
              <w:rPr>
                <w:rFonts w:ascii="Verdana" w:hAnsi="Verdana"/>
                <w:bCs/>
                <w:sz w:val="20"/>
                <w:szCs w:val="20"/>
                <w:lang w:val="en-US"/>
              </w:rPr>
              <w:t>(Pressure and 3-hour pressure change)</w:t>
            </w:r>
          </w:p>
        </w:tc>
        <w:tc>
          <w:tcPr>
            <w:tcW w:w="1667" w:type="dxa"/>
          </w:tcPr>
          <w:p w14:paraId="36FB554C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4C92F1F4" w14:textId="77777777" w:rsidTr="00CF01D2">
        <w:tc>
          <w:tcPr>
            <w:tcW w:w="1384" w:type="dxa"/>
          </w:tcPr>
          <w:p w14:paraId="272BF761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CBDFA8F" w14:textId="3C5903FE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3 02 072</w:t>
            </w:r>
          </w:p>
        </w:tc>
        <w:tc>
          <w:tcPr>
            <w:tcW w:w="5245" w:type="dxa"/>
          </w:tcPr>
          <w:p w14:paraId="7F42343C" w14:textId="46CA10A7" w:rsidR="00CF01D2" w:rsidRDefault="00CF01D2" w:rsidP="00CF01D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(Temperature and humidity data)</w:t>
            </w:r>
          </w:p>
        </w:tc>
        <w:tc>
          <w:tcPr>
            <w:tcW w:w="1667" w:type="dxa"/>
          </w:tcPr>
          <w:p w14:paraId="29DADE68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00919D51" w14:textId="77777777" w:rsidTr="00CF01D2">
        <w:tc>
          <w:tcPr>
            <w:tcW w:w="1384" w:type="dxa"/>
          </w:tcPr>
          <w:p w14:paraId="3B077D0D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9553DA8" w14:textId="6D4CD51C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1 01 000</w:t>
            </w:r>
          </w:p>
        </w:tc>
        <w:tc>
          <w:tcPr>
            <w:tcW w:w="5245" w:type="dxa"/>
          </w:tcPr>
          <w:p w14:paraId="462B1904" w14:textId="116CCA1B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Delayed replication of 1 descriptor</w:t>
            </w:r>
          </w:p>
        </w:tc>
        <w:tc>
          <w:tcPr>
            <w:tcW w:w="1667" w:type="dxa"/>
          </w:tcPr>
          <w:p w14:paraId="7E6B9720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3FF5F863" w14:textId="77777777" w:rsidTr="00CF01D2">
        <w:tc>
          <w:tcPr>
            <w:tcW w:w="1384" w:type="dxa"/>
          </w:tcPr>
          <w:p w14:paraId="1A5F3E4D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2E5E251" w14:textId="5A46C09C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0 31 000</w:t>
            </w:r>
          </w:p>
        </w:tc>
        <w:tc>
          <w:tcPr>
            <w:tcW w:w="5245" w:type="dxa"/>
          </w:tcPr>
          <w:p w14:paraId="58282F2A" w14:textId="1592300C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Short delayed replication factor</w:t>
            </w:r>
          </w:p>
        </w:tc>
        <w:tc>
          <w:tcPr>
            <w:tcW w:w="1667" w:type="dxa"/>
          </w:tcPr>
          <w:p w14:paraId="18A6541F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6A4F5A6C" w14:textId="77777777" w:rsidTr="00CF01D2">
        <w:tc>
          <w:tcPr>
            <w:tcW w:w="1384" w:type="dxa"/>
          </w:tcPr>
          <w:p w14:paraId="61491FC5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D54BC68" w14:textId="014CD8E6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3 02 056</w:t>
            </w:r>
          </w:p>
        </w:tc>
        <w:tc>
          <w:tcPr>
            <w:tcW w:w="5245" w:type="dxa"/>
          </w:tcPr>
          <w:p w14:paraId="46CCCB94" w14:textId="50EDA1F8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(Sea / water temperature)</w:t>
            </w:r>
          </w:p>
        </w:tc>
        <w:tc>
          <w:tcPr>
            <w:tcW w:w="1667" w:type="dxa"/>
          </w:tcPr>
          <w:p w14:paraId="39AAD8E3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3802321C" w14:textId="77777777" w:rsidTr="00CF01D2">
        <w:tc>
          <w:tcPr>
            <w:tcW w:w="1384" w:type="dxa"/>
          </w:tcPr>
          <w:p w14:paraId="384F3B69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2A70A01" w14:textId="47492228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1 01 000</w:t>
            </w:r>
          </w:p>
        </w:tc>
        <w:tc>
          <w:tcPr>
            <w:tcW w:w="5245" w:type="dxa"/>
          </w:tcPr>
          <w:p w14:paraId="6D37A08D" w14:textId="476B95FD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Delayed replication of 1 descriptor</w:t>
            </w:r>
          </w:p>
        </w:tc>
        <w:tc>
          <w:tcPr>
            <w:tcW w:w="1667" w:type="dxa"/>
          </w:tcPr>
          <w:p w14:paraId="0A173969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5916225C" w14:textId="77777777" w:rsidTr="00CF01D2">
        <w:tc>
          <w:tcPr>
            <w:tcW w:w="1384" w:type="dxa"/>
          </w:tcPr>
          <w:p w14:paraId="26FBE794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EFD5AF" w14:textId="4130FFCF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0 31 000</w:t>
            </w:r>
          </w:p>
        </w:tc>
        <w:tc>
          <w:tcPr>
            <w:tcW w:w="5245" w:type="dxa"/>
          </w:tcPr>
          <w:p w14:paraId="13E567E7" w14:textId="0565DE29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Short delayed replication factor</w:t>
            </w:r>
          </w:p>
        </w:tc>
        <w:tc>
          <w:tcPr>
            <w:tcW w:w="1667" w:type="dxa"/>
          </w:tcPr>
          <w:p w14:paraId="62CFCDC6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01D2" w14:paraId="5A2CEAFD" w14:textId="77777777" w:rsidTr="00CF01D2">
        <w:tc>
          <w:tcPr>
            <w:tcW w:w="1384" w:type="dxa"/>
          </w:tcPr>
          <w:p w14:paraId="75D282D9" w14:textId="77777777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7F2B90B" w14:textId="2CB50619" w:rsidR="00CF01D2" w:rsidRDefault="00CF01D2" w:rsidP="00CF01D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3 02 0</w:t>
            </w:r>
            <w:r w:rsidR="00E507EA">
              <w:rPr>
                <w:rFonts w:ascii="Verdana" w:hAnsi="Verdana"/>
                <w:sz w:val="20"/>
                <w:szCs w:val="20"/>
                <w:lang w:val="en-US"/>
              </w:rPr>
              <w:t>64</w:t>
            </w:r>
          </w:p>
        </w:tc>
        <w:tc>
          <w:tcPr>
            <w:tcW w:w="5245" w:type="dxa"/>
          </w:tcPr>
          <w:p w14:paraId="25B1AF4B" w14:textId="37B7AB93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(Ship </w:t>
            </w:r>
            <w:r w:rsidR="00E507EA">
              <w:rPr>
                <w:rFonts w:ascii="Verdana" w:hAnsi="Verdana"/>
                <w:sz w:val="20"/>
                <w:szCs w:val="20"/>
                <w:lang w:val="en-US"/>
              </w:rPr>
              <w:t xml:space="preserve">or other marine platform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wind data)</w:t>
            </w:r>
          </w:p>
        </w:tc>
        <w:tc>
          <w:tcPr>
            <w:tcW w:w="1667" w:type="dxa"/>
          </w:tcPr>
          <w:p w14:paraId="2C9E90FC" w14:textId="77777777" w:rsidR="00CF01D2" w:rsidRDefault="00CF01D2" w:rsidP="00BD281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CAF58A1" w14:textId="20D71505" w:rsidR="00D51173" w:rsidRDefault="00D51173" w:rsidP="00CF01D2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26A9" w14:textId="77777777" w:rsidR="002E5A6A" w:rsidRDefault="002E5A6A" w:rsidP="004C1690">
      <w:r>
        <w:separator/>
      </w:r>
    </w:p>
  </w:endnote>
  <w:endnote w:type="continuationSeparator" w:id="0">
    <w:p w14:paraId="5B945254" w14:textId="77777777" w:rsidR="002E5A6A" w:rsidRDefault="002E5A6A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C5D5" w14:textId="77777777" w:rsidR="002E5A6A" w:rsidRDefault="002E5A6A" w:rsidP="004C1690">
      <w:r>
        <w:separator/>
      </w:r>
    </w:p>
  </w:footnote>
  <w:footnote w:type="continuationSeparator" w:id="0">
    <w:p w14:paraId="29B80C63" w14:textId="77777777" w:rsidR="002E5A6A" w:rsidRDefault="002E5A6A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C7BB6"/>
    <w:rsid w:val="002D5A02"/>
    <w:rsid w:val="002E5A6A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24988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96396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B3617"/>
    <w:rsid w:val="00CD3FA6"/>
    <w:rsid w:val="00CE2D9D"/>
    <w:rsid w:val="00CF01D2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507EA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04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26505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4D95-9DBE-4696-BD18-1B8363BD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2018-05-24T08:28:00Z</dcterms:created>
  <dcterms:modified xsi:type="dcterms:W3CDTF">2018-05-24T08:28:00Z</dcterms:modified>
</cp:coreProperties>
</file>