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597CB5CC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22077BAE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14208281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3E3B3C7F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018C9F5E" w14:textId="77777777"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0ACA9AB7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199E0F7D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FC4E572" w14:textId="77777777"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1FA31CFF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4F9C24DF" w14:textId="194DC278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35CDA">
              <w:rPr>
                <w:rFonts w:ascii="Verdana" w:hAnsi="Verdana"/>
                <w:sz w:val="20"/>
                <w:szCs w:val="20"/>
              </w:rPr>
              <w:t>2.4 (7)</w:t>
            </w:r>
          </w:p>
          <w:p w14:paraId="343F6EBB" w14:textId="77C74D9D" w:rsidR="005554A5" w:rsidRPr="00F35A04" w:rsidRDefault="00635CDA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3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23.05.2018</w:t>
                </w:r>
              </w:sdtContent>
            </w:sdt>
          </w:p>
          <w:p w14:paraId="0087CF1C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75210A1C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0F8DC312" w14:textId="77D08518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35CDA">
              <w:rPr>
                <w:rFonts w:ascii="Verdana" w:hAnsi="Verdana"/>
                <w:sz w:val="20"/>
                <w:szCs w:val="20"/>
              </w:rPr>
              <w:t>2.4</w:t>
            </w:r>
          </w:p>
          <w:p w14:paraId="4C8141F6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15CC4B98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20573A10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4D5B4151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40E5A188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4472C7D5" w14:textId="77777777" w:rsidR="009F245F" w:rsidRPr="00F35A04" w:rsidRDefault="00635CDA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B6102D">
            <w:rPr>
              <w:rStyle w:val="Style8"/>
            </w:rPr>
            <w:t>BUFR</w:t>
          </w:r>
        </w:sdtContent>
      </w:sdt>
    </w:p>
    <w:p w14:paraId="0268FFAA" w14:textId="77777777" w:rsidR="009F245F" w:rsidRPr="00F35A04" w:rsidRDefault="00B6102D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New BUFR sequence for describing the "First five" Fourier components of the directional wave spectrum</w:t>
      </w:r>
    </w:p>
    <w:p w14:paraId="1124C29A" w14:textId="77777777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B6102D">
        <w:rPr>
          <w:rFonts w:ascii="Verdana" w:hAnsi="Verdana"/>
          <w:i/>
          <w:sz w:val="20"/>
          <w:szCs w:val="20"/>
        </w:rPr>
        <w:t>JCOMM / DBCP (Jon T</w:t>
      </w:r>
      <w:bookmarkStart w:id="0" w:name="_GoBack"/>
      <w:bookmarkEnd w:id="0"/>
      <w:r w:rsidR="00B6102D">
        <w:rPr>
          <w:rFonts w:ascii="Verdana" w:hAnsi="Verdana"/>
          <w:i/>
          <w:sz w:val="20"/>
          <w:szCs w:val="20"/>
        </w:rPr>
        <w:t>urton, presented by David Berry)</w:t>
      </w:r>
    </w:p>
    <w:p w14:paraId="4A4A3702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1C2D26E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0B39A02B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3CC252F6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05F569D5" w14:textId="77777777" w:rsidR="00B6102D" w:rsidRDefault="00B6102D" w:rsidP="00B6102D">
      <w:pPr>
        <w:pStyle w:val="BodyText"/>
        <w:ind w:left="567" w:right="567" w:firstLine="567"/>
        <w:rPr>
          <w:rFonts w:ascii="Verdana" w:hAnsi="Verdana" w:cs="Times New Roman"/>
          <w:snapToGrid w:val="0"/>
          <w:sz w:val="20"/>
          <w:szCs w:val="20"/>
          <w:lang w:val="en-GB"/>
        </w:rPr>
      </w:pPr>
    </w:p>
    <w:p w14:paraId="32E9C847" w14:textId="77777777" w:rsidR="009F245F" w:rsidRPr="00F35A04" w:rsidRDefault="00B6102D" w:rsidP="00B6102D">
      <w:pPr>
        <w:pStyle w:val="BodyText"/>
        <w:ind w:left="56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proposes a new BUFR sequence for the minimum set of parameters required to accurately describe the directional wave spectrum.</w:t>
      </w:r>
    </w:p>
    <w:p w14:paraId="4DB5129A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36976A60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9D8A2D7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36EBF44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1506863C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365861BF" w14:textId="77777777" w:rsidR="009F245F" w:rsidRDefault="00B6102D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approve the contents of this proposal for validation status.</w:t>
      </w:r>
    </w:p>
    <w:p w14:paraId="77AAADD5" w14:textId="77777777"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14:paraId="69DBAF39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2BDE1ECF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0350C3C5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4C730481" w14:textId="77777777"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14:paraId="73809B95" w14:textId="77777777"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16021895"/>
          <w:placeholder>
            <w:docPart w:val="DFD479EB54D947E8A3198A5E6DA35F94"/>
          </w:placeholder>
          <w:temporary/>
          <w:showingPlcHdr/>
        </w:sdtPr>
        <w:sdtEndPr/>
        <w:sdtContent>
          <w:r w:rsidR="00EC3262">
            <w:rPr>
              <w:rStyle w:val="PlaceholderText"/>
            </w:rPr>
            <w:t>(Title of annex)</w:t>
          </w:r>
        </w:sdtContent>
      </w:sdt>
    </w:p>
    <w:p w14:paraId="27DDA85A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7D905D08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264E0208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19B0A5C8" w14:textId="77777777" w:rsidR="00B6102D" w:rsidRDefault="00B6102D" w:rsidP="009F245F">
      <w:pPr>
        <w:rPr>
          <w:rFonts w:ascii="Verdana" w:hAnsi="Verdana"/>
          <w:sz w:val="20"/>
          <w:szCs w:val="20"/>
        </w:rPr>
      </w:pPr>
    </w:p>
    <w:p w14:paraId="28D497F7" w14:textId="77777777" w:rsidR="00B6102D" w:rsidRDefault="00B6102D" w:rsidP="00B610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order for a wave observing system to satisfy the widest range of activities the "First five" Fourier components of the directional spectral wave field are required (e.g. </w:t>
      </w:r>
      <w:proofErr w:type="spellStart"/>
      <w:r>
        <w:rPr>
          <w:rFonts w:ascii="Verdana" w:hAnsi="Verdana"/>
          <w:sz w:val="20"/>
          <w:szCs w:val="20"/>
        </w:rPr>
        <w:t>Swail</w:t>
      </w:r>
      <w:proofErr w:type="spellEnd"/>
      <w:r>
        <w:rPr>
          <w:rFonts w:ascii="Verdana" w:hAnsi="Verdana"/>
          <w:sz w:val="20"/>
          <w:szCs w:val="20"/>
        </w:rPr>
        <w:t xml:space="preserve"> et al., 2010). These are defined as the wave energy and the first four coefficients (a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>, b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  <w:vertAlign w:val="subscript"/>
        </w:rPr>
        <w:t xml:space="preserve">2, </w:t>
      </w:r>
      <w:r>
        <w:rPr>
          <w:rFonts w:ascii="Verdana" w:hAnsi="Verdana"/>
          <w:sz w:val="20"/>
          <w:szCs w:val="20"/>
        </w:rPr>
        <w:t>and b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) of the Fourier series defining the directional distribution of that energy for each frequency band. </w:t>
      </w:r>
    </w:p>
    <w:p w14:paraId="7ED69BF2" w14:textId="77777777" w:rsidR="00B6102D" w:rsidRDefault="00B6102D" w:rsidP="00B6102D">
      <w:pPr>
        <w:jc w:val="both"/>
        <w:rPr>
          <w:rFonts w:ascii="Verdana" w:hAnsi="Verdana"/>
          <w:sz w:val="20"/>
          <w:szCs w:val="20"/>
        </w:rPr>
      </w:pPr>
    </w:p>
    <w:p w14:paraId="0A297C1E" w14:textId="77777777" w:rsidR="00B6102D" w:rsidRDefault="00B6102D" w:rsidP="00B610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Table B elements and Table D sequence proposed in this document provide the capability to report the "First five" in BUFR.</w:t>
      </w:r>
    </w:p>
    <w:p w14:paraId="748B3F45" w14:textId="77777777" w:rsidR="00B6102D" w:rsidRDefault="00B6102D" w:rsidP="00B6102D">
      <w:pPr>
        <w:jc w:val="both"/>
        <w:rPr>
          <w:rFonts w:ascii="Verdana" w:hAnsi="Verdana"/>
          <w:sz w:val="20"/>
          <w:szCs w:val="20"/>
        </w:rPr>
      </w:pPr>
    </w:p>
    <w:p w14:paraId="1D0738FF" w14:textId="77777777" w:rsidR="00B6102D" w:rsidRDefault="00B6102D" w:rsidP="00B6102D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eastAsia="Times New Roman"/>
        </w:rPr>
        <w:t>Swail</w:t>
      </w:r>
      <w:proofErr w:type="spellEnd"/>
      <w:r>
        <w:rPr>
          <w:rFonts w:eastAsia="Times New Roman"/>
        </w:rPr>
        <w:t xml:space="preserve">, V. &amp; Co-Authors (2010). "Wave Measurements, Needs and Developments for the Next Decade" in </w:t>
      </w:r>
      <w:r>
        <w:rPr>
          <w:rStyle w:val="Emphasis"/>
          <w:rFonts w:eastAsia="Times New Roman"/>
        </w:rPr>
        <w:t>Proceedings of OceanObs’09: Sustained Ocean Observations and Information for Society (Vol. 2),</w:t>
      </w:r>
      <w:r>
        <w:rPr>
          <w:rFonts w:eastAsia="Times New Roman"/>
        </w:rPr>
        <w:t xml:space="preserve"> Venice, Italy, 21-25 September 2009, Hall, J., Harrison, D.E. &amp; Stammer, D., Eds., ESA Publication WPP-306, doi:10.5270/OceanObs09.cwp.87</w:t>
      </w:r>
    </w:p>
    <w:p w14:paraId="39225D16" w14:textId="77777777" w:rsidR="00B6102D" w:rsidRPr="00F35A04" w:rsidRDefault="00B6102D" w:rsidP="009F245F">
      <w:pPr>
        <w:rPr>
          <w:rFonts w:ascii="Verdana" w:hAnsi="Verdana"/>
          <w:sz w:val="20"/>
          <w:szCs w:val="20"/>
        </w:rPr>
      </w:pPr>
    </w:p>
    <w:p w14:paraId="7659F5A6" w14:textId="2FEDA11D" w:rsidR="009F245F" w:rsidRPr="00F35A04" w:rsidRDefault="009F245F" w:rsidP="00B306F7">
      <w:pPr>
        <w:jc w:val="both"/>
        <w:rPr>
          <w:rFonts w:ascii="Verdana" w:hAnsi="Verdana"/>
          <w:sz w:val="20"/>
          <w:szCs w:val="20"/>
        </w:rPr>
      </w:pPr>
    </w:p>
    <w:p w14:paraId="7431C747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34B6F73D" w14:textId="77777777" w:rsidR="00B6102D" w:rsidRDefault="00B6102D" w:rsidP="009F245F">
      <w:pPr>
        <w:rPr>
          <w:rFonts w:ascii="Verdana" w:hAnsi="Verdana"/>
          <w:sz w:val="20"/>
          <w:szCs w:val="20"/>
        </w:rPr>
        <w:sectPr w:rsidR="00B6102D" w:rsidSect="00205D7D">
          <w:type w:val="continuous"/>
          <w:pgSz w:w="11907" w:h="16840" w:code="9"/>
          <w:pgMar w:top="1134" w:right="1134" w:bottom="1134" w:left="1134" w:header="567" w:footer="567" w:gutter="0"/>
          <w:paperSrc w:first="15" w:other="15"/>
          <w:cols w:space="708"/>
          <w:docGrid w:type="linesAndChars" w:linePitch="326"/>
        </w:sectPr>
      </w:pPr>
    </w:p>
    <w:p w14:paraId="6A37B028" w14:textId="77777777"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14:paraId="756DD5EE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11B4FEC7" w14:textId="77777777" w:rsidR="00B6102D" w:rsidRDefault="00B6102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Add new entries to BUFR Table B </w:t>
      </w:r>
    </w:p>
    <w:p w14:paraId="679EE0BF" w14:textId="77777777" w:rsidR="00B6102D" w:rsidRPr="00B6102D" w:rsidRDefault="00B6102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B6102D">
        <w:rPr>
          <w:rFonts w:ascii="Verdana" w:hAnsi="Verdana"/>
          <w:b/>
          <w:sz w:val="20"/>
          <w:szCs w:val="20"/>
          <w:lang w:val="en-US"/>
        </w:rPr>
        <w:t>Class 42 (Oceanographic elements)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2"/>
        <w:gridCol w:w="4925"/>
        <w:gridCol w:w="1134"/>
        <w:gridCol w:w="851"/>
        <w:gridCol w:w="1275"/>
        <w:gridCol w:w="1560"/>
        <w:gridCol w:w="1134"/>
        <w:gridCol w:w="850"/>
        <w:gridCol w:w="1497"/>
      </w:tblGrid>
      <w:tr w:rsidR="00B6102D" w:rsidRPr="00B6102D" w14:paraId="1DC27430" w14:textId="77777777" w:rsidTr="00B6102D">
        <w:tc>
          <w:tcPr>
            <w:tcW w:w="1562" w:type="dxa"/>
            <w:vMerge w:val="restart"/>
          </w:tcPr>
          <w:p w14:paraId="5520F207" w14:textId="77777777" w:rsidR="00B6102D" w:rsidRPr="00B6102D" w:rsidRDefault="00B6102D" w:rsidP="00D805F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Table Reference</w:t>
            </w:r>
          </w:p>
        </w:tc>
        <w:tc>
          <w:tcPr>
            <w:tcW w:w="4925" w:type="dxa"/>
            <w:vMerge w:val="restart"/>
          </w:tcPr>
          <w:p w14:paraId="6BF1CCEF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Element name</w:t>
            </w:r>
          </w:p>
        </w:tc>
        <w:tc>
          <w:tcPr>
            <w:tcW w:w="4820" w:type="dxa"/>
            <w:gridSpan w:val="4"/>
          </w:tcPr>
          <w:p w14:paraId="364FD739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BUFR</w:t>
            </w:r>
          </w:p>
        </w:tc>
        <w:tc>
          <w:tcPr>
            <w:tcW w:w="3481" w:type="dxa"/>
            <w:gridSpan w:val="3"/>
          </w:tcPr>
          <w:p w14:paraId="30007CDA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CREX</w:t>
            </w:r>
          </w:p>
        </w:tc>
      </w:tr>
      <w:tr w:rsidR="00B6102D" w:rsidRPr="00B6102D" w14:paraId="6A07FCF9" w14:textId="77777777" w:rsidTr="00B6102D">
        <w:trPr>
          <w:trHeight w:val="243"/>
        </w:trPr>
        <w:tc>
          <w:tcPr>
            <w:tcW w:w="1562" w:type="dxa"/>
            <w:vMerge/>
          </w:tcPr>
          <w:p w14:paraId="47F029BB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25" w:type="dxa"/>
            <w:vMerge/>
          </w:tcPr>
          <w:p w14:paraId="637DD208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CEF7AB5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Unit</w:t>
            </w:r>
          </w:p>
        </w:tc>
        <w:tc>
          <w:tcPr>
            <w:tcW w:w="851" w:type="dxa"/>
            <w:vMerge w:val="restart"/>
          </w:tcPr>
          <w:p w14:paraId="3A4370FC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Scale</w:t>
            </w:r>
          </w:p>
        </w:tc>
        <w:tc>
          <w:tcPr>
            <w:tcW w:w="1275" w:type="dxa"/>
            <w:vMerge w:val="restart"/>
          </w:tcPr>
          <w:p w14:paraId="48523782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Reference value</w:t>
            </w:r>
          </w:p>
        </w:tc>
        <w:tc>
          <w:tcPr>
            <w:tcW w:w="1560" w:type="dxa"/>
            <w:vMerge w:val="restart"/>
          </w:tcPr>
          <w:p w14:paraId="15284667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Data width (bits)</w:t>
            </w:r>
          </w:p>
        </w:tc>
        <w:tc>
          <w:tcPr>
            <w:tcW w:w="1134" w:type="dxa"/>
            <w:vMerge w:val="restart"/>
          </w:tcPr>
          <w:p w14:paraId="45219E88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Unit</w:t>
            </w:r>
          </w:p>
        </w:tc>
        <w:tc>
          <w:tcPr>
            <w:tcW w:w="850" w:type="dxa"/>
            <w:vMerge w:val="restart"/>
          </w:tcPr>
          <w:p w14:paraId="35CB9B54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Scale</w:t>
            </w:r>
          </w:p>
        </w:tc>
        <w:tc>
          <w:tcPr>
            <w:tcW w:w="1497" w:type="dxa"/>
            <w:vMerge w:val="restart"/>
          </w:tcPr>
          <w:p w14:paraId="5F12A9C6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Data width (characters)</w:t>
            </w:r>
          </w:p>
        </w:tc>
      </w:tr>
      <w:tr w:rsidR="00B6102D" w:rsidRPr="00B6102D" w14:paraId="5C3D9704" w14:textId="77777777" w:rsidTr="00B6102D">
        <w:tc>
          <w:tcPr>
            <w:tcW w:w="1562" w:type="dxa"/>
          </w:tcPr>
          <w:p w14:paraId="4F80D9D0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 XX YYY</w:t>
            </w:r>
          </w:p>
        </w:tc>
        <w:tc>
          <w:tcPr>
            <w:tcW w:w="4925" w:type="dxa"/>
            <w:vMerge/>
          </w:tcPr>
          <w:p w14:paraId="1D30D5FC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58DDAB8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5E0CAB32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14:paraId="27107BCD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14:paraId="3E6A2AC2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9F732AA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6B5F6398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Merge/>
          </w:tcPr>
          <w:p w14:paraId="457CB521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6102D" w:rsidRPr="00B6102D" w14:paraId="6AB57602" w14:textId="77777777" w:rsidTr="00B6102D">
        <w:tc>
          <w:tcPr>
            <w:tcW w:w="1562" w:type="dxa"/>
          </w:tcPr>
          <w:p w14:paraId="41D76119" w14:textId="60555663" w:rsidR="00B6102D" w:rsidRPr="00B6102D" w:rsidRDefault="00B6102D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011</w:t>
            </w:r>
          </w:p>
        </w:tc>
        <w:tc>
          <w:tcPr>
            <w:tcW w:w="4925" w:type="dxa"/>
          </w:tcPr>
          <w:p w14:paraId="7EB4E474" w14:textId="77777777" w:rsidR="00B6102D" w:rsidRPr="00B6102D" w:rsidRDefault="00B6102D" w:rsidP="00414E2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a1 coefficient of the directional Fourier series</w:t>
            </w:r>
          </w:p>
        </w:tc>
        <w:tc>
          <w:tcPr>
            <w:tcW w:w="1134" w:type="dxa"/>
          </w:tcPr>
          <w:p w14:paraId="7CAD3750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1C2FFDF6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782E909E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-2</w:t>
            </w:r>
          </w:p>
        </w:tc>
        <w:tc>
          <w:tcPr>
            <w:tcW w:w="1560" w:type="dxa"/>
          </w:tcPr>
          <w:p w14:paraId="2D6EFDD4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160C6E62" w14:textId="77777777" w:rsidR="00B6102D" w:rsidRPr="00B6102D" w:rsidRDefault="00B6102D" w:rsidP="00D805F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75F35A33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497" w:type="dxa"/>
          </w:tcPr>
          <w:p w14:paraId="13D84400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B6102D" w:rsidRPr="00B6102D" w14:paraId="2D9CFD12" w14:textId="77777777" w:rsidTr="00B6102D">
        <w:tc>
          <w:tcPr>
            <w:tcW w:w="1562" w:type="dxa"/>
          </w:tcPr>
          <w:p w14:paraId="4E7D2BE7" w14:textId="5F5396C1" w:rsidR="00B6102D" w:rsidRPr="00B6102D" w:rsidRDefault="00B6102D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012</w:t>
            </w:r>
          </w:p>
        </w:tc>
        <w:tc>
          <w:tcPr>
            <w:tcW w:w="4925" w:type="dxa"/>
          </w:tcPr>
          <w:p w14:paraId="330A1C74" w14:textId="77777777" w:rsidR="00B6102D" w:rsidRPr="00B6102D" w:rsidRDefault="00B6102D" w:rsidP="00414E2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b1 coefficient of the directional Fourier series</w:t>
            </w:r>
          </w:p>
        </w:tc>
        <w:tc>
          <w:tcPr>
            <w:tcW w:w="1134" w:type="dxa"/>
          </w:tcPr>
          <w:p w14:paraId="25F25852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5D3314E2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0BB50CCE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-2</w:t>
            </w:r>
          </w:p>
        </w:tc>
        <w:tc>
          <w:tcPr>
            <w:tcW w:w="1560" w:type="dxa"/>
          </w:tcPr>
          <w:p w14:paraId="3BB8E120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3EA15B7F" w14:textId="77777777" w:rsidR="00B6102D" w:rsidRPr="00B6102D" w:rsidRDefault="00B6102D" w:rsidP="00D805F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4F3FECEE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497" w:type="dxa"/>
          </w:tcPr>
          <w:p w14:paraId="62713F79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B6102D" w:rsidRPr="00B6102D" w14:paraId="3EAE73EA" w14:textId="77777777" w:rsidTr="00B6102D">
        <w:tc>
          <w:tcPr>
            <w:tcW w:w="1562" w:type="dxa"/>
          </w:tcPr>
          <w:p w14:paraId="7AA55588" w14:textId="27593E07" w:rsidR="00B6102D" w:rsidRPr="00B6102D" w:rsidRDefault="00B6102D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013</w:t>
            </w:r>
          </w:p>
        </w:tc>
        <w:tc>
          <w:tcPr>
            <w:tcW w:w="4925" w:type="dxa"/>
          </w:tcPr>
          <w:p w14:paraId="33CF32E0" w14:textId="77777777" w:rsidR="00B6102D" w:rsidRPr="00B6102D" w:rsidRDefault="00B6102D" w:rsidP="00414E2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a2 coefficient of the directional Fourier series</w:t>
            </w:r>
          </w:p>
        </w:tc>
        <w:tc>
          <w:tcPr>
            <w:tcW w:w="1134" w:type="dxa"/>
          </w:tcPr>
          <w:p w14:paraId="2EDF8794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50610830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358407F5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-2</w:t>
            </w:r>
          </w:p>
        </w:tc>
        <w:tc>
          <w:tcPr>
            <w:tcW w:w="1560" w:type="dxa"/>
          </w:tcPr>
          <w:p w14:paraId="253218C6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0DED2472" w14:textId="77777777" w:rsidR="00B6102D" w:rsidRPr="00B6102D" w:rsidRDefault="00B6102D" w:rsidP="00D805F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5D9BEBF3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497" w:type="dxa"/>
          </w:tcPr>
          <w:p w14:paraId="41B7AE81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B6102D" w:rsidRPr="00B6102D" w14:paraId="28591FEB" w14:textId="77777777" w:rsidTr="00B6102D">
        <w:tc>
          <w:tcPr>
            <w:tcW w:w="1562" w:type="dxa"/>
          </w:tcPr>
          <w:p w14:paraId="45A1A4CF" w14:textId="053E4A27" w:rsidR="00B6102D" w:rsidRPr="00B6102D" w:rsidRDefault="00B6102D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014</w:t>
            </w:r>
          </w:p>
        </w:tc>
        <w:tc>
          <w:tcPr>
            <w:tcW w:w="4925" w:type="dxa"/>
          </w:tcPr>
          <w:p w14:paraId="653C7A01" w14:textId="77777777" w:rsidR="00B6102D" w:rsidRPr="00B6102D" w:rsidRDefault="00B6102D" w:rsidP="00414E2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b2 coefficient of the directional Fourier series</w:t>
            </w:r>
          </w:p>
        </w:tc>
        <w:tc>
          <w:tcPr>
            <w:tcW w:w="1134" w:type="dxa"/>
          </w:tcPr>
          <w:p w14:paraId="5C216C47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0943B990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06326DA8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-2</w:t>
            </w:r>
          </w:p>
        </w:tc>
        <w:tc>
          <w:tcPr>
            <w:tcW w:w="1560" w:type="dxa"/>
          </w:tcPr>
          <w:p w14:paraId="57A57D2D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02C01B91" w14:textId="77777777" w:rsidR="00B6102D" w:rsidRPr="00B6102D" w:rsidRDefault="00B6102D" w:rsidP="00D805F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1EEE3297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497" w:type="dxa"/>
          </w:tcPr>
          <w:p w14:paraId="33178514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B6102D" w:rsidRPr="00B6102D" w14:paraId="471E4C74" w14:textId="77777777" w:rsidTr="00B6102D">
        <w:tc>
          <w:tcPr>
            <w:tcW w:w="1562" w:type="dxa"/>
          </w:tcPr>
          <w:p w14:paraId="7E2A3111" w14:textId="03923329" w:rsidR="00B6102D" w:rsidRPr="00B6102D" w:rsidRDefault="00B6102D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015</w:t>
            </w:r>
          </w:p>
        </w:tc>
        <w:tc>
          <w:tcPr>
            <w:tcW w:w="4925" w:type="dxa"/>
          </w:tcPr>
          <w:p w14:paraId="33A949F2" w14:textId="77777777" w:rsidR="00B6102D" w:rsidRPr="00B6102D" w:rsidRDefault="00B6102D" w:rsidP="00414E2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heck factor K</w:t>
            </w:r>
          </w:p>
        </w:tc>
        <w:tc>
          <w:tcPr>
            <w:tcW w:w="1134" w:type="dxa"/>
          </w:tcPr>
          <w:p w14:paraId="00868AA1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4481016E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14:paraId="2420A29E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14:paraId="130B5B8C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35C3BCA9" w14:textId="77777777" w:rsidR="00B6102D" w:rsidRPr="00B6102D" w:rsidRDefault="00B6102D" w:rsidP="00D805F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31297F14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497" w:type="dxa"/>
          </w:tcPr>
          <w:p w14:paraId="1FFCFA62" w14:textId="77777777" w:rsidR="00B6102D" w:rsidRP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7067E996" w14:textId="77777777" w:rsidR="00B6102D" w:rsidRDefault="00B6102D" w:rsidP="00B6102D">
      <w:pPr>
        <w:jc w:val="both"/>
        <w:rPr>
          <w:rFonts w:ascii="Verdana" w:hAnsi="Verdana"/>
          <w:sz w:val="20"/>
          <w:szCs w:val="20"/>
          <w:lang w:val="en-US"/>
        </w:rPr>
      </w:pPr>
    </w:p>
    <w:p w14:paraId="5D790B76" w14:textId="77777777" w:rsidR="00647501" w:rsidRDefault="007039F1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Add new entry to BUFR Table D</w:t>
      </w:r>
    </w:p>
    <w:p w14:paraId="07B9A455" w14:textId="77777777" w:rsidR="00B6102D" w:rsidRPr="00B6102D" w:rsidRDefault="00B6102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B6102D">
        <w:rPr>
          <w:rFonts w:ascii="Verdana" w:hAnsi="Verdana"/>
          <w:b/>
          <w:sz w:val="20"/>
          <w:szCs w:val="20"/>
          <w:lang w:val="en-US"/>
        </w:rPr>
        <w:t>Category 15 (Oceanographic report sequences)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3"/>
        <w:gridCol w:w="1701"/>
        <w:gridCol w:w="6042"/>
        <w:gridCol w:w="5182"/>
      </w:tblGrid>
      <w:tr w:rsidR="007039F1" w:rsidRPr="007039F1" w14:paraId="6CABC3B8" w14:textId="77777777" w:rsidTr="00B6102D">
        <w:tc>
          <w:tcPr>
            <w:tcW w:w="630" w:type="pct"/>
          </w:tcPr>
          <w:p w14:paraId="77E20B05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35CDBD39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43" w:type="pct"/>
          </w:tcPr>
          <w:p w14:paraId="30E0F7AB" w14:textId="77777777" w:rsidR="007039F1" w:rsidRPr="00B6102D" w:rsidRDefault="00B6102D" w:rsidP="00081C7A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b/>
                <w:sz w:val="20"/>
                <w:szCs w:val="20"/>
                <w:lang w:val="en-US"/>
              </w:rPr>
              <w:t>First five F</w:t>
            </w:r>
            <w:r w:rsidR="007039F1" w:rsidRPr="00B6102D">
              <w:rPr>
                <w:rFonts w:ascii="Verdana" w:hAnsi="Verdana"/>
                <w:b/>
                <w:sz w:val="20"/>
                <w:szCs w:val="20"/>
                <w:lang w:val="en-US"/>
              </w:rPr>
              <w:t>ourier components of the wave spectrum</w:t>
            </w:r>
          </w:p>
        </w:tc>
        <w:tc>
          <w:tcPr>
            <w:tcW w:w="1752" w:type="pct"/>
          </w:tcPr>
          <w:p w14:paraId="418A2B4B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039F1" w:rsidRPr="007039F1" w14:paraId="63B34058" w14:textId="77777777" w:rsidTr="00B6102D">
        <w:tc>
          <w:tcPr>
            <w:tcW w:w="630" w:type="pct"/>
          </w:tcPr>
          <w:p w14:paraId="14806421" w14:textId="2E1A5DA2" w:rsidR="007039F1" w:rsidRPr="007039F1" w:rsidRDefault="007039F1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3 15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010</w:t>
            </w:r>
          </w:p>
        </w:tc>
        <w:tc>
          <w:tcPr>
            <w:tcW w:w="575" w:type="pct"/>
          </w:tcPr>
          <w:p w14:paraId="1C8E0A40" w14:textId="77777777" w:rsidR="007039F1" w:rsidRP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1 08 000</w:t>
            </w:r>
          </w:p>
        </w:tc>
        <w:tc>
          <w:tcPr>
            <w:tcW w:w="2043" w:type="pct"/>
          </w:tcPr>
          <w:p w14:paraId="102BFEF0" w14:textId="77777777" w:rsidR="007039F1" w:rsidRDefault="00B6102D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="007039F1" w:rsidRPr="007039F1">
              <w:rPr>
                <w:rFonts w:ascii="Verdana" w:hAnsi="Verdana"/>
                <w:sz w:val="20"/>
                <w:szCs w:val="20"/>
                <w:lang w:val="en-US"/>
              </w:rPr>
              <w:t>elayed replication of 8 descriptors</w:t>
            </w:r>
          </w:p>
        </w:tc>
        <w:tc>
          <w:tcPr>
            <w:tcW w:w="1752" w:type="pct"/>
          </w:tcPr>
          <w:p w14:paraId="02DFEDD2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039F1" w:rsidRPr="007039F1" w14:paraId="0543BB1F" w14:textId="77777777" w:rsidTr="00B6102D">
        <w:tc>
          <w:tcPr>
            <w:tcW w:w="630" w:type="pct"/>
          </w:tcPr>
          <w:p w14:paraId="6EB84C81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2F5BEE38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0 31 001</w:t>
            </w:r>
          </w:p>
        </w:tc>
        <w:tc>
          <w:tcPr>
            <w:tcW w:w="2043" w:type="pct"/>
          </w:tcPr>
          <w:p w14:paraId="74CEAFD6" w14:textId="77777777" w:rsidR="007039F1" w:rsidRPr="007039F1" w:rsidRDefault="00B6102D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Delayed descriptor replication factor</w:t>
            </w:r>
          </w:p>
        </w:tc>
        <w:tc>
          <w:tcPr>
            <w:tcW w:w="1752" w:type="pct"/>
          </w:tcPr>
          <w:p w14:paraId="383C883F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039F1" w:rsidRPr="007039F1" w14:paraId="557248B8" w14:textId="77777777" w:rsidTr="00B6102D">
        <w:tc>
          <w:tcPr>
            <w:tcW w:w="630" w:type="pct"/>
          </w:tcPr>
          <w:p w14:paraId="126E4CC3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2C8386AB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0 22 080</w:t>
            </w:r>
          </w:p>
        </w:tc>
        <w:tc>
          <w:tcPr>
            <w:tcW w:w="2043" w:type="pct"/>
          </w:tcPr>
          <w:p w14:paraId="4CD21FF1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Waveband central frequency (Hz)</w:t>
            </w:r>
          </w:p>
        </w:tc>
        <w:tc>
          <w:tcPr>
            <w:tcW w:w="1752" w:type="pct"/>
          </w:tcPr>
          <w:p w14:paraId="342047E1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039F1" w:rsidRPr="007039F1" w14:paraId="02F517D1" w14:textId="77777777" w:rsidTr="00B6102D">
        <w:tc>
          <w:tcPr>
            <w:tcW w:w="630" w:type="pct"/>
          </w:tcPr>
          <w:p w14:paraId="1C5CADB6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2A80E40E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0 22 096</w:t>
            </w:r>
          </w:p>
        </w:tc>
        <w:tc>
          <w:tcPr>
            <w:tcW w:w="2043" w:type="pct"/>
          </w:tcPr>
          <w:p w14:paraId="2DB9A4C2" w14:textId="3A3BA8A0" w:rsidR="007039F1" w:rsidRDefault="007039F1" w:rsidP="00B71F3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Spectral band width (</w:t>
            </w:r>
            <w:r w:rsidR="007F5BFB">
              <w:rPr>
                <w:rFonts w:ascii="Verdana" w:hAnsi="Verdana"/>
                <w:sz w:val="20"/>
                <w:szCs w:val="20"/>
                <w:lang w:val="en-US"/>
              </w:rPr>
              <w:t>Hz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752" w:type="pct"/>
          </w:tcPr>
          <w:p w14:paraId="45F27EBE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039F1" w:rsidRPr="007039F1" w14:paraId="64987937" w14:textId="77777777" w:rsidTr="00B6102D">
        <w:tc>
          <w:tcPr>
            <w:tcW w:w="630" w:type="pct"/>
          </w:tcPr>
          <w:p w14:paraId="0F9F69C5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71A970EC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0 22 069</w:t>
            </w:r>
          </w:p>
        </w:tc>
        <w:tc>
          <w:tcPr>
            <w:tcW w:w="2043" w:type="pct"/>
          </w:tcPr>
          <w:p w14:paraId="0C5E1416" w14:textId="43676287" w:rsid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Spectral wave density (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m</w:t>
            </w:r>
            <w:r w:rsidR="00E05EC2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Hz</w:t>
            </w:r>
            <w:r w:rsidR="00C05F6B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752" w:type="pct"/>
          </w:tcPr>
          <w:p w14:paraId="10353755" w14:textId="77777777" w:rsidR="007039F1" w:rsidRP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039F1" w:rsidRPr="007039F1" w14:paraId="520E85F2" w14:textId="77777777" w:rsidTr="00B6102D">
        <w:tc>
          <w:tcPr>
            <w:tcW w:w="630" w:type="pct"/>
          </w:tcPr>
          <w:p w14:paraId="486F1BCE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698A8C18" w14:textId="04809333" w:rsidR="007039F1" w:rsidRDefault="007039F1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 w:rsidR="00B6102D"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011</w:t>
            </w:r>
          </w:p>
        </w:tc>
        <w:tc>
          <w:tcPr>
            <w:tcW w:w="2043" w:type="pct"/>
          </w:tcPr>
          <w:p w14:paraId="032D61E5" w14:textId="77777777" w:rsid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a1 coefficient of the directional Fourier series</w:t>
            </w:r>
          </w:p>
        </w:tc>
        <w:tc>
          <w:tcPr>
            <w:tcW w:w="1752" w:type="pct"/>
          </w:tcPr>
          <w:p w14:paraId="7F113440" w14:textId="77777777" w:rsidR="007039F1" w:rsidRPr="007039F1" w:rsidRDefault="00B6102D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First moment of the directional wave spectrum</w:t>
            </w:r>
          </w:p>
        </w:tc>
      </w:tr>
      <w:tr w:rsidR="007039F1" w:rsidRPr="007039F1" w14:paraId="5F144CBA" w14:textId="77777777" w:rsidTr="00B6102D">
        <w:tc>
          <w:tcPr>
            <w:tcW w:w="630" w:type="pct"/>
          </w:tcPr>
          <w:p w14:paraId="123567B7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25D87FF2" w14:textId="1A5CEB21" w:rsidR="007039F1" w:rsidRDefault="007039F1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 w:rsidR="00B6102D"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012</w:t>
            </w:r>
          </w:p>
        </w:tc>
        <w:tc>
          <w:tcPr>
            <w:tcW w:w="2043" w:type="pct"/>
          </w:tcPr>
          <w:p w14:paraId="7DB11DAF" w14:textId="77777777" w:rsidR="007039F1" w:rsidRDefault="007039F1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b1 coefficient of the directional Fourier series</w:t>
            </w:r>
          </w:p>
        </w:tc>
        <w:tc>
          <w:tcPr>
            <w:tcW w:w="1752" w:type="pct"/>
          </w:tcPr>
          <w:p w14:paraId="0ECCBA50" w14:textId="77777777" w:rsidR="007039F1" w:rsidRPr="007039F1" w:rsidRDefault="00B6102D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First moment of the directional wave spectrum</w:t>
            </w:r>
          </w:p>
        </w:tc>
      </w:tr>
      <w:tr w:rsidR="007039F1" w:rsidRPr="007039F1" w14:paraId="7E1A7209" w14:textId="77777777" w:rsidTr="00B6102D">
        <w:tc>
          <w:tcPr>
            <w:tcW w:w="630" w:type="pct"/>
          </w:tcPr>
          <w:p w14:paraId="28D06838" w14:textId="77777777" w:rsidR="007039F1" w:rsidRDefault="007039F1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5E3AEE5B" w14:textId="34EE4790" w:rsidR="007039F1" w:rsidRDefault="007039F1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 w:rsidR="00B6102D"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013</w:t>
            </w:r>
          </w:p>
        </w:tc>
        <w:tc>
          <w:tcPr>
            <w:tcW w:w="2043" w:type="pct"/>
          </w:tcPr>
          <w:p w14:paraId="15D6F3E0" w14:textId="77777777" w:rsidR="007039F1" w:rsidRDefault="00B6102D" w:rsidP="00D805F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a2</w:t>
            </w:r>
            <w:r w:rsidR="007039F1">
              <w:rPr>
                <w:rFonts w:ascii="Verdana" w:hAnsi="Verdana"/>
                <w:sz w:val="20"/>
                <w:szCs w:val="20"/>
                <w:lang w:val="en-US"/>
              </w:rPr>
              <w:t xml:space="preserve"> coefficient of the directional Fourier series</w:t>
            </w:r>
          </w:p>
        </w:tc>
        <w:tc>
          <w:tcPr>
            <w:tcW w:w="1752" w:type="pct"/>
          </w:tcPr>
          <w:p w14:paraId="7256918B" w14:textId="77777777" w:rsidR="007039F1" w:rsidRPr="007039F1" w:rsidRDefault="00B6102D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Second moment of the directional wave spectrum</w:t>
            </w:r>
          </w:p>
        </w:tc>
      </w:tr>
      <w:tr w:rsidR="00B6102D" w:rsidRPr="007039F1" w14:paraId="22E0DB4B" w14:textId="77777777" w:rsidTr="00B6102D">
        <w:tc>
          <w:tcPr>
            <w:tcW w:w="630" w:type="pct"/>
          </w:tcPr>
          <w:p w14:paraId="5795BCE1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267BD616" w14:textId="01A38A4C" w:rsidR="00B6102D" w:rsidRDefault="00B6102D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0 42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014</w:t>
            </w:r>
          </w:p>
        </w:tc>
        <w:tc>
          <w:tcPr>
            <w:tcW w:w="2043" w:type="pct"/>
          </w:tcPr>
          <w:p w14:paraId="77D0D55E" w14:textId="77777777" w:rsidR="00B6102D" w:rsidRDefault="00B6102D" w:rsidP="00D805F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b2 coefficient of the directional Fourier series</w:t>
            </w:r>
          </w:p>
        </w:tc>
        <w:tc>
          <w:tcPr>
            <w:tcW w:w="1752" w:type="pct"/>
          </w:tcPr>
          <w:p w14:paraId="21966D03" w14:textId="77777777" w:rsidR="00B6102D" w:rsidRPr="007039F1" w:rsidRDefault="00B6102D" w:rsidP="00D805F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Second moment of the directional wave spectrum</w:t>
            </w:r>
          </w:p>
        </w:tc>
      </w:tr>
      <w:tr w:rsidR="00B6102D" w:rsidRPr="007039F1" w14:paraId="5D767DA0" w14:textId="77777777" w:rsidTr="00B6102D">
        <w:tc>
          <w:tcPr>
            <w:tcW w:w="630" w:type="pct"/>
          </w:tcPr>
          <w:p w14:paraId="27497F80" w14:textId="77777777" w:rsidR="00B6102D" w:rsidRDefault="00B6102D" w:rsidP="00B6102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49AD0E44" w14:textId="02FC8D3D" w:rsidR="00B6102D" w:rsidRDefault="00B6102D" w:rsidP="00E05E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0 42 </w:t>
            </w:r>
            <w:r w:rsidR="00E05EC2">
              <w:rPr>
                <w:rFonts w:ascii="Verdana" w:hAnsi="Verdana"/>
                <w:sz w:val="20"/>
                <w:szCs w:val="20"/>
                <w:lang w:val="en-US"/>
              </w:rPr>
              <w:t>015</w:t>
            </w:r>
          </w:p>
        </w:tc>
        <w:tc>
          <w:tcPr>
            <w:tcW w:w="2043" w:type="pct"/>
          </w:tcPr>
          <w:p w14:paraId="0F092C76" w14:textId="77777777" w:rsidR="00B6102D" w:rsidRDefault="00B6102D" w:rsidP="00D805F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Check factor K </w:t>
            </w:r>
          </w:p>
        </w:tc>
        <w:tc>
          <w:tcPr>
            <w:tcW w:w="1752" w:type="pct"/>
          </w:tcPr>
          <w:p w14:paraId="6DFB519A" w14:textId="77777777" w:rsidR="00B6102D" w:rsidRPr="007039F1" w:rsidRDefault="00B6102D" w:rsidP="00081C7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Inverse of wave ellipticity</w:t>
            </w:r>
          </w:p>
        </w:tc>
      </w:tr>
    </w:tbl>
    <w:p w14:paraId="25BE468F" w14:textId="77777777" w:rsidR="00D51173" w:rsidRDefault="00D51173" w:rsidP="00B6102D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Sect="00B6102D">
      <w:pgSz w:w="16840" w:h="11901" w:orient="landscape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0955" w14:textId="77777777" w:rsidR="00403512" w:rsidRDefault="00403512" w:rsidP="004C1690">
      <w:r>
        <w:separator/>
      </w:r>
    </w:p>
  </w:endnote>
  <w:endnote w:type="continuationSeparator" w:id="0">
    <w:p w14:paraId="245B6CA0" w14:textId="77777777" w:rsidR="00403512" w:rsidRDefault="00403512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08BD" w14:textId="77777777" w:rsidR="00403512" w:rsidRDefault="00403512" w:rsidP="004C1690">
      <w:r>
        <w:separator/>
      </w:r>
    </w:p>
  </w:footnote>
  <w:footnote w:type="continuationSeparator" w:id="0">
    <w:p w14:paraId="7DCCA9BB" w14:textId="77777777" w:rsidR="00403512" w:rsidRDefault="00403512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512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35CDA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39F1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7F5BFB"/>
    <w:rsid w:val="00806A85"/>
    <w:rsid w:val="00810F6C"/>
    <w:rsid w:val="00822564"/>
    <w:rsid w:val="0084259D"/>
    <w:rsid w:val="00854CF1"/>
    <w:rsid w:val="0087795A"/>
    <w:rsid w:val="00882178"/>
    <w:rsid w:val="008944A2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6102D"/>
    <w:rsid w:val="00B71F3C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05F6B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05EC2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3CF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70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6102D"/>
    <w:rPr>
      <w:i/>
      <w:iCs/>
    </w:rPr>
  </w:style>
  <w:style w:type="character" w:styleId="CommentReference">
    <w:name w:val="annotation reference"/>
    <w:basedOn w:val="DefaultParagraphFont"/>
    <w:rsid w:val="008944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44A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944A2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944A2"/>
    <w:rPr>
      <w:rFonts w:ascii="Arial" w:hAnsi="Arial"/>
      <w:b/>
      <w:bCs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70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6102D"/>
    <w:rPr>
      <w:i/>
      <w:iCs/>
    </w:rPr>
  </w:style>
  <w:style w:type="character" w:styleId="CommentReference">
    <w:name w:val="annotation reference"/>
    <w:basedOn w:val="DefaultParagraphFont"/>
    <w:rsid w:val="008944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44A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944A2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944A2"/>
    <w:rPr>
      <w:rFonts w:ascii="Arial" w:hAnsi="Arial"/>
      <w:b/>
      <w:bCs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DFD479EB54D947E8A3198A5E6DA3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2197-D614-49D7-8AB1-CDF1BBB03E99}"/>
      </w:docPartPr>
      <w:docPartBody>
        <w:p w:rsidR="00876B2D" w:rsidRDefault="00E3730F" w:rsidP="00E3730F">
          <w:pPr>
            <w:pStyle w:val="DFD479EB54D947E8A3198A5E6DA35F9435"/>
          </w:pPr>
          <w:r>
            <w:rPr>
              <w:rStyle w:val="PlaceholderText"/>
            </w:rPr>
            <w:t>(Title of annex)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620B1D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F0F3-BA99-4950-A2BE-1490E07E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2018-05-23T10:12:00Z</dcterms:created>
  <dcterms:modified xsi:type="dcterms:W3CDTF">2018-05-23T10:12:00Z</dcterms:modified>
</cp:coreProperties>
</file>