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A93A97">
        <w:trPr>
          <w:jc w:val="center"/>
        </w:trPr>
        <w:tc>
          <w:tcPr>
            <w:tcW w:w="6160" w:type="dxa"/>
            <w:shd w:val="clear" w:color="auto" w:fill="auto"/>
          </w:tcPr>
          <w:p w:rsidR="00F40FE0" w:rsidRDefault="0086237E" w:rsidP="00F40FE0">
            <w:pPr>
              <w:jc w:val="center"/>
              <w:rPr>
                <w:rFonts w:ascii="Verdana" w:hAnsi="Verdana" w:cs="Arial"/>
                <w:bCs/>
                <w:snapToGrid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F40FE0" w:rsidRDefault="0086237E" w:rsidP="00F40F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F40FE0" w:rsidRDefault="0086237E" w:rsidP="00F40F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F40FE0" w:rsidRDefault="0086237E" w:rsidP="00F40F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 MEETING OF</w:t>
            </w:r>
          </w:p>
          <w:p w:rsidR="00F40FE0" w:rsidRDefault="0086237E" w:rsidP="00F40F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F40FE0" w:rsidRDefault="0086237E" w:rsidP="00F40F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40FE0" w:rsidRDefault="0086237E" w:rsidP="00F40FE0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OFFENBACH, GERMANY, 28 MAY - 1 JUNE 2018</w:t>
            </w:r>
          </w:p>
        </w:tc>
        <w:tc>
          <w:tcPr>
            <w:tcW w:w="283" w:type="dxa"/>
            <w:shd w:val="clear" w:color="auto" w:fill="auto"/>
          </w:tcPr>
          <w:p w:rsidR="00F40FE0" w:rsidRDefault="0086237E" w:rsidP="00F40FE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F40FE0" w:rsidRDefault="0086237E" w:rsidP="00F40FE0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IPET-CM-II / </w:t>
            </w:r>
            <w:r>
              <w:rPr>
                <w:rFonts w:ascii="Verdana" w:hAnsi="Verdana"/>
                <w:sz w:val="20"/>
                <w:szCs w:val="20"/>
              </w:rPr>
              <w:t>Doc. 2.4 (1)</w:t>
            </w:r>
          </w:p>
          <w:p w:rsidR="00F40FE0" w:rsidRDefault="0086237E" w:rsidP="0086237E">
            <w:pPr>
              <w:tabs>
                <w:tab w:val="left" w:pos="60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  <w:r w:rsidRPr="0086237E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Pr="0086237E">
              <w:rPr>
                <w:rFonts w:ascii="Verdana" w:hAnsi="Verdana"/>
                <w:sz w:val="20"/>
                <w:szCs w:val="20"/>
              </w:rPr>
              <w:t>. 2018</w:t>
            </w:r>
          </w:p>
          <w:p w:rsidR="00F40FE0" w:rsidRDefault="0086237E" w:rsidP="00F40F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F40FE0" w:rsidRDefault="0086237E" w:rsidP="00F40FE0">
            <w:pPr>
              <w:rPr>
                <w:rFonts w:ascii="Verdana" w:hAnsi="Verdana"/>
                <w:sz w:val="20"/>
                <w:szCs w:val="20"/>
              </w:rPr>
            </w:pPr>
          </w:p>
          <w:p w:rsidR="00F40FE0" w:rsidRDefault="0086237E" w:rsidP="00F40F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 2.4</w:t>
            </w:r>
          </w:p>
          <w:p w:rsidR="00F40FE0" w:rsidRDefault="0086237E" w:rsidP="00F40FE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F40FE0" w:rsidRDefault="0086237E" w:rsidP="00F40FE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856FCF" w:rsidRPr="00F35A04" w:rsidRDefault="0086237E" w:rsidP="00856FCF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856FCF" w:rsidRPr="00F35A04" w:rsidRDefault="0086237E" w:rsidP="00856FCF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856FCF" w:rsidRPr="00F35A04" w:rsidRDefault="0086237E" w:rsidP="00856FCF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856FCF" w:rsidRPr="00F35A04" w:rsidRDefault="0086237E" w:rsidP="00856FC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UFR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BUFR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856FCF" w:rsidRPr="00F35A04" w:rsidRDefault="0086237E" w:rsidP="00856FC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BUFR descriptors for flagged ancillary data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BUFR descriptors for flagged ancillary data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856FCF" w:rsidRPr="00F35A04" w:rsidRDefault="0086237E" w:rsidP="00856FC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imon Elliott (EUMETSAT), Daniel Lee (EUMETSAT)"/>
            </w:textInput>
          </w:ffData>
        </w:fldChar>
      </w:r>
      <w:bookmarkStart w:id="3" w:name="Text3"/>
      <w:r>
        <w:rPr>
          <w:rFonts w:ascii="Verdana" w:hAnsi="Verdana"/>
          <w:i/>
          <w:sz w:val="20"/>
          <w:szCs w:val="20"/>
        </w:rPr>
        <w:instrText xml:space="preserve"> FORMTEXT </w:instrText>
      </w:r>
      <w:r>
        <w:rPr>
          <w:rFonts w:ascii="Verdana" w:hAnsi="Verdana"/>
          <w:i/>
          <w:sz w:val="20"/>
          <w:szCs w:val="20"/>
        </w:rPr>
      </w:r>
      <w:r>
        <w:rPr>
          <w:rFonts w:ascii="Verdana" w:hAnsi="Verdana"/>
          <w:i/>
          <w:sz w:val="20"/>
          <w:szCs w:val="20"/>
        </w:rPr>
        <w:fldChar w:fldCharType="separate"/>
      </w:r>
      <w:r>
        <w:rPr>
          <w:rFonts w:ascii="Verdana" w:hAnsi="Verdana"/>
          <w:i/>
          <w:noProof/>
          <w:sz w:val="20"/>
          <w:szCs w:val="20"/>
        </w:rPr>
        <w:t>Simon Elliott (EUMETSAT), Daniel Lee (EUMETSAT)</w:t>
      </w:r>
      <w:r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856FCF" w:rsidRPr="00F35A04" w:rsidRDefault="0086237E" w:rsidP="00856FCF">
      <w:pPr>
        <w:jc w:val="center"/>
        <w:rPr>
          <w:rFonts w:ascii="Verdana" w:hAnsi="Verdana"/>
          <w:sz w:val="20"/>
          <w:szCs w:val="20"/>
        </w:rPr>
      </w:pPr>
    </w:p>
    <w:p w:rsidR="00856FCF" w:rsidRPr="00F35A04" w:rsidRDefault="0086237E" w:rsidP="00856FC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856FCF" w:rsidRPr="00F35A04" w:rsidRDefault="0086237E" w:rsidP="00856FC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856FCF" w:rsidRPr="00F35A04" w:rsidRDefault="0086237E" w:rsidP="00856FC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856FCF" w:rsidRPr="00F35A04" w:rsidRDefault="0086237E" w:rsidP="00856FC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856FCF" w:rsidRPr="00F35A04" w:rsidRDefault="0086237E" w:rsidP="00856FC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proposes new entries to BUFR tables B in order to encode flags related to the presence and quality of </w:t>
      </w:r>
      <w:r>
        <w:rPr>
          <w:rFonts w:ascii="Verdana" w:hAnsi="Verdana"/>
          <w:sz w:val="20"/>
          <w:szCs w:val="20"/>
        </w:rPr>
        <w:t>ancillary data used in the generation of a product.</w:t>
      </w:r>
    </w:p>
    <w:p w:rsidR="00856FCF" w:rsidRPr="00F35A04" w:rsidRDefault="0086237E" w:rsidP="00856FC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856FCF" w:rsidRPr="00F35A04" w:rsidRDefault="0086237E" w:rsidP="00856FC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856FCF" w:rsidRPr="00F35A04" w:rsidRDefault="0086237E" w:rsidP="00856FCF">
      <w:pPr>
        <w:jc w:val="center"/>
        <w:rPr>
          <w:rFonts w:ascii="Verdana" w:hAnsi="Verdana"/>
          <w:sz w:val="20"/>
          <w:szCs w:val="20"/>
        </w:rPr>
      </w:pPr>
    </w:p>
    <w:p w:rsidR="00856FCF" w:rsidRPr="00F35A04" w:rsidRDefault="0086237E" w:rsidP="00856FC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856FCF" w:rsidRPr="00F35A04" w:rsidRDefault="0086237E" w:rsidP="00856FCF">
      <w:pPr>
        <w:rPr>
          <w:rFonts w:ascii="Verdana" w:hAnsi="Verdana"/>
          <w:sz w:val="20"/>
          <w:szCs w:val="20"/>
        </w:rPr>
      </w:pPr>
    </w:p>
    <w:p w:rsidR="00856FCF" w:rsidRPr="00F35A04" w:rsidRDefault="0086237E" w:rsidP="00856FC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approve the contents for inclusion within the next update to the WMO Manual on Codes.</w:t>
      </w:r>
    </w:p>
    <w:p w:rsidR="00856FCF" w:rsidRPr="00F35A04" w:rsidRDefault="0086237E" w:rsidP="00856FCF">
      <w:pPr>
        <w:pStyle w:val="BodyText"/>
        <w:rPr>
          <w:rFonts w:ascii="Verdana" w:hAnsi="Verdana"/>
          <w:sz w:val="20"/>
          <w:szCs w:val="20"/>
        </w:rPr>
      </w:pPr>
    </w:p>
    <w:p w:rsidR="00856FCF" w:rsidRPr="00F35A04" w:rsidRDefault="0086237E" w:rsidP="00856FCF">
      <w:pPr>
        <w:spacing w:after="40"/>
        <w:jc w:val="both"/>
        <w:rPr>
          <w:rFonts w:ascii="Verdana" w:hAnsi="Verdana"/>
          <w:sz w:val="20"/>
          <w:szCs w:val="20"/>
        </w:rPr>
      </w:pPr>
    </w:p>
    <w:p w:rsidR="00856FCF" w:rsidRPr="00F35A04" w:rsidRDefault="0086237E" w:rsidP="00856FCF">
      <w:pPr>
        <w:spacing w:after="40"/>
        <w:jc w:val="both"/>
        <w:rPr>
          <w:rFonts w:ascii="Verdana" w:hAnsi="Verdana"/>
          <w:sz w:val="20"/>
          <w:szCs w:val="20"/>
        </w:rPr>
      </w:pPr>
    </w:p>
    <w:p w:rsidR="00856FCF" w:rsidRPr="00F35A04" w:rsidRDefault="0086237E" w:rsidP="00856FC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856FCF" w:rsidRDefault="0086237E" w:rsidP="00856FCF">
      <w:pPr>
        <w:rPr>
          <w:rFonts w:ascii="Verdana" w:hAnsi="Verdana"/>
          <w:sz w:val="20"/>
          <w:szCs w:val="20"/>
        </w:rPr>
      </w:pPr>
    </w:p>
    <w:p w:rsidR="00856FCF" w:rsidRDefault="0086237E" w:rsidP="00856F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EUMETSAT uses ancillary data from a number of sources in order to generate level 2 products. Examples of this are inputs from other satellites, instruments, or data from NWP models. In the past, these data have been encoded using local de</w:t>
      </w:r>
      <w:r>
        <w:rPr>
          <w:rFonts w:ascii="Verdana" w:hAnsi="Verdana"/>
          <w:sz w:val="20"/>
          <w:szCs w:val="20"/>
        </w:rPr>
        <w:t>scriptors which essentially encode the same flag content but for different data sources.</w:t>
      </w:r>
    </w:p>
    <w:p w:rsidR="00856FCF" w:rsidRDefault="0086237E" w:rsidP="00856FCF">
      <w:pPr>
        <w:rPr>
          <w:rFonts w:ascii="Verdana" w:hAnsi="Verdana"/>
          <w:sz w:val="20"/>
          <w:szCs w:val="20"/>
        </w:rPr>
      </w:pPr>
    </w:p>
    <w:p w:rsidR="00856FCF" w:rsidRDefault="0086237E" w:rsidP="00856F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 the intent of adopting a cleaner approach, and also of enabling data producers to encode such associated flag values in a general fashion, it is proposed to add </w:t>
      </w:r>
      <w:r>
        <w:rPr>
          <w:rFonts w:ascii="Verdana" w:hAnsi="Verdana"/>
          <w:sz w:val="20"/>
          <w:szCs w:val="20"/>
        </w:rPr>
        <w:t>a new code table to BUFR Table B.</w:t>
      </w:r>
    </w:p>
    <w:p w:rsidR="00856FCF" w:rsidRDefault="0086237E" w:rsidP="00856FCF">
      <w:pPr>
        <w:rPr>
          <w:rFonts w:ascii="Verdana" w:hAnsi="Verdana"/>
          <w:sz w:val="20"/>
          <w:szCs w:val="20"/>
        </w:rPr>
      </w:pPr>
    </w:p>
    <w:p w:rsidR="00856FCF" w:rsidRDefault="0086237E" w:rsidP="00856F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following two examples demonstrate how the new flag table would be applied:</w:t>
      </w:r>
    </w:p>
    <w:p w:rsidR="00856FCF" w:rsidRDefault="0086237E" w:rsidP="00856FCF">
      <w:pPr>
        <w:rPr>
          <w:rFonts w:ascii="Verdana" w:hAnsi="Verdana"/>
          <w:sz w:val="20"/>
          <w:szCs w:val="20"/>
        </w:rPr>
      </w:pPr>
    </w:p>
    <w:p w:rsidR="00856FCF" w:rsidRDefault="0086237E" w:rsidP="00856FCF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Use of new descriptor to indicate presence of good, collocated data from an ancillary instrument, in this c</w:t>
      </w:r>
      <w:r>
        <w:t xml:space="preserve">ase the future </w:t>
      </w:r>
      <w:proofErr w:type="spellStart"/>
      <w:r>
        <w:t>MetImage</w:t>
      </w:r>
      <w:proofErr w:type="spellEnd"/>
      <w:r>
        <w:t xml:space="preserve"> instrument on board an EPS-SG satellite.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3241"/>
        <w:gridCol w:w="2395"/>
      </w:tblGrid>
      <w:tr w:rsidR="00A93A97" w:rsidTr="00345A69">
        <w:tc>
          <w:tcPr>
            <w:tcW w:w="166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Descriptor</w:t>
            </w:r>
          </w:p>
        </w:tc>
        <w:tc>
          <w:tcPr>
            <w:tcW w:w="255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324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Value</w:t>
            </w:r>
          </w:p>
        </w:tc>
        <w:tc>
          <w:tcPr>
            <w:tcW w:w="2395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Note</w:t>
            </w:r>
          </w:p>
        </w:tc>
      </w:tr>
      <w:tr w:rsidR="00A93A97" w:rsidTr="00345A69">
        <w:tc>
          <w:tcPr>
            <w:tcW w:w="166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0 02 019</w:t>
            </w:r>
          </w:p>
        </w:tc>
        <w:tc>
          <w:tcPr>
            <w:tcW w:w="255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Satellite instruments</w:t>
            </w:r>
          </w:p>
        </w:tc>
        <w:tc>
          <w:tcPr>
            <w:tcW w:w="324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A69">
              <w:rPr>
                <w:rFonts w:ascii="Verdana" w:hAnsi="Verdana"/>
                <w:sz w:val="20"/>
                <w:szCs w:val="20"/>
              </w:rPr>
              <w:t>MetImage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Future instrument</w:t>
            </w:r>
          </w:p>
        </w:tc>
      </w:tr>
      <w:tr w:rsidR="00A93A97" w:rsidTr="00345A69">
        <w:tc>
          <w:tcPr>
            <w:tcW w:w="166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0 33 092</w:t>
            </w:r>
          </w:p>
        </w:tc>
        <w:tc>
          <w:tcPr>
            <w:tcW w:w="2551" w:type="dxa"/>
            <w:shd w:val="clear" w:color="auto" w:fill="auto"/>
          </w:tcPr>
          <w:p w:rsidR="00856FCF" w:rsidRPr="00345A69" w:rsidRDefault="0086237E" w:rsidP="003014A4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 xml:space="preserve">Ancillary data </w:t>
            </w:r>
          </w:p>
        </w:tc>
        <w:tc>
          <w:tcPr>
            <w:tcW w:w="3241" w:type="dxa"/>
            <w:shd w:val="clear" w:color="auto" w:fill="auto"/>
          </w:tcPr>
          <w:p w:rsidR="00856FCF" w:rsidRPr="00345A69" w:rsidRDefault="0086237E" w:rsidP="003014A4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Present, good, collocated</w:t>
            </w:r>
          </w:p>
        </w:tc>
        <w:tc>
          <w:tcPr>
            <w:tcW w:w="2395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3A97" w:rsidTr="00345A69">
        <w:tc>
          <w:tcPr>
            <w:tcW w:w="166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0 02 019</w:t>
            </w:r>
          </w:p>
        </w:tc>
        <w:tc>
          <w:tcPr>
            <w:tcW w:w="255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Satellite instruments</w:t>
            </w:r>
          </w:p>
        </w:tc>
        <w:tc>
          <w:tcPr>
            <w:tcW w:w="324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2395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Cancel</w:t>
            </w:r>
          </w:p>
        </w:tc>
      </w:tr>
    </w:tbl>
    <w:p w:rsidR="00856FCF" w:rsidRDefault="0086237E" w:rsidP="00856FCF">
      <w:pPr>
        <w:rPr>
          <w:rFonts w:ascii="Verdana" w:hAnsi="Verdana"/>
          <w:sz w:val="20"/>
          <w:szCs w:val="20"/>
        </w:rPr>
      </w:pPr>
    </w:p>
    <w:p w:rsidR="00856FCF" w:rsidRDefault="0086237E" w:rsidP="00856FCF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Use of new descriptor to indicate presence of good, collocated data from an ancillary instrument, in this case NWP data from the ECMWF model.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3261"/>
        <w:gridCol w:w="1950"/>
      </w:tblGrid>
      <w:tr w:rsidR="00A93A97" w:rsidTr="00345A69">
        <w:tc>
          <w:tcPr>
            <w:tcW w:w="166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Descriptor</w:t>
            </w:r>
          </w:p>
        </w:tc>
        <w:tc>
          <w:tcPr>
            <w:tcW w:w="2976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326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Value</w:t>
            </w:r>
          </w:p>
        </w:tc>
        <w:tc>
          <w:tcPr>
            <w:tcW w:w="1950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Note</w:t>
            </w:r>
          </w:p>
        </w:tc>
      </w:tr>
      <w:tr w:rsidR="00A93A97" w:rsidTr="00345A69">
        <w:tc>
          <w:tcPr>
            <w:tcW w:w="166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0 01 030</w:t>
            </w:r>
          </w:p>
        </w:tc>
        <w:tc>
          <w:tcPr>
            <w:tcW w:w="2976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Numerical model identifier</w:t>
            </w:r>
          </w:p>
        </w:tc>
        <w:tc>
          <w:tcPr>
            <w:tcW w:w="326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ECMWF IFS</w:t>
            </w:r>
          </w:p>
        </w:tc>
        <w:tc>
          <w:tcPr>
            <w:tcW w:w="1950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ECMWF</w:t>
            </w:r>
          </w:p>
        </w:tc>
      </w:tr>
      <w:tr w:rsidR="00A93A97" w:rsidTr="00345A69">
        <w:tc>
          <w:tcPr>
            <w:tcW w:w="166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0 33 092</w:t>
            </w:r>
          </w:p>
        </w:tc>
        <w:tc>
          <w:tcPr>
            <w:tcW w:w="2976" w:type="dxa"/>
            <w:shd w:val="clear" w:color="auto" w:fill="auto"/>
          </w:tcPr>
          <w:p w:rsidR="00856FCF" w:rsidRPr="00345A69" w:rsidRDefault="0086237E" w:rsidP="003014A4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 xml:space="preserve">Ancillary data </w:t>
            </w:r>
          </w:p>
        </w:tc>
        <w:tc>
          <w:tcPr>
            <w:tcW w:w="3261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Present, good, collocated</w:t>
            </w:r>
          </w:p>
        </w:tc>
        <w:tc>
          <w:tcPr>
            <w:tcW w:w="1950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3A97" w:rsidTr="00345A69">
        <w:tc>
          <w:tcPr>
            <w:tcW w:w="1668" w:type="dxa"/>
            <w:shd w:val="clear" w:color="auto" w:fill="auto"/>
          </w:tcPr>
          <w:p w:rsidR="00404E4E" w:rsidRPr="00345A69" w:rsidRDefault="0086237E" w:rsidP="00404E4E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0 01 030</w:t>
            </w:r>
          </w:p>
        </w:tc>
        <w:tc>
          <w:tcPr>
            <w:tcW w:w="2976" w:type="dxa"/>
            <w:shd w:val="clear" w:color="auto" w:fill="auto"/>
          </w:tcPr>
          <w:p w:rsidR="00404E4E" w:rsidRPr="00345A69" w:rsidRDefault="0086237E" w:rsidP="00404E4E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Numerical model identifier</w:t>
            </w:r>
          </w:p>
        </w:tc>
        <w:tc>
          <w:tcPr>
            <w:tcW w:w="3261" w:type="dxa"/>
            <w:shd w:val="clear" w:color="auto" w:fill="auto"/>
          </w:tcPr>
          <w:p w:rsidR="00404E4E" w:rsidRPr="00345A69" w:rsidRDefault="0086237E" w:rsidP="00404E4E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950" w:type="dxa"/>
            <w:shd w:val="clear" w:color="auto" w:fill="auto"/>
          </w:tcPr>
          <w:p w:rsidR="00404E4E" w:rsidRPr="00345A69" w:rsidRDefault="0086237E" w:rsidP="00404E4E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Cancel</w:t>
            </w:r>
          </w:p>
        </w:tc>
      </w:tr>
    </w:tbl>
    <w:p w:rsidR="00856FCF" w:rsidRPr="00F35A04" w:rsidRDefault="0086237E" w:rsidP="00856FCF">
      <w:pPr>
        <w:rPr>
          <w:rFonts w:ascii="Verdana" w:hAnsi="Verdana"/>
          <w:sz w:val="20"/>
          <w:szCs w:val="20"/>
        </w:rPr>
      </w:pPr>
    </w:p>
    <w:p w:rsidR="00856FCF" w:rsidRDefault="0086237E" w:rsidP="00856FC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3014A4" w:rsidRDefault="0086237E" w:rsidP="00856FCF">
      <w:pPr>
        <w:rPr>
          <w:rFonts w:ascii="Verdana" w:hAnsi="Verdana"/>
          <w:b/>
          <w:i/>
          <w:sz w:val="20"/>
          <w:szCs w:val="20"/>
        </w:rPr>
      </w:pPr>
      <w:r w:rsidRPr="00CD55D0">
        <w:rPr>
          <w:rFonts w:ascii="Verdana" w:hAnsi="Verdana"/>
          <w:b/>
          <w:i/>
          <w:sz w:val="20"/>
          <w:szCs w:val="20"/>
        </w:rPr>
        <w:t>“Amend”, “add”, “delete” are the keywords</w:t>
      </w:r>
    </w:p>
    <w:p w:rsidR="00856FCF" w:rsidRDefault="0086237E" w:rsidP="00856FCF">
      <w:pPr>
        <w:rPr>
          <w:rFonts w:ascii="Verdana" w:hAnsi="Verdana"/>
          <w:sz w:val="20"/>
          <w:szCs w:val="20"/>
        </w:rPr>
      </w:pPr>
      <w:r w:rsidRPr="00751C9D"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 to BUFR Table B/33: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850"/>
        <w:gridCol w:w="1418"/>
        <w:gridCol w:w="958"/>
      </w:tblGrid>
      <w:tr w:rsidR="00A93A97" w:rsidTr="00345A69">
        <w:trPr>
          <w:trHeight w:val="300"/>
        </w:trPr>
        <w:tc>
          <w:tcPr>
            <w:tcW w:w="1526" w:type="dxa"/>
            <w:shd w:val="clear" w:color="auto" w:fill="auto"/>
            <w:noWrap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Descriptor</w:t>
            </w:r>
          </w:p>
        </w:tc>
        <w:tc>
          <w:tcPr>
            <w:tcW w:w="3685" w:type="dxa"/>
            <w:shd w:val="clear" w:color="auto" w:fill="auto"/>
            <w:noWrap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shd w:val="clear" w:color="auto" w:fill="auto"/>
            <w:noWrap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Units</w:t>
            </w:r>
          </w:p>
        </w:tc>
        <w:tc>
          <w:tcPr>
            <w:tcW w:w="850" w:type="dxa"/>
            <w:shd w:val="clear" w:color="auto" w:fill="auto"/>
            <w:noWrap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Scale</w:t>
            </w:r>
          </w:p>
        </w:tc>
        <w:tc>
          <w:tcPr>
            <w:tcW w:w="141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Reference</w:t>
            </w:r>
          </w:p>
        </w:tc>
        <w:tc>
          <w:tcPr>
            <w:tcW w:w="95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A69">
              <w:rPr>
                <w:rFonts w:ascii="Verdana" w:hAnsi="Verdana"/>
                <w:b/>
                <w:sz w:val="20"/>
                <w:szCs w:val="20"/>
              </w:rPr>
              <w:t>Width</w:t>
            </w:r>
          </w:p>
        </w:tc>
      </w:tr>
      <w:tr w:rsidR="00A93A97" w:rsidTr="00345A69">
        <w:trPr>
          <w:trHeight w:val="300"/>
        </w:trPr>
        <w:tc>
          <w:tcPr>
            <w:tcW w:w="1526" w:type="dxa"/>
            <w:shd w:val="clear" w:color="auto" w:fill="auto"/>
            <w:noWrap/>
          </w:tcPr>
          <w:p w:rsidR="00856FCF" w:rsidRPr="00345A69" w:rsidRDefault="0086237E" w:rsidP="003014A4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0-33-092</w:t>
            </w:r>
          </w:p>
        </w:tc>
        <w:tc>
          <w:tcPr>
            <w:tcW w:w="3685" w:type="dxa"/>
            <w:shd w:val="clear" w:color="auto" w:fill="auto"/>
            <w:noWrap/>
          </w:tcPr>
          <w:p w:rsidR="00856FCF" w:rsidRPr="00345A69" w:rsidRDefault="0086237E" w:rsidP="003014A4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 xml:space="preserve">Ancillary data </w:t>
            </w:r>
          </w:p>
        </w:tc>
        <w:tc>
          <w:tcPr>
            <w:tcW w:w="1418" w:type="dxa"/>
            <w:shd w:val="clear" w:color="auto" w:fill="auto"/>
            <w:noWrap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Code table</w:t>
            </w:r>
          </w:p>
        </w:tc>
        <w:tc>
          <w:tcPr>
            <w:tcW w:w="850" w:type="dxa"/>
            <w:shd w:val="clear" w:color="auto" w:fill="auto"/>
            <w:noWrap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856FCF" w:rsidRPr="00345A69" w:rsidRDefault="0086237E" w:rsidP="00856FCF">
            <w:pPr>
              <w:rPr>
                <w:rFonts w:ascii="Verdana" w:hAnsi="Verdana"/>
                <w:sz w:val="20"/>
                <w:szCs w:val="20"/>
              </w:rPr>
            </w:pPr>
            <w:r w:rsidRPr="00345A69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:rsidR="00856FCF" w:rsidRPr="00751C9D" w:rsidRDefault="0086237E" w:rsidP="00856FCF">
      <w:pPr>
        <w:rPr>
          <w:rFonts w:ascii="Verdana" w:hAnsi="Verdana"/>
          <w:sz w:val="20"/>
          <w:szCs w:val="20"/>
        </w:rPr>
      </w:pPr>
    </w:p>
    <w:p w:rsidR="00856FCF" w:rsidRDefault="0086237E" w:rsidP="00856F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associated code table:</w:t>
      </w:r>
    </w:p>
    <w:p w:rsidR="00856FCF" w:rsidRDefault="0086237E" w:rsidP="00856FCF">
      <w:pPr>
        <w:rPr>
          <w:rFonts w:ascii="Verdana" w:hAnsi="Verdana"/>
          <w:sz w:val="20"/>
          <w:szCs w:val="20"/>
        </w:rPr>
      </w:pPr>
      <w:r w:rsidRPr="00125AE7">
        <w:rPr>
          <w:rFonts w:ascii="Verdana" w:hAnsi="Verdana"/>
          <w:sz w:val="20"/>
          <w:szCs w:val="20"/>
        </w:rPr>
        <w:t>0-</w:t>
      </w:r>
      <w:r>
        <w:rPr>
          <w:rFonts w:ascii="Verdana" w:hAnsi="Verdana"/>
          <w:sz w:val="20"/>
          <w:szCs w:val="20"/>
        </w:rPr>
        <w:t>33</w:t>
      </w:r>
      <w:r w:rsidRPr="00125AE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092</w:t>
      </w:r>
      <w:r w:rsidRPr="00125AE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Ancillary data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276"/>
        <w:gridCol w:w="7859"/>
      </w:tblGrid>
      <w:tr w:rsidR="00A93A97" w:rsidTr="00345A69">
        <w:tc>
          <w:tcPr>
            <w:tcW w:w="1276" w:type="dxa"/>
            <w:shd w:val="pct10" w:color="auto" w:fill="auto"/>
          </w:tcPr>
          <w:p w:rsidR="00856FCF" w:rsidRPr="00345A69" w:rsidRDefault="0086237E" w:rsidP="00345A69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 w:rsidRPr="00345A69">
              <w:rPr>
                <w:b/>
                <w:i/>
                <w:sz w:val="18"/>
                <w:szCs w:val="18"/>
              </w:rPr>
              <w:t>Code Figure</w:t>
            </w:r>
          </w:p>
        </w:tc>
        <w:tc>
          <w:tcPr>
            <w:tcW w:w="7859" w:type="dxa"/>
            <w:shd w:val="pct10" w:color="auto" w:fill="auto"/>
          </w:tcPr>
          <w:p w:rsidR="00856FCF" w:rsidRPr="00345A69" w:rsidRDefault="0086237E" w:rsidP="00345A69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 w:rsidRPr="00345A69">
              <w:rPr>
                <w:b/>
                <w:i/>
                <w:sz w:val="18"/>
                <w:szCs w:val="18"/>
              </w:rPr>
              <w:t>Description</w:t>
            </w:r>
          </w:p>
        </w:tc>
      </w:tr>
      <w:tr w:rsidR="00A93A97" w:rsidTr="00345A69">
        <w:tc>
          <w:tcPr>
            <w:tcW w:w="1276" w:type="dxa"/>
            <w:tcBorders>
              <w:bottom w:val="single" w:sz="2" w:space="0" w:color="D9D9D9"/>
            </w:tcBorders>
            <w:shd w:val="clear" w:color="auto" w:fill="auto"/>
          </w:tcPr>
          <w:p w:rsidR="00856FCF" w:rsidRPr="00345A69" w:rsidRDefault="0086237E" w:rsidP="00345A69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345A69">
              <w:rPr>
                <w:sz w:val="20"/>
              </w:rPr>
              <w:t>0</w:t>
            </w:r>
          </w:p>
        </w:tc>
        <w:tc>
          <w:tcPr>
            <w:tcW w:w="7859" w:type="dxa"/>
            <w:tcBorders>
              <w:bottom w:val="single" w:sz="2" w:space="0" w:color="D9D9D9"/>
            </w:tcBorders>
            <w:shd w:val="clear" w:color="auto" w:fill="auto"/>
          </w:tcPr>
          <w:p w:rsidR="00856FCF" w:rsidRPr="00345A69" w:rsidRDefault="0086237E" w:rsidP="00345A69">
            <w:pPr>
              <w:spacing w:before="40" w:after="40"/>
              <w:rPr>
                <w:sz w:val="20"/>
              </w:rPr>
            </w:pPr>
            <w:r w:rsidRPr="00345A69">
              <w:rPr>
                <w:sz w:val="20"/>
              </w:rPr>
              <w:t>Data present, good, collocated</w:t>
            </w:r>
          </w:p>
        </w:tc>
      </w:tr>
      <w:tr w:rsidR="00A93A97" w:rsidTr="00345A69">
        <w:tc>
          <w:tcPr>
            <w:tcW w:w="1276" w:type="dxa"/>
            <w:shd w:val="pct5" w:color="auto" w:fill="auto"/>
          </w:tcPr>
          <w:p w:rsidR="00856FCF" w:rsidRPr="00345A69" w:rsidRDefault="0086237E" w:rsidP="00345A69">
            <w:pPr>
              <w:spacing w:before="40" w:after="40"/>
              <w:jc w:val="center"/>
              <w:rPr>
                <w:sz w:val="20"/>
              </w:rPr>
            </w:pPr>
            <w:r w:rsidRPr="00345A69">
              <w:rPr>
                <w:sz w:val="20"/>
              </w:rPr>
              <w:t>1</w:t>
            </w:r>
          </w:p>
        </w:tc>
        <w:tc>
          <w:tcPr>
            <w:tcW w:w="7859" w:type="dxa"/>
            <w:shd w:val="pct5" w:color="auto" w:fill="auto"/>
          </w:tcPr>
          <w:p w:rsidR="00856FCF" w:rsidRPr="00345A69" w:rsidRDefault="0086237E" w:rsidP="00345A69">
            <w:pPr>
              <w:spacing w:before="40" w:after="40"/>
              <w:rPr>
                <w:sz w:val="20"/>
              </w:rPr>
            </w:pPr>
            <w:r w:rsidRPr="00345A69">
              <w:rPr>
                <w:sz w:val="20"/>
              </w:rPr>
              <w:t>Data available but of degraded quality and not used</w:t>
            </w:r>
          </w:p>
        </w:tc>
      </w:tr>
      <w:tr w:rsidR="00A93A97" w:rsidTr="00345A69">
        <w:tc>
          <w:tcPr>
            <w:tcW w:w="1276" w:type="dxa"/>
            <w:tcBorders>
              <w:bottom w:val="single" w:sz="2" w:space="0" w:color="D9D9D9"/>
            </w:tcBorders>
            <w:shd w:val="clear" w:color="auto" w:fill="auto"/>
          </w:tcPr>
          <w:p w:rsidR="00856FCF" w:rsidRPr="00345A69" w:rsidRDefault="0086237E" w:rsidP="00345A69">
            <w:pPr>
              <w:spacing w:before="40" w:after="40"/>
              <w:jc w:val="center"/>
              <w:rPr>
                <w:sz w:val="20"/>
              </w:rPr>
            </w:pPr>
            <w:r w:rsidRPr="00345A69">
              <w:rPr>
                <w:sz w:val="20"/>
              </w:rPr>
              <w:t>2</w:t>
            </w:r>
          </w:p>
        </w:tc>
        <w:tc>
          <w:tcPr>
            <w:tcW w:w="7859" w:type="dxa"/>
            <w:tcBorders>
              <w:bottom w:val="single" w:sz="2" w:space="0" w:color="D9D9D9"/>
            </w:tcBorders>
            <w:shd w:val="clear" w:color="auto" w:fill="auto"/>
          </w:tcPr>
          <w:p w:rsidR="00856FCF" w:rsidRPr="00345A69" w:rsidRDefault="0086237E" w:rsidP="00345A69">
            <w:pPr>
              <w:spacing w:before="40" w:after="40"/>
              <w:rPr>
                <w:sz w:val="20"/>
              </w:rPr>
            </w:pPr>
            <w:r w:rsidRPr="00345A69">
              <w:rPr>
                <w:sz w:val="20"/>
              </w:rPr>
              <w:t xml:space="preserve">No spatiotemporally collocated data </w:t>
            </w:r>
            <w:r w:rsidRPr="00345A69">
              <w:rPr>
                <w:sz w:val="20"/>
              </w:rPr>
              <w:t>available</w:t>
            </w:r>
          </w:p>
        </w:tc>
      </w:tr>
      <w:tr w:rsidR="00A93A97" w:rsidTr="00345A69">
        <w:tc>
          <w:tcPr>
            <w:tcW w:w="1276" w:type="dxa"/>
            <w:shd w:val="pct5" w:color="auto" w:fill="auto"/>
          </w:tcPr>
          <w:p w:rsidR="00856FCF" w:rsidRPr="00345A69" w:rsidRDefault="0086237E" w:rsidP="00345A69">
            <w:pPr>
              <w:spacing w:before="40" w:after="40"/>
              <w:jc w:val="center"/>
              <w:rPr>
                <w:sz w:val="20"/>
              </w:rPr>
            </w:pPr>
            <w:r w:rsidRPr="00345A69">
              <w:rPr>
                <w:sz w:val="20"/>
              </w:rPr>
              <w:t>3-6</w:t>
            </w:r>
          </w:p>
        </w:tc>
        <w:tc>
          <w:tcPr>
            <w:tcW w:w="7859" w:type="dxa"/>
            <w:shd w:val="pct5" w:color="auto" w:fill="auto"/>
          </w:tcPr>
          <w:p w:rsidR="00856FCF" w:rsidRPr="00345A69" w:rsidRDefault="0086237E" w:rsidP="00345A69">
            <w:pPr>
              <w:spacing w:before="40" w:after="40"/>
              <w:rPr>
                <w:sz w:val="20"/>
              </w:rPr>
            </w:pPr>
            <w:r w:rsidRPr="00345A69">
              <w:rPr>
                <w:sz w:val="20"/>
              </w:rPr>
              <w:t>Reserved</w:t>
            </w:r>
          </w:p>
        </w:tc>
      </w:tr>
      <w:tr w:rsidR="00A93A97" w:rsidTr="00345A69">
        <w:tc>
          <w:tcPr>
            <w:tcW w:w="1276" w:type="dxa"/>
            <w:shd w:val="clear" w:color="auto" w:fill="auto"/>
          </w:tcPr>
          <w:p w:rsidR="00856FCF" w:rsidRPr="00345A69" w:rsidRDefault="0086237E" w:rsidP="00345A69">
            <w:pPr>
              <w:spacing w:before="40" w:after="40"/>
              <w:jc w:val="center"/>
              <w:rPr>
                <w:sz w:val="20"/>
              </w:rPr>
            </w:pPr>
            <w:r w:rsidRPr="00345A69">
              <w:rPr>
                <w:sz w:val="20"/>
              </w:rPr>
              <w:t>7</w:t>
            </w:r>
          </w:p>
        </w:tc>
        <w:tc>
          <w:tcPr>
            <w:tcW w:w="7859" w:type="dxa"/>
            <w:shd w:val="clear" w:color="auto" w:fill="auto"/>
          </w:tcPr>
          <w:p w:rsidR="00856FCF" w:rsidRPr="00345A69" w:rsidRDefault="0086237E" w:rsidP="00345A69">
            <w:pPr>
              <w:spacing w:before="40" w:after="40"/>
              <w:rPr>
                <w:sz w:val="20"/>
              </w:rPr>
            </w:pPr>
            <w:r w:rsidRPr="00345A69">
              <w:rPr>
                <w:sz w:val="20"/>
              </w:rPr>
              <w:t>Missing value</w:t>
            </w:r>
          </w:p>
        </w:tc>
      </w:tr>
    </w:tbl>
    <w:p w:rsidR="00856FCF" w:rsidRDefault="0086237E" w:rsidP="00856FCF">
      <w:pPr>
        <w:rPr>
          <w:rFonts w:ascii="Verdana" w:hAnsi="Verdana"/>
          <w:sz w:val="20"/>
          <w:szCs w:val="20"/>
        </w:rPr>
      </w:pPr>
    </w:p>
    <w:sectPr w:rsidR="00856FCF" w:rsidSect="00856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237E">
      <w:r>
        <w:separator/>
      </w:r>
    </w:p>
  </w:endnote>
  <w:endnote w:type="continuationSeparator" w:id="0">
    <w:p w:rsidR="00000000" w:rsidRDefault="0086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CF" w:rsidRDefault="00862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CF" w:rsidRDefault="00862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CF" w:rsidRDefault="00862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237E">
      <w:r>
        <w:separator/>
      </w:r>
    </w:p>
  </w:footnote>
  <w:footnote w:type="continuationSeparator" w:id="0">
    <w:p w:rsidR="00000000" w:rsidRDefault="0086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CF" w:rsidRDefault="00862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CF" w:rsidRDefault="00862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CF" w:rsidRDefault="00862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F6106AB"/>
    <w:multiLevelType w:val="hybridMultilevel"/>
    <w:tmpl w:val="77BE0E80"/>
    <w:lvl w:ilvl="0" w:tplc="F34C2D84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A0961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01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EB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E0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C1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E9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CE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84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7"/>
    <w:rsid w:val="0086237E"/>
    <w:rsid w:val="00A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CF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A9A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A9A"/>
    <w:rPr>
      <w:rFonts w:ascii="Arial" w:hAnsi="Arial"/>
      <w:snapToGrid w:val="0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F40F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CF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A9A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A9A"/>
    <w:rPr>
      <w:rFonts w:ascii="Arial" w:hAnsi="Arial"/>
      <w:snapToGrid w:val="0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F40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2167-115D-4FA4-A5A9-C5A83B2E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2018-04-06T13:40:00Z</dcterms:created>
  <dcterms:modified xsi:type="dcterms:W3CDTF">2018-04-06T13:40:00Z</dcterms:modified>
</cp:coreProperties>
</file>