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CF0199">
              <w:rPr>
                <w:rFonts w:ascii="Verdana" w:hAnsi="Verdana"/>
                <w:sz w:val="20"/>
                <w:szCs w:val="20"/>
              </w:rPr>
              <w:t>2.2 (4)</w:t>
            </w:r>
          </w:p>
          <w:p w:rsidR="005554A5" w:rsidRPr="00F35A04" w:rsidRDefault="00E51C83"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16T00:00:00Z">
                  <w:dateFormat w:val="dd.MM.yyyy"/>
                  <w:lid w:val="en-GB"/>
                  <w:storeMappedDataAs w:val="dateTime"/>
                  <w:calendar w:val="gregorian"/>
                </w:date>
              </w:sdtPr>
              <w:sdtEndPr/>
              <w:sdtContent>
                <w:r>
                  <w:rPr>
                    <w:rFonts w:ascii="Verdana" w:hAnsi="Verdana"/>
                    <w:sz w:val="20"/>
                    <w:szCs w:val="20"/>
                  </w:rPr>
                  <w:t>16.05.2018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CF0199">
              <w:rPr>
                <w:rFonts w:ascii="Verdana" w:hAnsi="Verdana"/>
                <w:sz w:val="20"/>
                <w:szCs w:val="20"/>
              </w:rPr>
              <w:t>2.2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E51C83"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AD08BE">
            <w:rPr>
              <w:rStyle w:val="Style8"/>
            </w:rPr>
            <w:t>MANUAL ON CODES: TABLE-DRIVEN CODE FORMS</w:t>
          </w:r>
        </w:sdtContent>
      </w:sdt>
    </w:p>
    <w:bookmarkStart w:id="0" w:name="Text2"/>
    <w:p w:rsidR="00984C25" w:rsidRPr="006569B7" w:rsidRDefault="00E51C83"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AD08BE">
            <w:rPr>
              <w:rFonts w:ascii="Verdana" w:hAnsi="Verdana" w:cs="Arial"/>
              <w:sz w:val="18"/>
              <w:szCs w:val="18"/>
            </w:rPr>
            <w:t>FM 92 GRIB</w:t>
          </w:r>
        </w:sdtContent>
      </w:sdt>
    </w:p>
    <w:p w:rsidR="008E6C3A" w:rsidRDefault="008E6C3A" w:rsidP="008E6C3A">
      <w:pPr>
        <w:ind w:left="1208" w:right="1389"/>
        <w:jc w:val="center"/>
        <w:rPr>
          <w:rFonts w:ascii="Verdana" w:hAnsi="Verdana" w:cs="Arial"/>
          <w:b/>
          <w:sz w:val="20"/>
          <w:szCs w:val="20"/>
        </w:rPr>
      </w:pPr>
    </w:p>
    <w:bookmarkEnd w:id="0"/>
    <w:p w:rsidR="009F245F" w:rsidRPr="00F35A04" w:rsidRDefault="00AD08BE" w:rsidP="008E6C3A">
      <w:pPr>
        <w:ind w:left="1208" w:right="1389"/>
        <w:jc w:val="center"/>
        <w:rPr>
          <w:rFonts w:ascii="Verdana" w:hAnsi="Verdana" w:cs="Arial"/>
          <w:b/>
          <w:sz w:val="20"/>
          <w:szCs w:val="20"/>
        </w:rPr>
      </w:pPr>
      <w:r>
        <w:rPr>
          <w:rStyle w:val="Style7"/>
        </w:rPr>
        <w:t>New lightning GRIB parameters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AD08BE" w:rsidRPr="00AD08BE">
        <w:rPr>
          <w:rFonts w:ascii="Verdana" w:hAnsi="Verdana"/>
          <w:i/>
          <w:sz w:val="20"/>
          <w:szCs w:val="20"/>
        </w:rPr>
        <w:t>Sebastien Villaume</w:t>
      </w:r>
      <w:r w:rsidR="00CF0199">
        <w:rPr>
          <w:rFonts w:ascii="Verdana" w:hAnsi="Verdana"/>
          <w:i/>
          <w:sz w:val="20"/>
          <w:szCs w:val="20"/>
        </w:rPr>
        <w:t>, Enrico Fucile</w:t>
      </w:r>
      <w:r w:rsidR="00AD08BE">
        <w:rPr>
          <w:rFonts w:ascii="Verdana" w:hAnsi="Verdana"/>
          <w:i/>
          <w:sz w:val="20"/>
          <w:szCs w:val="20"/>
        </w:rPr>
        <w:t xml:space="preserve"> (ECMWF)</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AD08BE" w:rsidRPr="00F35A04" w:rsidRDefault="00AD08BE" w:rsidP="00AD08BE">
      <w:pPr>
        <w:ind w:left="440" w:right="399"/>
        <w:jc w:val="both"/>
        <w:rPr>
          <w:rFonts w:ascii="Verdana" w:hAnsi="Verdana"/>
          <w:sz w:val="20"/>
          <w:szCs w:val="20"/>
          <w:lang w:val="en-US"/>
        </w:rPr>
      </w:pPr>
      <w:r w:rsidRPr="00E4307B">
        <w:rPr>
          <w:rFonts w:ascii="Verdana" w:hAnsi="Verdana"/>
          <w:sz w:val="20"/>
          <w:szCs w:val="20"/>
          <w:lang w:val="en-US"/>
        </w:rPr>
        <w:t>Parameters and new table entries needed by ECMWF to encode new products are proposed.</w:t>
      </w:r>
    </w:p>
    <w:p w:rsidR="009F245F" w:rsidRPr="00F35A04" w:rsidRDefault="009F245F" w:rsidP="00EC3262">
      <w:pPr>
        <w:pStyle w:val="BodyText"/>
        <w:ind w:left="567" w:right="567" w:firstLine="567"/>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AD08BE" w:rsidRPr="00F35A04" w:rsidRDefault="00AD08BE" w:rsidP="00AD08BE">
      <w:pPr>
        <w:pStyle w:val="BodyText"/>
        <w:rPr>
          <w:rFonts w:ascii="Verdana" w:hAnsi="Verdana"/>
          <w:sz w:val="20"/>
          <w:szCs w:val="20"/>
        </w:rPr>
      </w:pPr>
      <w:r w:rsidRPr="00E4307B">
        <w:rPr>
          <w:rFonts w:ascii="Verdana" w:hAnsi="Verdana"/>
          <w:sz w:val="20"/>
          <w:szCs w:val="20"/>
        </w:rPr>
        <w:t>The team is requested to examine the list, validate t</w:t>
      </w:r>
      <w:r>
        <w:rPr>
          <w:rFonts w:ascii="Verdana" w:hAnsi="Verdana"/>
          <w:sz w:val="20"/>
          <w:szCs w:val="20"/>
        </w:rPr>
        <w:t>he parameters and accept them for FT2-2018</w:t>
      </w:r>
      <w:r w:rsidRPr="00E4307B">
        <w:rPr>
          <w:rFonts w:ascii="Verdana" w:hAnsi="Verdana"/>
          <w:sz w:val="20"/>
          <w:szCs w:val="20"/>
        </w:rPr>
        <w:t>.</w:t>
      </w:r>
    </w:p>
    <w:p w:rsidR="009F245F" w:rsidRDefault="009F245F" w:rsidP="00EC3262">
      <w:pPr>
        <w:pStyle w:val="BodyText"/>
        <w:ind w:firstLine="567"/>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AD08BE" w:rsidRPr="00E4307B" w:rsidRDefault="00AD08BE" w:rsidP="00AD08BE">
      <w:pPr>
        <w:jc w:val="both"/>
        <w:rPr>
          <w:rFonts w:ascii="Verdana" w:hAnsi="Verdana"/>
          <w:sz w:val="20"/>
          <w:szCs w:val="20"/>
        </w:rPr>
      </w:pPr>
      <w:bookmarkStart w:id="1" w:name="Text7"/>
      <w:r w:rsidRPr="00E4307B">
        <w:rPr>
          <w:rFonts w:ascii="Verdana" w:hAnsi="Verdana"/>
          <w:sz w:val="20"/>
          <w:szCs w:val="20"/>
        </w:rPr>
        <w:t xml:space="preserve">ECMWF has recently developed the capability to diagnose lightning activity from a set of predictors already produced by the convective parameterization of its Integrated Forecasting System (IFS). Those predictors are the convective available potential energy (CAPE), the contents in convective hydrometeors (cloud condensate and frozen precipitation) and the convective cloud base height (see Lopez 2016 for details). The new lightning products (described below) will be relevant to both weather forecasters and decision makers, especially aviation (both at airports and in-flight), power supply companies and forestry (wildfires). </w:t>
      </w:r>
    </w:p>
    <w:p w:rsidR="00AD08BE" w:rsidRPr="00E4307B" w:rsidRDefault="00AD08BE" w:rsidP="00AD08BE">
      <w:pPr>
        <w:jc w:val="both"/>
        <w:rPr>
          <w:rFonts w:ascii="Verdana" w:hAnsi="Verdana"/>
          <w:sz w:val="20"/>
          <w:szCs w:val="20"/>
        </w:rPr>
      </w:pPr>
      <w:r w:rsidRPr="00E4307B">
        <w:rPr>
          <w:rFonts w:ascii="Verdana" w:hAnsi="Verdana"/>
          <w:sz w:val="20"/>
          <w:szCs w:val="20"/>
        </w:rPr>
        <w:t xml:space="preserve">Physically, a lightning flash is usually defined as one or several electrical discharges (or strokes) that occur within less than a second and within a horizontal radius of 15 km. It can be useful to distinguish between intra-cloud flashes which transfer electrical charges within cloud regions and cloud-to-ground flashes which transfer charges between the cloud and the ground. </w:t>
      </w:r>
    </w:p>
    <w:p w:rsidR="00AD08BE" w:rsidRPr="00F35A04" w:rsidRDefault="00AD08BE" w:rsidP="00AD08BE">
      <w:pPr>
        <w:jc w:val="both"/>
        <w:rPr>
          <w:rFonts w:ascii="Verdana" w:hAnsi="Verdana"/>
          <w:sz w:val="20"/>
          <w:szCs w:val="20"/>
        </w:rPr>
      </w:pPr>
      <w:r w:rsidRPr="00E4307B">
        <w:rPr>
          <w:rFonts w:ascii="Verdana" w:hAnsi="Verdana"/>
          <w:sz w:val="20"/>
          <w:szCs w:val="20"/>
        </w:rPr>
        <w:t>The new lightning parameterization computes lightning flash densities or in other words the number of lightning flashes per unit area and per unit time. In its current version, only “total” lightning flash densities are calculated, which means that there is no discrimination between cloud-to-ground and intra-cloud flashes. However, work is ongoing to also predict flash densities for cloud-to-ground and intra-cloud lightning separately.</w:t>
      </w:r>
    </w:p>
    <w:p w:rsidR="00AD08BE" w:rsidRDefault="00AD08BE" w:rsidP="00AD08BE">
      <w:pPr>
        <w:rPr>
          <w:rFonts w:ascii="Verdana" w:hAnsi="Verdana"/>
          <w:sz w:val="20"/>
          <w:szCs w:val="20"/>
        </w:rPr>
      </w:pPr>
    </w:p>
    <w:p w:rsidR="00AD08BE" w:rsidRPr="00E4307B" w:rsidRDefault="00AD08BE" w:rsidP="00AD08BE">
      <w:pPr>
        <w:rPr>
          <w:rFonts w:ascii="Verdana" w:hAnsi="Verdana"/>
          <w:sz w:val="20"/>
          <w:szCs w:val="20"/>
        </w:rPr>
      </w:pPr>
      <w:r w:rsidRPr="00E4307B">
        <w:rPr>
          <w:rFonts w:ascii="Verdana" w:hAnsi="Verdana"/>
          <w:sz w:val="20"/>
          <w:szCs w:val="20"/>
        </w:rPr>
        <w:t xml:space="preserve">Reference: </w:t>
      </w:r>
    </w:p>
    <w:p w:rsidR="00AD08BE" w:rsidRDefault="00AD08BE" w:rsidP="00AD08BE">
      <w:pPr>
        <w:rPr>
          <w:rFonts w:ascii="Verdana" w:hAnsi="Verdana"/>
          <w:sz w:val="20"/>
          <w:szCs w:val="20"/>
        </w:rPr>
      </w:pPr>
      <w:r w:rsidRPr="00E4307B">
        <w:rPr>
          <w:rFonts w:ascii="Verdana" w:hAnsi="Verdana"/>
          <w:sz w:val="20"/>
          <w:szCs w:val="20"/>
        </w:rPr>
        <w:t>Lopez, P., 2016: A lightning parameterization for the ECMWF Integrated Forecasting System, Monthly Weather Review, 144, 3057-3075.</w:t>
      </w:r>
    </w:p>
    <w:bookmarkEnd w:id="1"/>
    <w:p w:rsidR="009F245F" w:rsidRPr="00F35A04" w:rsidRDefault="009F245F" w:rsidP="00B306F7">
      <w:pPr>
        <w:jc w:val="both"/>
        <w:rPr>
          <w:rFonts w:ascii="Verdana" w:hAnsi="Verdana"/>
          <w:sz w:val="20"/>
          <w:szCs w:val="20"/>
        </w:rPr>
      </w:pP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AD08BE" w:rsidRPr="00E4307B" w:rsidRDefault="00AD08BE" w:rsidP="00AD08BE">
      <w:pPr>
        <w:jc w:val="both"/>
        <w:rPr>
          <w:rFonts w:ascii="Verdana" w:hAnsi="Verdana"/>
          <w:sz w:val="20"/>
          <w:szCs w:val="20"/>
        </w:rPr>
      </w:pPr>
      <w:r w:rsidRPr="00E4307B">
        <w:rPr>
          <w:rFonts w:ascii="Verdana" w:hAnsi="Verdana"/>
          <w:sz w:val="20"/>
          <w:szCs w:val="20"/>
        </w:rPr>
        <w:t xml:space="preserve">The following new GRIB parameters are proposed </w:t>
      </w:r>
      <w:r>
        <w:rPr>
          <w:rFonts w:ascii="Verdana" w:hAnsi="Verdana"/>
          <w:sz w:val="20"/>
          <w:szCs w:val="20"/>
        </w:rPr>
        <w:t xml:space="preserve">to be added to table 4.2. The modification to the table are highlighted </w:t>
      </w:r>
      <w:r w:rsidRPr="00B071E2">
        <w:rPr>
          <w:rFonts w:ascii="Verdana" w:hAnsi="Verdana"/>
          <w:color w:val="FF0000"/>
          <w:sz w:val="20"/>
          <w:szCs w:val="20"/>
        </w:rPr>
        <w:t>in red</w:t>
      </w:r>
    </w:p>
    <w:p w:rsidR="00AD08BE" w:rsidRPr="00CB42AD" w:rsidRDefault="00AD08BE" w:rsidP="00AD08BE">
      <w:pPr>
        <w:jc w:val="both"/>
        <w:rPr>
          <w:rFonts w:ascii="Verdana" w:hAnsi="Verdana"/>
          <w:color w:val="FF0000"/>
          <w:sz w:val="20"/>
          <w:szCs w:val="20"/>
        </w:rPr>
      </w:pPr>
    </w:p>
    <w:p w:rsidR="00AD08BE" w:rsidRPr="00CB42AD" w:rsidRDefault="00AD08BE" w:rsidP="00AD08BE">
      <w:pPr>
        <w:jc w:val="both"/>
        <w:rPr>
          <w:rFonts w:ascii="Verdana" w:hAnsi="Verdana"/>
          <w:b/>
          <w:sz w:val="20"/>
          <w:szCs w:val="20"/>
        </w:rPr>
      </w:pPr>
      <w:r w:rsidRPr="00CB42AD">
        <w:rPr>
          <w:rFonts w:ascii="Verdana" w:hAnsi="Verdana"/>
          <w:b/>
          <w:sz w:val="20"/>
          <w:szCs w:val="20"/>
        </w:rPr>
        <w:t>Product discipline 0 – Meteorological products, parameter category 17: electrodynamics</w:t>
      </w:r>
    </w:p>
    <w:tbl>
      <w:tblPr>
        <w:tblStyle w:val="TableGrid"/>
        <w:tblW w:w="0" w:type="auto"/>
        <w:tblLook w:val="04A0" w:firstRow="1" w:lastRow="0" w:firstColumn="1" w:lastColumn="0" w:noHBand="0" w:noVBand="1"/>
      </w:tblPr>
      <w:tblGrid>
        <w:gridCol w:w="1098"/>
        <w:gridCol w:w="5330"/>
        <w:gridCol w:w="3201"/>
      </w:tblGrid>
      <w:tr w:rsidR="00AD08BE" w:rsidTr="00C55BCD">
        <w:tc>
          <w:tcPr>
            <w:tcW w:w="1101" w:type="dxa"/>
          </w:tcPr>
          <w:p w:rsidR="00AD08BE" w:rsidRDefault="00AD08BE" w:rsidP="00C55BCD">
            <w:pPr>
              <w:jc w:val="both"/>
              <w:rPr>
                <w:rFonts w:ascii="Verdana" w:hAnsi="Verdana"/>
                <w:sz w:val="20"/>
                <w:szCs w:val="20"/>
              </w:rPr>
            </w:pPr>
            <w:r w:rsidRPr="00CB42AD">
              <w:rPr>
                <w:rFonts w:ascii="Verdana" w:hAnsi="Verdana"/>
                <w:sz w:val="20"/>
                <w:szCs w:val="20"/>
              </w:rPr>
              <w:t>Number</w:t>
            </w:r>
          </w:p>
        </w:tc>
        <w:tc>
          <w:tcPr>
            <w:tcW w:w="5469" w:type="dxa"/>
          </w:tcPr>
          <w:p w:rsidR="00AD08BE" w:rsidRDefault="00AD08BE" w:rsidP="00C55BCD">
            <w:pPr>
              <w:jc w:val="both"/>
              <w:rPr>
                <w:rFonts w:ascii="Verdana" w:hAnsi="Verdana"/>
                <w:sz w:val="20"/>
                <w:szCs w:val="20"/>
              </w:rPr>
            </w:pPr>
            <w:r w:rsidRPr="00CB42AD">
              <w:rPr>
                <w:rFonts w:ascii="Verdana" w:hAnsi="Verdana"/>
                <w:sz w:val="20"/>
                <w:szCs w:val="20"/>
              </w:rPr>
              <w:t>Parameter</w:t>
            </w:r>
          </w:p>
        </w:tc>
        <w:tc>
          <w:tcPr>
            <w:tcW w:w="3285" w:type="dxa"/>
          </w:tcPr>
          <w:p w:rsidR="00AD08BE" w:rsidRDefault="00AD08BE" w:rsidP="00C55BCD">
            <w:pPr>
              <w:jc w:val="both"/>
              <w:rPr>
                <w:rFonts w:ascii="Verdana" w:hAnsi="Verdana"/>
                <w:sz w:val="20"/>
                <w:szCs w:val="20"/>
              </w:rPr>
            </w:pPr>
            <w:r w:rsidRPr="00CB42AD">
              <w:rPr>
                <w:rFonts w:ascii="Verdana" w:hAnsi="Verdana"/>
                <w:sz w:val="20"/>
                <w:szCs w:val="20"/>
              </w:rPr>
              <w:t>Units</w:t>
            </w:r>
          </w:p>
        </w:tc>
      </w:tr>
      <w:tr w:rsidR="00AD08BE" w:rsidTr="00C55BCD">
        <w:tc>
          <w:tcPr>
            <w:tcW w:w="1101" w:type="dxa"/>
          </w:tcPr>
          <w:p w:rsidR="00AD08BE" w:rsidRDefault="00AD08BE" w:rsidP="00C55BCD">
            <w:pPr>
              <w:jc w:val="right"/>
              <w:rPr>
                <w:rFonts w:ascii="Verdana" w:hAnsi="Verdana"/>
                <w:sz w:val="20"/>
                <w:szCs w:val="20"/>
              </w:rPr>
            </w:pPr>
            <w:r>
              <w:rPr>
                <w:rFonts w:ascii="Verdana" w:hAnsi="Verdana"/>
                <w:sz w:val="20"/>
                <w:szCs w:val="20"/>
              </w:rPr>
              <w:t>0</w:t>
            </w:r>
          </w:p>
        </w:tc>
        <w:tc>
          <w:tcPr>
            <w:tcW w:w="5469" w:type="dxa"/>
          </w:tcPr>
          <w:p w:rsidR="00AD08BE" w:rsidRDefault="00AD08BE" w:rsidP="00C55BCD">
            <w:pPr>
              <w:jc w:val="both"/>
              <w:rPr>
                <w:rFonts w:ascii="Verdana" w:hAnsi="Verdana"/>
                <w:sz w:val="20"/>
                <w:szCs w:val="20"/>
              </w:rPr>
            </w:pPr>
            <w:r w:rsidRPr="00CB42AD">
              <w:rPr>
                <w:rFonts w:ascii="Verdana" w:hAnsi="Verdana"/>
                <w:sz w:val="20"/>
                <w:szCs w:val="20"/>
              </w:rPr>
              <w:t>Lightning strike density</w:t>
            </w:r>
          </w:p>
        </w:tc>
        <w:tc>
          <w:tcPr>
            <w:tcW w:w="3285" w:type="dxa"/>
          </w:tcPr>
          <w:p w:rsidR="00AD08BE" w:rsidRDefault="00AD08BE" w:rsidP="00C55BCD">
            <w:pPr>
              <w:jc w:val="both"/>
              <w:rPr>
                <w:rFonts w:ascii="Verdana" w:hAnsi="Verdana"/>
                <w:sz w:val="20"/>
                <w:szCs w:val="20"/>
              </w:rPr>
            </w:pPr>
            <w:r w:rsidRPr="00CB42AD">
              <w:rPr>
                <w:rFonts w:ascii="Verdana" w:hAnsi="Verdana"/>
                <w:sz w:val="20"/>
                <w:szCs w:val="20"/>
              </w:rPr>
              <w:t>m–2 s–1</w:t>
            </w:r>
          </w:p>
        </w:tc>
      </w:tr>
      <w:tr w:rsidR="00AD08BE" w:rsidTr="00C55BCD">
        <w:tc>
          <w:tcPr>
            <w:tcW w:w="1101" w:type="dxa"/>
          </w:tcPr>
          <w:p w:rsidR="00AD08BE" w:rsidRDefault="00AD08BE" w:rsidP="00C55BCD">
            <w:pPr>
              <w:jc w:val="right"/>
              <w:rPr>
                <w:rFonts w:ascii="Verdana" w:hAnsi="Verdana"/>
                <w:sz w:val="20"/>
                <w:szCs w:val="20"/>
              </w:rPr>
            </w:pPr>
            <w:r>
              <w:rPr>
                <w:rFonts w:ascii="Verdana" w:hAnsi="Verdana"/>
                <w:sz w:val="20"/>
                <w:szCs w:val="20"/>
              </w:rPr>
              <w:t>1</w:t>
            </w:r>
          </w:p>
        </w:tc>
        <w:tc>
          <w:tcPr>
            <w:tcW w:w="5469" w:type="dxa"/>
          </w:tcPr>
          <w:p w:rsidR="00AD08BE" w:rsidRDefault="00AD08BE" w:rsidP="00C55BCD">
            <w:pPr>
              <w:jc w:val="both"/>
              <w:rPr>
                <w:rFonts w:ascii="Verdana" w:hAnsi="Verdana"/>
                <w:sz w:val="20"/>
                <w:szCs w:val="20"/>
              </w:rPr>
            </w:pPr>
            <w:r w:rsidRPr="00CB42AD">
              <w:rPr>
                <w:rFonts w:ascii="Verdana" w:hAnsi="Verdana"/>
                <w:sz w:val="20"/>
                <w:szCs w:val="20"/>
              </w:rPr>
              <w:t>Lightning potential index (LPI) (see Note</w:t>
            </w:r>
            <w:r>
              <w:rPr>
                <w:rFonts w:ascii="Verdana" w:hAnsi="Verdana"/>
                <w:sz w:val="20"/>
                <w:szCs w:val="20"/>
              </w:rPr>
              <w:t xml:space="preserve"> </w:t>
            </w:r>
            <w:r w:rsidRPr="00B071E2">
              <w:rPr>
                <w:rFonts w:ascii="Verdana" w:hAnsi="Verdana"/>
                <w:color w:val="FF0000"/>
                <w:sz w:val="20"/>
                <w:szCs w:val="20"/>
              </w:rPr>
              <w:t>1</w:t>
            </w:r>
            <w:r w:rsidRPr="00CB42AD">
              <w:rPr>
                <w:rFonts w:ascii="Verdana" w:hAnsi="Verdana"/>
                <w:sz w:val="20"/>
                <w:szCs w:val="20"/>
              </w:rPr>
              <w:t>)</w:t>
            </w:r>
          </w:p>
        </w:tc>
        <w:tc>
          <w:tcPr>
            <w:tcW w:w="3285" w:type="dxa"/>
          </w:tcPr>
          <w:p w:rsidR="00AD08BE" w:rsidRDefault="00AD08BE" w:rsidP="00C55BCD">
            <w:pPr>
              <w:jc w:val="both"/>
              <w:rPr>
                <w:rFonts w:ascii="Verdana" w:hAnsi="Verdana"/>
                <w:sz w:val="20"/>
                <w:szCs w:val="20"/>
              </w:rPr>
            </w:pPr>
            <w:r w:rsidRPr="00CB42AD">
              <w:rPr>
                <w:rFonts w:ascii="Verdana" w:hAnsi="Verdana"/>
                <w:sz w:val="20"/>
                <w:szCs w:val="20"/>
              </w:rPr>
              <w:t>J kg–1</w:t>
            </w:r>
          </w:p>
        </w:tc>
      </w:tr>
      <w:tr w:rsidR="00AD08BE" w:rsidTr="00C55BCD">
        <w:tc>
          <w:tcPr>
            <w:tcW w:w="1101" w:type="dxa"/>
          </w:tcPr>
          <w:p w:rsidR="00AD08BE" w:rsidRPr="00B071E2" w:rsidRDefault="00AD08BE" w:rsidP="00C55BCD">
            <w:pPr>
              <w:jc w:val="right"/>
              <w:rPr>
                <w:rFonts w:ascii="Verdana" w:hAnsi="Verdana"/>
                <w:color w:val="FF0000"/>
                <w:sz w:val="20"/>
                <w:szCs w:val="20"/>
              </w:rPr>
            </w:pPr>
            <w:r w:rsidRPr="00B071E2">
              <w:rPr>
                <w:rFonts w:ascii="Verdana" w:hAnsi="Verdana"/>
                <w:color w:val="FF0000"/>
                <w:sz w:val="20"/>
                <w:szCs w:val="20"/>
              </w:rPr>
              <w:t>2</w:t>
            </w:r>
          </w:p>
        </w:tc>
        <w:tc>
          <w:tcPr>
            <w:tcW w:w="5469" w:type="dxa"/>
          </w:tcPr>
          <w:p w:rsidR="00AD08BE" w:rsidRPr="00B071E2" w:rsidRDefault="00AD08BE" w:rsidP="00C55BCD">
            <w:pPr>
              <w:jc w:val="both"/>
              <w:rPr>
                <w:rFonts w:ascii="Verdana" w:hAnsi="Verdana"/>
                <w:color w:val="FF0000"/>
                <w:sz w:val="20"/>
                <w:szCs w:val="20"/>
              </w:rPr>
            </w:pPr>
            <w:r w:rsidRPr="00B071E2">
              <w:rPr>
                <w:rFonts w:ascii="Verdana" w:hAnsi="Verdana"/>
                <w:color w:val="FF0000"/>
                <w:sz w:val="20"/>
                <w:szCs w:val="20"/>
              </w:rPr>
              <w:t>Cloud-to-ground Lightning flash density</w:t>
            </w:r>
          </w:p>
        </w:tc>
        <w:tc>
          <w:tcPr>
            <w:tcW w:w="3285" w:type="dxa"/>
          </w:tcPr>
          <w:p w:rsidR="00AD08BE" w:rsidRPr="00B071E2" w:rsidRDefault="008C72C7" w:rsidP="00C55BCD">
            <w:pPr>
              <w:jc w:val="both"/>
              <w:rPr>
                <w:rFonts w:ascii="Verdana" w:hAnsi="Verdana"/>
                <w:color w:val="FF0000"/>
                <w:sz w:val="20"/>
                <w:szCs w:val="20"/>
              </w:rPr>
            </w:pPr>
            <w:r>
              <w:rPr>
                <w:rFonts w:ascii="Verdana" w:hAnsi="Verdana"/>
                <w:color w:val="FF0000"/>
                <w:sz w:val="20"/>
                <w:szCs w:val="20"/>
              </w:rPr>
              <w:t>k</w:t>
            </w:r>
            <w:r w:rsidR="00AD08BE" w:rsidRPr="00B071E2">
              <w:rPr>
                <w:rFonts w:ascii="Verdana" w:hAnsi="Verdana"/>
                <w:color w:val="FF0000"/>
                <w:sz w:val="20"/>
                <w:szCs w:val="20"/>
              </w:rPr>
              <w:t>m-2 day-1</w:t>
            </w:r>
          </w:p>
        </w:tc>
      </w:tr>
      <w:tr w:rsidR="00AD08BE" w:rsidTr="00C55BCD">
        <w:tc>
          <w:tcPr>
            <w:tcW w:w="1101" w:type="dxa"/>
          </w:tcPr>
          <w:p w:rsidR="00AD08BE" w:rsidRPr="00B071E2" w:rsidRDefault="00AD08BE" w:rsidP="00C55BCD">
            <w:pPr>
              <w:jc w:val="right"/>
              <w:rPr>
                <w:rFonts w:ascii="Verdana" w:hAnsi="Verdana"/>
                <w:color w:val="FF0000"/>
                <w:sz w:val="20"/>
                <w:szCs w:val="20"/>
              </w:rPr>
            </w:pPr>
            <w:r w:rsidRPr="00B071E2">
              <w:rPr>
                <w:rFonts w:ascii="Verdana" w:hAnsi="Verdana"/>
                <w:color w:val="FF0000"/>
                <w:sz w:val="20"/>
                <w:szCs w:val="20"/>
              </w:rPr>
              <w:t>3</w:t>
            </w:r>
          </w:p>
        </w:tc>
        <w:tc>
          <w:tcPr>
            <w:tcW w:w="5469" w:type="dxa"/>
          </w:tcPr>
          <w:p w:rsidR="00AD08BE" w:rsidRPr="00B071E2" w:rsidRDefault="008C72C7" w:rsidP="00C55BCD">
            <w:pPr>
              <w:jc w:val="both"/>
              <w:rPr>
                <w:rFonts w:ascii="Verdana" w:hAnsi="Verdana"/>
                <w:color w:val="FF0000"/>
                <w:sz w:val="20"/>
                <w:szCs w:val="20"/>
              </w:rPr>
            </w:pPr>
            <w:r>
              <w:rPr>
                <w:rFonts w:ascii="Verdana" w:hAnsi="Verdana"/>
                <w:color w:val="FF0000"/>
                <w:sz w:val="20"/>
                <w:szCs w:val="20"/>
              </w:rPr>
              <w:t>Cloud-to</w:t>
            </w:r>
            <w:r w:rsidR="00AD08BE" w:rsidRPr="00B071E2">
              <w:rPr>
                <w:rFonts w:ascii="Verdana" w:hAnsi="Verdana"/>
                <w:color w:val="FF0000"/>
                <w:sz w:val="20"/>
                <w:szCs w:val="20"/>
              </w:rPr>
              <w:t>-cloud Lightning flash density</w:t>
            </w:r>
          </w:p>
        </w:tc>
        <w:tc>
          <w:tcPr>
            <w:tcW w:w="3285" w:type="dxa"/>
          </w:tcPr>
          <w:p w:rsidR="00AD08BE" w:rsidRPr="00B071E2" w:rsidRDefault="008C72C7" w:rsidP="00C55BCD">
            <w:pPr>
              <w:jc w:val="both"/>
              <w:rPr>
                <w:rFonts w:ascii="Verdana" w:hAnsi="Verdana"/>
                <w:color w:val="FF0000"/>
                <w:sz w:val="20"/>
                <w:szCs w:val="20"/>
              </w:rPr>
            </w:pPr>
            <w:r>
              <w:rPr>
                <w:rFonts w:ascii="Verdana" w:hAnsi="Verdana"/>
                <w:color w:val="FF0000"/>
                <w:sz w:val="20"/>
                <w:szCs w:val="20"/>
              </w:rPr>
              <w:t>k</w:t>
            </w:r>
            <w:r w:rsidR="00AD08BE" w:rsidRPr="00B071E2">
              <w:rPr>
                <w:rFonts w:ascii="Verdana" w:hAnsi="Verdana"/>
                <w:color w:val="FF0000"/>
                <w:sz w:val="20"/>
                <w:szCs w:val="20"/>
              </w:rPr>
              <w:t>m-2 day-1</w:t>
            </w:r>
          </w:p>
        </w:tc>
      </w:tr>
      <w:tr w:rsidR="00AD08BE" w:rsidTr="00C55BCD">
        <w:tc>
          <w:tcPr>
            <w:tcW w:w="1101" w:type="dxa"/>
          </w:tcPr>
          <w:p w:rsidR="00AD08BE" w:rsidRPr="00B071E2" w:rsidRDefault="00AD08BE" w:rsidP="00C55BCD">
            <w:pPr>
              <w:jc w:val="right"/>
              <w:rPr>
                <w:rFonts w:ascii="Verdana" w:hAnsi="Verdana"/>
                <w:color w:val="FF0000"/>
                <w:sz w:val="20"/>
                <w:szCs w:val="20"/>
              </w:rPr>
            </w:pPr>
            <w:r w:rsidRPr="00B071E2">
              <w:rPr>
                <w:rFonts w:ascii="Verdana" w:hAnsi="Verdana"/>
                <w:color w:val="FF0000"/>
                <w:sz w:val="20"/>
                <w:szCs w:val="20"/>
              </w:rPr>
              <w:t>4</w:t>
            </w:r>
          </w:p>
        </w:tc>
        <w:tc>
          <w:tcPr>
            <w:tcW w:w="5469" w:type="dxa"/>
          </w:tcPr>
          <w:p w:rsidR="00AD08BE" w:rsidRPr="00B071E2" w:rsidRDefault="00AD08BE" w:rsidP="00C55BCD">
            <w:pPr>
              <w:jc w:val="both"/>
              <w:rPr>
                <w:rFonts w:ascii="Verdana" w:hAnsi="Verdana"/>
                <w:color w:val="FF0000"/>
                <w:sz w:val="20"/>
                <w:szCs w:val="20"/>
              </w:rPr>
            </w:pPr>
            <w:r w:rsidRPr="00B071E2">
              <w:rPr>
                <w:rFonts w:ascii="Verdana" w:hAnsi="Verdana"/>
                <w:color w:val="FF0000"/>
                <w:sz w:val="20"/>
                <w:szCs w:val="20"/>
              </w:rPr>
              <w:t>Total Lightning flash density (see Note 2)</w:t>
            </w:r>
          </w:p>
        </w:tc>
        <w:tc>
          <w:tcPr>
            <w:tcW w:w="3285" w:type="dxa"/>
          </w:tcPr>
          <w:p w:rsidR="00AD08BE" w:rsidRPr="00B071E2" w:rsidRDefault="008C72C7" w:rsidP="00C55BCD">
            <w:pPr>
              <w:jc w:val="both"/>
              <w:rPr>
                <w:rFonts w:ascii="Verdana" w:hAnsi="Verdana"/>
                <w:color w:val="FF0000"/>
                <w:sz w:val="20"/>
                <w:szCs w:val="20"/>
              </w:rPr>
            </w:pPr>
            <w:r>
              <w:rPr>
                <w:rFonts w:ascii="Verdana" w:hAnsi="Verdana"/>
                <w:color w:val="FF0000"/>
                <w:sz w:val="20"/>
                <w:szCs w:val="20"/>
              </w:rPr>
              <w:t>k</w:t>
            </w:r>
            <w:r w:rsidR="00AD08BE" w:rsidRPr="00B071E2">
              <w:rPr>
                <w:rFonts w:ascii="Verdana" w:hAnsi="Verdana"/>
                <w:color w:val="FF0000"/>
                <w:sz w:val="20"/>
                <w:szCs w:val="20"/>
              </w:rPr>
              <w:t>m-2 day-1</w:t>
            </w:r>
          </w:p>
        </w:tc>
      </w:tr>
    </w:tbl>
    <w:p w:rsidR="00AD08BE" w:rsidRPr="00CB42AD" w:rsidRDefault="00AD08BE" w:rsidP="00AD08BE">
      <w:pPr>
        <w:jc w:val="both"/>
        <w:rPr>
          <w:rFonts w:ascii="Verdana" w:hAnsi="Verdana"/>
          <w:sz w:val="20"/>
          <w:szCs w:val="20"/>
        </w:rPr>
      </w:pPr>
      <w:r w:rsidRPr="00CB42AD">
        <w:rPr>
          <w:rFonts w:ascii="Verdana" w:hAnsi="Verdana"/>
          <w:sz w:val="20"/>
          <w:szCs w:val="20"/>
        </w:rPr>
        <w:tab/>
      </w:r>
    </w:p>
    <w:p w:rsidR="00AD08BE" w:rsidRDefault="00AD08BE" w:rsidP="00AD08BE">
      <w:pPr>
        <w:jc w:val="both"/>
        <w:rPr>
          <w:rFonts w:ascii="Verdana" w:hAnsi="Verdana"/>
          <w:sz w:val="20"/>
          <w:szCs w:val="20"/>
        </w:rPr>
      </w:pPr>
      <w:r w:rsidRPr="00CB42AD">
        <w:rPr>
          <w:rFonts w:ascii="Verdana" w:hAnsi="Verdana"/>
          <w:sz w:val="20"/>
          <w:szCs w:val="20"/>
        </w:rPr>
        <w:t>Note:</w:t>
      </w:r>
      <w:r w:rsidRPr="00CB42AD">
        <w:rPr>
          <w:rFonts w:ascii="Verdana" w:hAnsi="Verdana"/>
          <w:sz w:val="20"/>
          <w:szCs w:val="20"/>
        </w:rPr>
        <w:tab/>
      </w:r>
    </w:p>
    <w:p w:rsidR="00AD08BE" w:rsidRPr="00B071E2" w:rsidRDefault="00AD08BE" w:rsidP="00AD08BE">
      <w:pPr>
        <w:jc w:val="both"/>
        <w:rPr>
          <w:rFonts w:ascii="Verdana" w:hAnsi="Verdana"/>
          <w:color w:val="FF0000"/>
          <w:sz w:val="20"/>
          <w:szCs w:val="20"/>
        </w:rPr>
      </w:pPr>
      <w:r w:rsidRPr="00B071E2">
        <w:rPr>
          <w:rFonts w:ascii="Verdana" w:hAnsi="Verdana"/>
          <w:color w:val="FF0000"/>
          <w:sz w:val="20"/>
          <w:szCs w:val="20"/>
        </w:rPr>
        <w:t xml:space="preserve"> (1) </w:t>
      </w:r>
      <w:r w:rsidRPr="00CB42AD">
        <w:rPr>
          <w:rFonts w:ascii="Verdana" w:hAnsi="Verdana"/>
          <w:sz w:val="20"/>
          <w:szCs w:val="20"/>
        </w:rPr>
        <w:t>Definition of LPI after Lynn et al.: Lynn, B. and Y. Yair, 2010: Prediction of lightning flash density with the WRF model, Adv. Geosci., 23:11–16; Yair, Y., B. Lynn, C. Price, V. Kotroni, K. Lagouvardos, E. Morin, A. Mugnai and M. Llasat, 2010: Predicting the potential for lightning activity in Mediterranean storms based on the Weather Research and Forecasting (WRF) model dynamic and microphysical fields, Journal of Geophysical Research, 115, D04205, doi:10.1029/2008JD010868.</w:t>
      </w:r>
    </w:p>
    <w:p w:rsidR="00AD08BE" w:rsidRDefault="00AD08BE" w:rsidP="00AD08BE">
      <w:pPr>
        <w:jc w:val="both"/>
        <w:rPr>
          <w:rFonts w:ascii="Verdana" w:hAnsi="Verdana"/>
          <w:sz w:val="20"/>
          <w:szCs w:val="20"/>
        </w:rPr>
      </w:pPr>
      <w:r w:rsidRPr="00B071E2">
        <w:rPr>
          <w:rFonts w:ascii="Verdana" w:hAnsi="Verdana"/>
          <w:color w:val="FF0000"/>
          <w:sz w:val="20"/>
          <w:szCs w:val="20"/>
        </w:rPr>
        <w:lastRenderedPageBreak/>
        <w:t xml:space="preserve">(2) The total lightning flash density is the sum of cloud-to-ground and </w:t>
      </w:r>
      <w:r w:rsidR="00E51C83">
        <w:rPr>
          <w:rFonts w:ascii="Verdana" w:hAnsi="Verdana"/>
          <w:color w:val="FF0000"/>
          <w:sz w:val="20"/>
          <w:szCs w:val="20"/>
        </w:rPr>
        <w:t>cloud-to</w:t>
      </w:r>
      <w:bookmarkStart w:id="2" w:name="_GoBack"/>
      <w:bookmarkEnd w:id="2"/>
      <w:r w:rsidRPr="00B071E2">
        <w:rPr>
          <w:rFonts w:ascii="Verdana" w:hAnsi="Verdana"/>
          <w:color w:val="FF0000"/>
          <w:sz w:val="20"/>
          <w:szCs w:val="20"/>
        </w:rPr>
        <w:t>-cloud lightning flash densities</w:t>
      </w:r>
      <w:r>
        <w:rPr>
          <w:rFonts w:ascii="Verdana" w:hAnsi="Verdana"/>
          <w:color w:val="FF0000"/>
          <w:sz w:val="20"/>
          <w:szCs w:val="20"/>
        </w:rPr>
        <w:t xml:space="preserve"> (see </w:t>
      </w:r>
      <w:r w:rsidRPr="00AE1309">
        <w:rPr>
          <w:rFonts w:ascii="Verdana" w:hAnsi="Verdana"/>
          <w:color w:val="FF0000"/>
          <w:sz w:val="20"/>
          <w:szCs w:val="20"/>
        </w:rPr>
        <w:t>Lopez, P., 2016: A lightning parameterization for the ECMWF Integrated Forecasting System, Monthly Weather Review, 144, 3057-3075</w:t>
      </w:r>
      <w:r>
        <w:rPr>
          <w:rFonts w:ascii="Verdana" w:hAnsi="Verdana"/>
          <w:color w:val="FF0000"/>
          <w:sz w:val="20"/>
          <w:szCs w:val="20"/>
        </w:rPr>
        <w:t>).</w:t>
      </w:r>
    </w:p>
    <w:p w:rsidR="00AD08BE" w:rsidRDefault="00AD08BE" w:rsidP="00AD08BE">
      <w:pPr>
        <w:jc w:val="both"/>
        <w:rPr>
          <w:rFonts w:ascii="Verdana" w:hAnsi="Verdana"/>
          <w:sz w:val="20"/>
          <w:szCs w:val="20"/>
        </w:rPr>
      </w:pPr>
    </w:p>
    <w:p w:rsidR="00AD08BE" w:rsidRDefault="00AD08BE" w:rsidP="00AD08BE">
      <w:pPr>
        <w:jc w:val="both"/>
        <w:rPr>
          <w:rFonts w:ascii="Verdana" w:hAnsi="Verdana"/>
          <w:sz w:val="20"/>
          <w:szCs w:val="20"/>
        </w:rPr>
      </w:pPr>
    </w:p>
    <w:p w:rsidR="00AD08BE" w:rsidRPr="00B071E2" w:rsidRDefault="00AD08BE" w:rsidP="00AD08BE">
      <w:pPr>
        <w:jc w:val="both"/>
        <w:rPr>
          <w:rFonts w:ascii="Verdana" w:hAnsi="Verdana"/>
          <w:sz w:val="20"/>
          <w:szCs w:val="20"/>
        </w:rPr>
      </w:pPr>
    </w:p>
    <w:p w:rsidR="00AD08BE" w:rsidRDefault="00AD08BE" w:rsidP="00AD08BE">
      <w:pPr>
        <w:jc w:val="both"/>
        <w:rPr>
          <w:rFonts w:ascii="Verdana" w:hAnsi="Verdana"/>
          <w:sz w:val="20"/>
          <w:szCs w:val="20"/>
          <w:lang w:val="en-US"/>
        </w:rPr>
      </w:pPr>
      <w:r>
        <w:rPr>
          <w:rFonts w:ascii="Verdana" w:hAnsi="Verdana"/>
          <w:sz w:val="20"/>
          <w:szCs w:val="20"/>
          <w:lang w:val="en-US"/>
        </w:rPr>
        <w:t>Comments:</w:t>
      </w:r>
    </w:p>
    <w:p w:rsidR="00AD08BE" w:rsidRDefault="00AD08BE" w:rsidP="00AD08BE">
      <w:pPr>
        <w:numPr>
          <w:ilvl w:val="0"/>
          <w:numId w:val="2"/>
        </w:numPr>
        <w:jc w:val="both"/>
        <w:rPr>
          <w:rFonts w:ascii="Verdana" w:hAnsi="Verdana"/>
          <w:sz w:val="20"/>
          <w:szCs w:val="20"/>
          <w:lang w:val="en-US"/>
        </w:rPr>
      </w:pPr>
      <w:r>
        <w:rPr>
          <w:rFonts w:ascii="Verdana" w:hAnsi="Verdana"/>
          <w:sz w:val="20"/>
          <w:szCs w:val="20"/>
          <w:lang w:val="en-US"/>
        </w:rPr>
        <w:t xml:space="preserve">The difference between Lightning stroke density and Lightning Flash density relies in the fact that a “flash” is composed by one or more “strokes” occurring within a defined space within one second. </w:t>
      </w:r>
    </w:p>
    <w:p w:rsidR="00AD08BE" w:rsidRPr="00F35A04" w:rsidRDefault="00AD08BE" w:rsidP="00AD08BE">
      <w:pPr>
        <w:numPr>
          <w:ilvl w:val="0"/>
          <w:numId w:val="2"/>
        </w:numPr>
        <w:jc w:val="both"/>
        <w:rPr>
          <w:rFonts w:ascii="Verdana" w:hAnsi="Verdana"/>
          <w:sz w:val="20"/>
          <w:szCs w:val="20"/>
          <w:lang w:val="en-US"/>
        </w:rPr>
      </w:pPr>
      <w:r>
        <w:rPr>
          <w:rFonts w:ascii="Verdana" w:hAnsi="Verdana"/>
          <w:sz w:val="20"/>
          <w:szCs w:val="20"/>
          <w:lang w:val="en-US"/>
        </w:rPr>
        <w:t>The units are chosen to be km-2 day-1 to reflect the very low occurrence of events (flashes) in time and space. If expressed in m-2 s-1, a typical value for these parameters would be in the order of 10^-16.</w:t>
      </w:r>
    </w:p>
    <w:p w:rsidR="00D51173" w:rsidRDefault="00D51173">
      <w:pPr>
        <w:jc w:val="both"/>
        <w:rPr>
          <w:rFonts w:ascii="Verdana" w:hAnsi="Verdana"/>
          <w:sz w:val="20"/>
          <w:szCs w:val="20"/>
          <w:lang w:val="en-US"/>
        </w:rPr>
      </w:pPr>
    </w:p>
    <w:sectPr w:rsidR="00D51173"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66096"/>
    <w:multiLevelType w:val="hybridMultilevel"/>
    <w:tmpl w:val="01B8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C72C7"/>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92E4C"/>
    <w:rsid w:val="00AC098E"/>
    <w:rsid w:val="00AC7AE4"/>
    <w:rsid w:val="00AD08BE"/>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CF0199"/>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51C83"/>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DC21C89-9EEE-41E2-BCED-CB14B33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rsid w:val="00AD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E6F6-C881-46FD-A067-D053C9F2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Enrico Fucile</cp:lastModifiedBy>
  <cp:revision>6</cp:revision>
  <cp:lastPrinted>2008-08-15T16:03:00Z</cp:lastPrinted>
  <dcterms:created xsi:type="dcterms:W3CDTF">2018-04-11T14:51:00Z</dcterms:created>
  <dcterms:modified xsi:type="dcterms:W3CDTF">2018-05-16T07:46:00Z</dcterms:modified>
</cp:coreProperties>
</file>