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2D0462">
              <w:rPr>
                <w:rFonts w:ascii="Verdana" w:hAnsi="Verdana"/>
                <w:sz w:val="20"/>
                <w:szCs w:val="20"/>
              </w:rPr>
              <w:t>2.2(</w:t>
            </w:r>
            <w:r w:rsidR="00DC60A8">
              <w:rPr>
                <w:rFonts w:ascii="Verdana" w:hAnsi="Verdana"/>
                <w:sz w:val="20"/>
                <w:szCs w:val="20"/>
              </w:rPr>
              <w:t>3</w:t>
            </w:r>
            <w:bookmarkStart w:id="0" w:name="_GoBack"/>
            <w:bookmarkEnd w:id="0"/>
            <w:r w:rsidR="002D0462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DC60A8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4-27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0462">
                  <w:rPr>
                    <w:rFonts w:ascii="Verdana" w:hAnsi="Verdana"/>
                    <w:sz w:val="20"/>
                    <w:szCs w:val="20"/>
                  </w:rPr>
                  <w:t>27.04.2018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2D0462">
              <w:rPr>
                <w:rFonts w:ascii="Verdana" w:hAnsi="Verdana"/>
                <w:sz w:val="20"/>
                <w:szCs w:val="20"/>
              </w:rPr>
              <w:t>2.2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DC60A8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AD08BE">
            <w:rPr>
              <w:rStyle w:val="Style8"/>
            </w:rPr>
            <w:t>MANUAL ON CODES: TABLE-DRIVEN CODE FORMS</w:t>
          </w:r>
        </w:sdtContent>
      </w:sdt>
    </w:p>
    <w:bookmarkStart w:id="1" w:name="Text2"/>
    <w:p w:rsidR="00984C25" w:rsidRPr="006569B7" w:rsidRDefault="00DC60A8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AD08BE">
            <w:rPr>
              <w:rFonts w:ascii="Verdana" w:hAnsi="Verdana" w:cs="Arial"/>
              <w:sz w:val="18"/>
              <w:szCs w:val="18"/>
            </w:rPr>
            <w:t>FM 92 GRIB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:rsidR="009F245F" w:rsidRPr="00F35A04" w:rsidRDefault="00573C5F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New entry in GRIB2 Code Table 4.9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573C5F">
        <w:rPr>
          <w:rFonts w:ascii="Verdana" w:hAnsi="Verdana"/>
          <w:i/>
          <w:sz w:val="20"/>
          <w:szCs w:val="20"/>
        </w:rPr>
        <w:t>Jeff Ator</w:t>
      </w:r>
      <w:r w:rsidR="00AD08BE">
        <w:rPr>
          <w:rFonts w:ascii="Verdana" w:hAnsi="Verdana"/>
          <w:i/>
          <w:sz w:val="20"/>
          <w:szCs w:val="20"/>
        </w:rPr>
        <w:t xml:space="preserve"> (</w:t>
      </w:r>
      <w:r w:rsidR="00573C5F">
        <w:rPr>
          <w:rFonts w:ascii="Verdana" w:hAnsi="Verdana"/>
          <w:i/>
          <w:sz w:val="20"/>
          <w:szCs w:val="20"/>
        </w:rPr>
        <w:t>USA</w:t>
      </w:r>
      <w:r w:rsidR="00AD08BE">
        <w:rPr>
          <w:rFonts w:ascii="Verdana" w:hAnsi="Verdana"/>
          <w:i/>
          <w:sz w:val="20"/>
          <w:szCs w:val="20"/>
        </w:rPr>
        <w:t>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AD08BE" w:rsidRPr="00F35A04" w:rsidRDefault="00573C5F" w:rsidP="00AD08BE">
      <w:pPr>
        <w:ind w:left="440" w:right="39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This document proposes a new entry in GRIB2 code table 4.9 to be used in reporting the probability of discrete events.</w:t>
      </w:r>
    </w:p>
    <w:p w:rsidR="009F245F" w:rsidRPr="00F35A04" w:rsidRDefault="009F245F" w:rsidP="00573C5F">
      <w:pPr>
        <w:ind w:right="399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AD08BE" w:rsidRPr="00F35A04" w:rsidRDefault="00AD08BE" w:rsidP="00AD08BE">
      <w:pPr>
        <w:pStyle w:val="BodyText"/>
        <w:rPr>
          <w:rFonts w:ascii="Verdana" w:hAnsi="Verdana"/>
          <w:sz w:val="20"/>
          <w:szCs w:val="20"/>
        </w:rPr>
      </w:pPr>
      <w:r w:rsidRPr="00E4307B">
        <w:rPr>
          <w:rFonts w:ascii="Verdana" w:hAnsi="Verdana"/>
          <w:sz w:val="20"/>
          <w:szCs w:val="20"/>
        </w:rPr>
        <w:t xml:space="preserve">The team is requested to </w:t>
      </w:r>
      <w:r w:rsidR="00573C5F">
        <w:rPr>
          <w:rFonts w:ascii="Verdana" w:hAnsi="Verdana"/>
          <w:sz w:val="20"/>
          <w:szCs w:val="20"/>
        </w:rPr>
        <w:t>consider the proposal for possible inclusion in November 2018 fast-track (FT2018-2)</w:t>
      </w:r>
      <w:r w:rsidRPr="00E4307B">
        <w:rPr>
          <w:rFonts w:ascii="Verdana" w:hAnsi="Verdana"/>
          <w:sz w:val="20"/>
          <w:szCs w:val="20"/>
        </w:rPr>
        <w:t>.</w:t>
      </w:r>
    </w:p>
    <w:p w:rsidR="009F245F" w:rsidRDefault="009F245F" w:rsidP="00EC3262">
      <w:pPr>
        <w:pStyle w:val="BodyText"/>
        <w:ind w:firstLine="567"/>
        <w:rPr>
          <w:rFonts w:ascii="Verdana" w:hAnsi="Verdana"/>
          <w:sz w:val="20"/>
          <w:szCs w:val="20"/>
        </w:rPr>
      </w:pP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="00573C5F">
        <w:rPr>
          <w:rFonts w:ascii="Verdana" w:hAnsi="Verdana"/>
          <w:b/>
          <w:sz w:val="20"/>
          <w:szCs w:val="20"/>
        </w:rPr>
        <w:lastRenderedPageBreak/>
        <w:t>DISCUSSION</w:t>
      </w:r>
      <w:r w:rsidR="00565A10">
        <w:rPr>
          <w:rFonts w:ascii="Verdana" w:hAnsi="Verdana"/>
          <w:b/>
          <w:sz w:val="20"/>
          <w:szCs w:val="20"/>
        </w:rPr>
        <w:t xml:space="preserve"> AND 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573C5F" w:rsidRDefault="00573C5F" w:rsidP="00AD08BE">
      <w:pPr>
        <w:jc w:val="both"/>
        <w:rPr>
          <w:rFonts w:ascii="Verdana" w:hAnsi="Verdana"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>The current</w:t>
      </w:r>
      <w:r w:rsidR="00922F0F">
        <w:rPr>
          <w:rFonts w:ascii="Verdana" w:hAnsi="Verdana"/>
          <w:sz w:val="20"/>
          <w:szCs w:val="20"/>
        </w:rPr>
        <w:t xml:space="preserve"> entries within</w:t>
      </w:r>
      <w:r>
        <w:rPr>
          <w:rFonts w:ascii="Verdana" w:hAnsi="Verdana"/>
          <w:sz w:val="20"/>
          <w:szCs w:val="20"/>
        </w:rPr>
        <w:t xml:space="preserve"> GRIB2 code table 4.9 are as follows:</w:t>
      </w:r>
    </w:p>
    <w:p w:rsidR="00573C5F" w:rsidRPr="00573C5F" w:rsidRDefault="00573C5F" w:rsidP="00573C5F">
      <w:pPr>
        <w:widowControl w:val="0"/>
        <w:autoSpaceDE w:val="0"/>
        <w:autoSpaceDN w:val="0"/>
        <w:adjustRightInd w:val="0"/>
        <w:spacing w:before="480"/>
        <w:rPr>
          <w:rFonts w:cs="Arial"/>
          <w:b/>
          <w:bCs/>
          <w:snapToGrid/>
          <w:sz w:val="20"/>
          <w:szCs w:val="20"/>
          <w:lang w:val="en-US" w:eastAsia="ja-JP"/>
        </w:rPr>
      </w:pPr>
      <w:r w:rsidRPr="00573C5F">
        <w:rPr>
          <w:rFonts w:cs="Arial"/>
          <w:b/>
          <w:bCs/>
          <w:snapToGrid/>
          <w:sz w:val="20"/>
          <w:szCs w:val="20"/>
          <w:lang w:val="en-US" w:eastAsia="ja-JP"/>
        </w:rPr>
        <w:t>Code table 4.9</w:t>
      </w:r>
      <w:r w:rsidRPr="00573C5F">
        <w:rPr>
          <w:rFonts w:cs="Arial"/>
          <w:bCs/>
          <w:snapToGrid/>
          <w:sz w:val="20"/>
          <w:szCs w:val="20"/>
          <w:lang w:val="en-US" w:eastAsia="ja-JP"/>
        </w:rPr>
        <w:t xml:space="preserve"> – </w:t>
      </w:r>
      <w:r w:rsidRPr="00573C5F">
        <w:rPr>
          <w:rFonts w:cs="Arial"/>
          <w:bCs/>
          <w:i/>
          <w:snapToGrid/>
          <w:sz w:val="20"/>
          <w:szCs w:val="20"/>
          <w:lang w:val="en-US" w:eastAsia="ja-JP"/>
        </w:rPr>
        <w:t>Probability type</w:t>
      </w:r>
    </w:p>
    <w:p w:rsidR="00573C5F" w:rsidRPr="00573C5F" w:rsidRDefault="00573C5F" w:rsidP="00573C5F">
      <w:pPr>
        <w:widowControl w:val="0"/>
        <w:tabs>
          <w:tab w:val="center" w:pos="426"/>
          <w:tab w:val="left" w:pos="1843"/>
          <w:tab w:val="left" w:pos="8647"/>
        </w:tabs>
        <w:autoSpaceDE w:val="0"/>
        <w:autoSpaceDN w:val="0"/>
        <w:adjustRightInd w:val="0"/>
        <w:spacing w:before="196"/>
        <w:rPr>
          <w:rFonts w:cs="Arial"/>
          <w:snapToGrid/>
          <w:sz w:val="21"/>
          <w:szCs w:val="21"/>
          <w:lang w:val="en-US" w:eastAsia="ja-JP"/>
        </w:rPr>
      </w:pPr>
      <w:r w:rsidRPr="00573C5F">
        <w:rPr>
          <w:rFonts w:cs="Arial"/>
          <w:snapToGrid/>
          <w:sz w:val="16"/>
          <w:szCs w:val="16"/>
          <w:lang w:val="en-US" w:eastAsia="ja-JP"/>
        </w:rPr>
        <w:t>Code figure</w:t>
      </w:r>
      <w:r w:rsidRPr="00573C5F">
        <w:rPr>
          <w:rFonts w:cs="Arial"/>
          <w:snapToGrid/>
          <w:sz w:val="24"/>
          <w:szCs w:val="24"/>
          <w:lang w:val="en-US" w:eastAsia="ja-JP"/>
        </w:rPr>
        <w:tab/>
      </w:r>
      <w:r w:rsidRPr="00573C5F">
        <w:rPr>
          <w:rFonts w:cs="Arial"/>
          <w:snapToGrid/>
          <w:sz w:val="16"/>
          <w:szCs w:val="16"/>
          <w:lang w:val="en-US" w:eastAsia="ja-JP"/>
        </w:rPr>
        <w:t>Meaning</w:t>
      </w:r>
    </w:p>
    <w:p w:rsidR="00573C5F" w:rsidRPr="00573C5F" w:rsidRDefault="00573C5F" w:rsidP="00573C5F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napToGrid/>
          <w:sz w:val="18"/>
          <w:szCs w:val="18"/>
          <w:lang w:val="en-US" w:eastAsia="ja-JP"/>
        </w:rPr>
      </w:pPr>
      <w:r w:rsidRPr="00573C5F">
        <w:rPr>
          <w:rFonts w:cs="Arial"/>
          <w:snapToGrid/>
          <w:sz w:val="18"/>
          <w:szCs w:val="18"/>
          <w:lang w:val="en-US" w:eastAsia="ja-JP"/>
        </w:rPr>
        <w:tab/>
        <w:t>0</w:t>
      </w:r>
      <w:r w:rsidRPr="00573C5F">
        <w:rPr>
          <w:rFonts w:cs="Arial"/>
          <w:snapToGrid/>
          <w:sz w:val="18"/>
          <w:szCs w:val="18"/>
          <w:lang w:val="en-US" w:eastAsia="ja-JP"/>
        </w:rPr>
        <w:tab/>
        <w:t>Probability of event below lower limit</w:t>
      </w:r>
    </w:p>
    <w:p w:rsidR="00573C5F" w:rsidRPr="00573C5F" w:rsidRDefault="00573C5F" w:rsidP="00573C5F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napToGrid/>
          <w:sz w:val="18"/>
          <w:szCs w:val="18"/>
          <w:lang w:val="en-US" w:eastAsia="ja-JP"/>
        </w:rPr>
      </w:pPr>
      <w:r w:rsidRPr="00573C5F">
        <w:rPr>
          <w:rFonts w:cs="Arial"/>
          <w:snapToGrid/>
          <w:sz w:val="18"/>
          <w:szCs w:val="18"/>
          <w:lang w:val="en-US" w:eastAsia="ja-JP"/>
        </w:rPr>
        <w:tab/>
        <w:t>1</w:t>
      </w:r>
      <w:r w:rsidRPr="00573C5F">
        <w:rPr>
          <w:rFonts w:cs="Arial"/>
          <w:snapToGrid/>
          <w:sz w:val="18"/>
          <w:szCs w:val="18"/>
          <w:lang w:val="en-US" w:eastAsia="ja-JP"/>
        </w:rPr>
        <w:tab/>
        <w:t>Probability of event above upper limit</w:t>
      </w:r>
    </w:p>
    <w:p w:rsidR="00573C5F" w:rsidRPr="00573C5F" w:rsidRDefault="00573C5F" w:rsidP="00573C5F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napToGrid/>
          <w:sz w:val="18"/>
          <w:szCs w:val="18"/>
          <w:lang w:val="en-US" w:eastAsia="ja-JP"/>
        </w:rPr>
      </w:pPr>
      <w:r w:rsidRPr="00573C5F">
        <w:rPr>
          <w:rFonts w:cs="Arial"/>
          <w:snapToGrid/>
          <w:sz w:val="18"/>
          <w:szCs w:val="18"/>
          <w:lang w:val="en-US" w:eastAsia="ja-JP"/>
        </w:rPr>
        <w:tab/>
        <w:t>2</w:t>
      </w:r>
      <w:r w:rsidRPr="00573C5F">
        <w:rPr>
          <w:rFonts w:cs="Arial"/>
          <w:snapToGrid/>
          <w:sz w:val="18"/>
          <w:szCs w:val="18"/>
          <w:lang w:val="en-US" w:eastAsia="ja-JP"/>
        </w:rPr>
        <w:tab/>
        <w:t xml:space="preserve">Probability of event between lower and upper limits (the range includes the lower limit </w:t>
      </w:r>
      <w:r w:rsidRPr="00573C5F">
        <w:rPr>
          <w:rFonts w:cs="Arial"/>
          <w:snapToGrid/>
          <w:sz w:val="18"/>
          <w:szCs w:val="18"/>
          <w:lang w:val="en-US" w:eastAsia="ja-JP"/>
        </w:rPr>
        <w:br/>
      </w:r>
      <w:r w:rsidRPr="00573C5F">
        <w:rPr>
          <w:rFonts w:cs="Arial"/>
          <w:snapToGrid/>
          <w:sz w:val="18"/>
          <w:szCs w:val="18"/>
          <w:lang w:val="en-US" w:eastAsia="ja-JP"/>
        </w:rPr>
        <w:tab/>
      </w:r>
      <w:r w:rsidRPr="00573C5F">
        <w:rPr>
          <w:rFonts w:cs="Arial"/>
          <w:snapToGrid/>
          <w:sz w:val="18"/>
          <w:szCs w:val="18"/>
          <w:lang w:val="en-US" w:eastAsia="ja-JP"/>
        </w:rPr>
        <w:tab/>
        <w:t>but not the upper limit)</w:t>
      </w:r>
    </w:p>
    <w:p w:rsidR="00573C5F" w:rsidRPr="00573C5F" w:rsidRDefault="00573C5F" w:rsidP="00573C5F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napToGrid/>
          <w:sz w:val="18"/>
          <w:szCs w:val="18"/>
          <w:lang w:val="en-US" w:eastAsia="ja-JP"/>
        </w:rPr>
      </w:pPr>
      <w:r w:rsidRPr="00573C5F">
        <w:rPr>
          <w:rFonts w:cs="Arial"/>
          <w:snapToGrid/>
          <w:sz w:val="18"/>
          <w:szCs w:val="18"/>
          <w:lang w:val="en-US" w:eastAsia="ja-JP"/>
        </w:rPr>
        <w:tab/>
        <w:t>3</w:t>
      </w:r>
      <w:r w:rsidRPr="00573C5F">
        <w:rPr>
          <w:rFonts w:cs="Arial"/>
          <w:snapToGrid/>
          <w:sz w:val="18"/>
          <w:szCs w:val="18"/>
          <w:lang w:val="en-US" w:eastAsia="ja-JP"/>
        </w:rPr>
        <w:tab/>
        <w:t>Probability of event above lower limit</w:t>
      </w:r>
    </w:p>
    <w:p w:rsidR="00573C5F" w:rsidRPr="00573C5F" w:rsidRDefault="00573C5F" w:rsidP="00573C5F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napToGrid/>
          <w:sz w:val="18"/>
          <w:szCs w:val="18"/>
          <w:lang w:val="en-US" w:eastAsia="ja-JP"/>
        </w:rPr>
      </w:pPr>
      <w:r w:rsidRPr="00573C5F">
        <w:rPr>
          <w:rFonts w:cs="Arial"/>
          <w:snapToGrid/>
          <w:sz w:val="18"/>
          <w:szCs w:val="18"/>
          <w:lang w:val="en-US" w:eastAsia="ja-JP"/>
        </w:rPr>
        <w:tab/>
        <w:t>4</w:t>
      </w:r>
      <w:r w:rsidRPr="00573C5F">
        <w:rPr>
          <w:rFonts w:cs="Arial"/>
          <w:snapToGrid/>
          <w:sz w:val="18"/>
          <w:szCs w:val="18"/>
          <w:lang w:val="en-US" w:eastAsia="ja-JP"/>
        </w:rPr>
        <w:tab/>
        <w:t>Probability of event below upper limit</w:t>
      </w:r>
    </w:p>
    <w:p w:rsidR="00573C5F" w:rsidRPr="00573C5F" w:rsidRDefault="00573C5F" w:rsidP="00573C5F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napToGrid/>
          <w:sz w:val="18"/>
          <w:szCs w:val="18"/>
          <w:lang w:val="en-US" w:eastAsia="ja-JP"/>
        </w:rPr>
      </w:pPr>
      <w:r w:rsidRPr="00573C5F">
        <w:rPr>
          <w:rFonts w:cs="Arial"/>
          <w:snapToGrid/>
          <w:sz w:val="18"/>
          <w:szCs w:val="18"/>
          <w:lang w:val="en-US" w:eastAsia="ja-JP"/>
        </w:rPr>
        <w:tab/>
        <w:t>5–191</w:t>
      </w:r>
      <w:r w:rsidRPr="00573C5F">
        <w:rPr>
          <w:rFonts w:cs="Arial"/>
          <w:snapToGrid/>
          <w:sz w:val="18"/>
          <w:szCs w:val="18"/>
          <w:lang w:val="en-US" w:eastAsia="ja-JP"/>
        </w:rPr>
        <w:tab/>
        <w:t>Reserved</w:t>
      </w:r>
    </w:p>
    <w:p w:rsidR="00573C5F" w:rsidRPr="00573C5F" w:rsidRDefault="00573C5F" w:rsidP="00573C5F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napToGrid/>
          <w:sz w:val="18"/>
          <w:szCs w:val="18"/>
          <w:lang w:val="en-US" w:eastAsia="ja-JP"/>
        </w:rPr>
      </w:pPr>
      <w:r w:rsidRPr="00573C5F">
        <w:rPr>
          <w:rFonts w:cs="Arial"/>
          <w:snapToGrid/>
          <w:sz w:val="18"/>
          <w:szCs w:val="18"/>
          <w:lang w:val="en-US" w:eastAsia="ja-JP"/>
        </w:rPr>
        <w:tab/>
        <w:t>192–254</w:t>
      </w:r>
      <w:r w:rsidRPr="00573C5F">
        <w:rPr>
          <w:rFonts w:cs="Arial"/>
          <w:snapToGrid/>
          <w:sz w:val="18"/>
          <w:szCs w:val="18"/>
          <w:lang w:val="en-US" w:eastAsia="ja-JP"/>
        </w:rPr>
        <w:tab/>
        <w:t>Reserved for local use</w:t>
      </w:r>
    </w:p>
    <w:p w:rsidR="00573C5F" w:rsidRPr="00573C5F" w:rsidRDefault="00573C5F" w:rsidP="00573C5F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napToGrid/>
          <w:sz w:val="18"/>
          <w:szCs w:val="18"/>
          <w:lang w:val="en-US" w:eastAsia="ja-JP"/>
        </w:rPr>
      </w:pPr>
      <w:r w:rsidRPr="00573C5F">
        <w:rPr>
          <w:rFonts w:cs="Arial"/>
          <w:snapToGrid/>
          <w:sz w:val="18"/>
          <w:szCs w:val="18"/>
          <w:lang w:val="en-US" w:eastAsia="ja-JP"/>
        </w:rPr>
        <w:tab/>
        <w:t>255</w:t>
      </w:r>
      <w:r w:rsidRPr="00573C5F">
        <w:rPr>
          <w:rFonts w:cs="Arial"/>
          <w:snapToGrid/>
          <w:sz w:val="18"/>
          <w:szCs w:val="18"/>
          <w:lang w:val="en-US" w:eastAsia="ja-JP"/>
        </w:rPr>
        <w:tab/>
        <w:t>Missing</w:t>
      </w:r>
    </w:p>
    <w:p w:rsidR="00573C5F" w:rsidRDefault="00573C5F" w:rsidP="00AD08BE">
      <w:pPr>
        <w:jc w:val="both"/>
        <w:rPr>
          <w:rFonts w:ascii="Verdana" w:hAnsi="Verdana"/>
          <w:sz w:val="20"/>
          <w:szCs w:val="20"/>
        </w:rPr>
      </w:pPr>
    </w:p>
    <w:p w:rsidR="00573C5F" w:rsidRDefault="00573C5F" w:rsidP="00922F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allows one to easily </w:t>
      </w:r>
      <w:r w:rsidRPr="00573C5F">
        <w:rPr>
          <w:rFonts w:ascii="Verdana" w:hAnsi="Verdana"/>
          <w:sz w:val="20"/>
          <w:szCs w:val="20"/>
        </w:rPr>
        <w:t>report the probability that, e.g. the dew point temperature is &gt;= 283.5 K and &lt; 290.2 K at each successive grid point</w:t>
      </w:r>
      <w:r>
        <w:rPr>
          <w:rFonts w:ascii="Verdana" w:hAnsi="Verdana"/>
          <w:sz w:val="20"/>
          <w:szCs w:val="20"/>
        </w:rPr>
        <w:t>,</w:t>
      </w:r>
      <w:r w:rsidRPr="00573C5F">
        <w:rPr>
          <w:rFonts w:ascii="Verdana" w:hAnsi="Verdana"/>
          <w:sz w:val="20"/>
          <w:szCs w:val="20"/>
        </w:rPr>
        <w:t xml:space="preserve"> by using PDT 4.5 (or 4.9) with octet #10 set to 0, octet #11 set to 6, octet #37 (i.e. the CT 4.9 value) set to 2, and octets #38-42 and #43-47 set, respectively, to indicate the values 283.5 and 290.2</w:t>
      </w:r>
    </w:p>
    <w:p w:rsidR="00573C5F" w:rsidRDefault="00573C5F" w:rsidP="00922F0F">
      <w:pPr>
        <w:rPr>
          <w:rFonts w:ascii="Verdana" w:hAnsi="Verdana"/>
          <w:sz w:val="20"/>
          <w:szCs w:val="20"/>
        </w:rPr>
      </w:pPr>
    </w:p>
    <w:p w:rsidR="00573C5F" w:rsidRDefault="00573C5F" w:rsidP="00922F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But what if one wanted to report the probability of an event denoted by a discrete code table entry in </w:t>
      </w:r>
      <w:r w:rsidR="00922F0F">
        <w:rPr>
          <w:rFonts w:ascii="Verdana" w:hAnsi="Verdana"/>
          <w:sz w:val="20"/>
          <w:szCs w:val="20"/>
        </w:rPr>
        <w:t xml:space="preserve">code table 4.2, say, </w:t>
      </w:r>
      <w:r w:rsidR="00922F0F" w:rsidRPr="00922F0F">
        <w:rPr>
          <w:rFonts w:ascii="Verdana" w:hAnsi="Verdana"/>
          <w:sz w:val="20"/>
          <w:szCs w:val="20"/>
        </w:rPr>
        <w:t>the probability of a dry thunderstorm occurring at each successive grid point.  You could similarly use PDT 4.5 (or 4.9) with octet #10 set to 19, octet #11 set to 25 (=”Weather”), and octets #38-42 and #43-47 both set to 217 (=”Dry thunderstorm”, from CT 4.225).  But the problem is that there’s no value defined in CT 4.9 which we could use in octet #37 to say that we’re talking about the probability of the value being exactly equal to either the lower or upper limits in octets #38-47, or that they’re the same, so this means we can’t use PDT 4.5, PDT 4.9, etc. to report probability values for any parameter whose units are discrete code table entries.</w:t>
      </w:r>
      <w:r w:rsidR="00922F0F">
        <w:rPr>
          <w:rFonts w:ascii="Verdana" w:hAnsi="Verdana"/>
          <w:sz w:val="20"/>
          <w:szCs w:val="20"/>
        </w:rPr>
        <w:t xml:space="preserve">  This could potentially be resolved by adding a new entry to CT 4.9 as follows:</w:t>
      </w:r>
    </w:p>
    <w:p w:rsidR="00922F0F" w:rsidRPr="00573C5F" w:rsidRDefault="00922F0F" w:rsidP="00922F0F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napToGrid/>
          <w:sz w:val="18"/>
          <w:szCs w:val="18"/>
          <w:lang w:val="en-US" w:eastAsia="ja-JP"/>
        </w:rPr>
      </w:pPr>
      <w:r>
        <w:rPr>
          <w:rFonts w:cs="Arial"/>
          <w:snapToGrid/>
          <w:sz w:val="18"/>
          <w:szCs w:val="18"/>
          <w:lang w:val="en-US" w:eastAsia="ja-JP"/>
        </w:rPr>
        <w:t>5</w:t>
      </w:r>
      <w:r w:rsidRPr="00573C5F">
        <w:rPr>
          <w:rFonts w:cs="Arial"/>
          <w:snapToGrid/>
          <w:sz w:val="18"/>
          <w:szCs w:val="18"/>
          <w:lang w:val="en-US" w:eastAsia="ja-JP"/>
        </w:rPr>
        <w:tab/>
      </w:r>
      <w:r>
        <w:rPr>
          <w:rFonts w:cs="Arial"/>
          <w:snapToGrid/>
          <w:sz w:val="18"/>
          <w:szCs w:val="18"/>
          <w:lang w:val="en-US" w:eastAsia="ja-JP"/>
        </w:rPr>
        <w:tab/>
      </w:r>
      <w:r w:rsidRPr="00922F0F">
        <w:rPr>
          <w:rFonts w:cs="Arial"/>
          <w:snapToGrid/>
          <w:sz w:val="18"/>
          <w:szCs w:val="18"/>
          <w:lang w:eastAsia="ja-JP"/>
        </w:rPr>
        <w:t>Probability of event equal to lower and upper limit (the lower and upper limits are identical)</w:t>
      </w:r>
    </w:p>
    <w:p w:rsidR="00922F0F" w:rsidRDefault="00922F0F" w:rsidP="00AD08BE">
      <w:pPr>
        <w:jc w:val="both"/>
        <w:rPr>
          <w:rFonts w:ascii="Verdana" w:hAnsi="Verdana"/>
          <w:sz w:val="20"/>
          <w:szCs w:val="20"/>
        </w:rPr>
      </w:pPr>
    </w:p>
    <w:p w:rsidR="00922F0F" w:rsidRDefault="00922F0F" w:rsidP="00AD08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 even (if preferred):</w:t>
      </w:r>
    </w:p>
    <w:p w:rsidR="00922F0F" w:rsidRDefault="00922F0F" w:rsidP="00AD08BE">
      <w:pPr>
        <w:jc w:val="both"/>
        <w:rPr>
          <w:rFonts w:ascii="Verdana" w:hAnsi="Verdana"/>
          <w:sz w:val="20"/>
          <w:szCs w:val="20"/>
        </w:rPr>
      </w:pPr>
    </w:p>
    <w:p w:rsidR="00922F0F" w:rsidRPr="00573C5F" w:rsidRDefault="00922F0F" w:rsidP="00922F0F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napToGrid/>
          <w:sz w:val="18"/>
          <w:szCs w:val="18"/>
          <w:lang w:val="en-US" w:eastAsia="ja-JP"/>
        </w:rPr>
      </w:pPr>
      <w:r>
        <w:rPr>
          <w:rFonts w:cs="Arial"/>
          <w:snapToGrid/>
          <w:sz w:val="18"/>
          <w:szCs w:val="18"/>
          <w:lang w:val="en-US" w:eastAsia="ja-JP"/>
        </w:rPr>
        <w:t>5</w:t>
      </w:r>
      <w:r w:rsidRPr="00573C5F">
        <w:rPr>
          <w:rFonts w:cs="Arial"/>
          <w:snapToGrid/>
          <w:sz w:val="18"/>
          <w:szCs w:val="18"/>
          <w:lang w:val="en-US" w:eastAsia="ja-JP"/>
        </w:rPr>
        <w:tab/>
      </w:r>
      <w:r>
        <w:rPr>
          <w:rFonts w:cs="Arial"/>
          <w:snapToGrid/>
          <w:sz w:val="18"/>
          <w:szCs w:val="18"/>
          <w:lang w:val="en-US" w:eastAsia="ja-JP"/>
        </w:rPr>
        <w:tab/>
      </w:r>
      <w:r w:rsidRPr="00573C5F">
        <w:rPr>
          <w:rFonts w:cs="Arial"/>
          <w:snapToGrid/>
          <w:sz w:val="18"/>
          <w:szCs w:val="18"/>
          <w:lang w:val="en-US" w:eastAsia="ja-JP"/>
        </w:rPr>
        <w:t xml:space="preserve">Probability of event </w:t>
      </w:r>
      <w:r>
        <w:rPr>
          <w:rFonts w:cs="Arial"/>
          <w:snapToGrid/>
          <w:sz w:val="18"/>
          <w:szCs w:val="18"/>
          <w:lang w:val="en-US" w:eastAsia="ja-JP"/>
        </w:rPr>
        <w:t>equal to lower</w:t>
      </w:r>
      <w:r w:rsidRPr="00573C5F">
        <w:rPr>
          <w:rFonts w:cs="Arial"/>
          <w:snapToGrid/>
          <w:sz w:val="18"/>
          <w:szCs w:val="18"/>
          <w:lang w:val="en-US" w:eastAsia="ja-JP"/>
        </w:rPr>
        <w:t xml:space="preserve"> limit</w:t>
      </w:r>
    </w:p>
    <w:p w:rsidR="00922F0F" w:rsidRDefault="00922F0F" w:rsidP="00AD08BE">
      <w:pPr>
        <w:jc w:val="both"/>
        <w:rPr>
          <w:rFonts w:ascii="Verdana" w:hAnsi="Verdana"/>
          <w:sz w:val="20"/>
          <w:szCs w:val="20"/>
        </w:rPr>
      </w:pPr>
    </w:p>
    <w:p w:rsidR="00573C5F" w:rsidRDefault="00922F0F" w:rsidP="00AD08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 just leave the upper limit octets missing when using one of these templates.</w:t>
      </w:r>
    </w:p>
    <w:p w:rsidR="00573C5F" w:rsidRDefault="00573C5F" w:rsidP="00AD08BE">
      <w:pPr>
        <w:jc w:val="both"/>
        <w:rPr>
          <w:rFonts w:ascii="Verdana" w:hAnsi="Verdana"/>
          <w:sz w:val="20"/>
          <w:szCs w:val="20"/>
        </w:rPr>
      </w:pPr>
    </w:p>
    <w:p w:rsidR="00D51173" w:rsidRDefault="00922F0F" w:rsidP="00565A1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T</w:t>
      </w:r>
      <w:r w:rsidRPr="00922F0F">
        <w:rPr>
          <w:rFonts w:ascii="Verdana" w:hAnsi="Verdana"/>
          <w:sz w:val="20"/>
          <w:szCs w:val="20"/>
        </w:rPr>
        <w:t xml:space="preserve">his </w:t>
      </w:r>
      <w:r>
        <w:rPr>
          <w:rFonts w:ascii="Verdana" w:hAnsi="Verdana"/>
          <w:sz w:val="20"/>
          <w:szCs w:val="20"/>
        </w:rPr>
        <w:t xml:space="preserve">topic came up in a discussion </w:t>
      </w:r>
      <w:bookmarkEnd w:id="2"/>
      <w:r w:rsidR="00036B94">
        <w:rPr>
          <w:rFonts w:ascii="Verdana" w:hAnsi="Verdana"/>
          <w:sz w:val="20"/>
          <w:szCs w:val="20"/>
        </w:rPr>
        <w:t>with a U.S. GRIB2 us</w:t>
      </w:r>
      <w:r>
        <w:rPr>
          <w:rFonts w:ascii="Verdana" w:hAnsi="Verdana"/>
          <w:sz w:val="20"/>
          <w:szCs w:val="20"/>
        </w:rPr>
        <w:t xml:space="preserve">er </w:t>
      </w:r>
      <w:r w:rsidRPr="00922F0F">
        <w:rPr>
          <w:rFonts w:ascii="Verdana" w:hAnsi="Verdana"/>
          <w:sz w:val="20"/>
          <w:szCs w:val="20"/>
        </w:rPr>
        <w:t>as a potentially useful future update to</w:t>
      </w:r>
      <w:r w:rsidR="00036B94">
        <w:rPr>
          <w:rFonts w:ascii="Verdana" w:hAnsi="Verdana"/>
          <w:sz w:val="20"/>
          <w:szCs w:val="20"/>
        </w:rPr>
        <w:t xml:space="preserve"> CT 4.9.  In this case, the user was</w:t>
      </w:r>
      <w:r w:rsidRPr="00922F0F">
        <w:rPr>
          <w:rFonts w:ascii="Verdana" w:hAnsi="Verdana"/>
          <w:sz w:val="20"/>
          <w:szCs w:val="20"/>
        </w:rPr>
        <w:t xml:space="preserve"> under a time crunch and </w:t>
      </w:r>
      <w:r w:rsidR="008E3B67">
        <w:rPr>
          <w:rFonts w:ascii="Verdana" w:hAnsi="Verdana"/>
          <w:sz w:val="20"/>
          <w:szCs w:val="20"/>
        </w:rPr>
        <w:t>deci</w:t>
      </w:r>
      <w:r w:rsidR="00036B94">
        <w:rPr>
          <w:rFonts w:ascii="Verdana" w:hAnsi="Verdana"/>
          <w:sz w:val="20"/>
          <w:szCs w:val="20"/>
        </w:rPr>
        <w:t>ded to</w:t>
      </w:r>
      <w:r w:rsidRPr="00922F0F">
        <w:rPr>
          <w:rFonts w:ascii="Verdana" w:hAnsi="Verdana"/>
          <w:sz w:val="20"/>
          <w:szCs w:val="20"/>
        </w:rPr>
        <w:t xml:space="preserve"> go ahead with a local entry </w:t>
      </w:r>
      <w:r w:rsidR="00036B94">
        <w:rPr>
          <w:rFonts w:ascii="Verdana" w:hAnsi="Verdana"/>
          <w:sz w:val="20"/>
          <w:szCs w:val="20"/>
        </w:rPr>
        <w:t xml:space="preserve">for his new product </w:t>
      </w:r>
      <w:r w:rsidRPr="00922F0F">
        <w:rPr>
          <w:rFonts w:ascii="Verdana" w:hAnsi="Verdana"/>
          <w:sz w:val="20"/>
          <w:szCs w:val="20"/>
        </w:rPr>
        <w:t>instead of waiting for WMO approval o</w:t>
      </w:r>
      <w:r w:rsidR="00036B94">
        <w:rPr>
          <w:rFonts w:ascii="Verdana" w:hAnsi="Verdana"/>
          <w:sz w:val="20"/>
          <w:szCs w:val="20"/>
        </w:rPr>
        <w:t xml:space="preserve">f a new standard CT 4.9 entry; however, if </w:t>
      </w:r>
      <w:r w:rsidRPr="00922F0F">
        <w:rPr>
          <w:rFonts w:ascii="Verdana" w:hAnsi="Verdana"/>
          <w:sz w:val="20"/>
          <w:szCs w:val="20"/>
        </w:rPr>
        <w:t>th</w:t>
      </w:r>
      <w:r w:rsidR="00036B94">
        <w:rPr>
          <w:rFonts w:ascii="Verdana" w:hAnsi="Verdana"/>
          <w:sz w:val="20"/>
          <w:szCs w:val="20"/>
        </w:rPr>
        <w:t>e IPET-CM likes this idea we could consider to</w:t>
      </w:r>
      <w:r w:rsidRPr="00922F0F">
        <w:rPr>
          <w:rFonts w:ascii="Verdana" w:hAnsi="Verdana"/>
          <w:sz w:val="20"/>
          <w:szCs w:val="20"/>
        </w:rPr>
        <w:t xml:space="preserve"> add it for</w:t>
      </w:r>
      <w:r w:rsidR="00565A10">
        <w:rPr>
          <w:rFonts w:ascii="Verdana" w:hAnsi="Verdana"/>
          <w:sz w:val="20"/>
          <w:szCs w:val="20"/>
        </w:rPr>
        <w:t xml:space="preserve"> future (e.g. November 2018 FT2018-2</w:t>
      </w:r>
      <w:r w:rsidR="00036B94">
        <w:rPr>
          <w:rFonts w:ascii="Verdana" w:hAnsi="Verdana"/>
          <w:sz w:val="20"/>
          <w:szCs w:val="20"/>
        </w:rPr>
        <w:t>) fast track for other potential</w:t>
      </w:r>
      <w:r w:rsidRPr="00922F0F">
        <w:rPr>
          <w:rFonts w:ascii="Verdana" w:hAnsi="Verdana"/>
          <w:sz w:val="20"/>
          <w:szCs w:val="20"/>
        </w:rPr>
        <w:t xml:space="preserve"> future users</w:t>
      </w:r>
      <w:r w:rsidR="00565A10">
        <w:rPr>
          <w:rFonts w:ascii="Verdana" w:hAnsi="Verdana"/>
          <w:sz w:val="20"/>
          <w:szCs w:val="20"/>
        </w:rPr>
        <w:t>, perhaps as</w:t>
      </w:r>
      <w:r w:rsidRPr="00922F0F">
        <w:rPr>
          <w:rFonts w:ascii="Verdana" w:hAnsi="Verdana"/>
          <w:sz w:val="20"/>
          <w:szCs w:val="20"/>
        </w:rPr>
        <w:t xml:space="preserve"> a low-risk </w:t>
      </w:r>
      <w:r w:rsidR="00565A10">
        <w:rPr>
          <w:rFonts w:ascii="Verdana" w:hAnsi="Verdana"/>
          <w:sz w:val="20"/>
          <w:szCs w:val="20"/>
        </w:rPr>
        <w:t xml:space="preserve">candidate case for </w:t>
      </w:r>
      <w:r w:rsidRPr="00922F0F">
        <w:rPr>
          <w:rFonts w:ascii="Verdana" w:hAnsi="Verdana"/>
          <w:sz w:val="20"/>
          <w:szCs w:val="20"/>
        </w:rPr>
        <w:t>“validation by acclamation</w:t>
      </w:r>
      <w:r w:rsidR="00565A10">
        <w:rPr>
          <w:rFonts w:ascii="Verdana" w:hAnsi="Verdana"/>
          <w:sz w:val="20"/>
          <w:szCs w:val="20"/>
        </w:rPr>
        <w:t>”</w:t>
      </w:r>
      <w:r w:rsidRPr="00922F0F">
        <w:rPr>
          <w:rFonts w:ascii="Verdana" w:hAnsi="Verdana"/>
          <w:sz w:val="20"/>
          <w:szCs w:val="20"/>
        </w:rPr>
        <w:t>.</w:t>
      </w:r>
    </w:p>
    <w:sectPr w:rsidR="00D51173" w:rsidSect="00565A10">
      <w:type w:val="continuous"/>
      <w:pgSz w:w="11907" w:h="16840" w:code="9"/>
      <w:pgMar w:top="720" w:right="720" w:bottom="720" w:left="720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1B" w:rsidRDefault="0019191B" w:rsidP="004C1690">
      <w:r>
        <w:separator/>
      </w:r>
    </w:p>
  </w:endnote>
  <w:endnote w:type="continuationSeparator" w:id="0">
    <w:p w:rsidR="0019191B" w:rsidRDefault="0019191B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1B" w:rsidRDefault="0019191B" w:rsidP="004C1690">
      <w:r>
        <w:separator/>
      </w:r>
    </w:p>
  </w:footnote>
  <w:footnote w:type="continuationSeparator" w:id="0">
    <w:p w:rsidR="0019191B" w:rsidRDefault="0019191B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096"/>
    <w:multiLevelType w:val="hybridMultilevel"/>
    <w:tmpl w:val="01B8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6B94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191B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0462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E066E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65A10"/>
    <w:rsid w:val="00572376"/>
    <w:rsid w:val="00573C5F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3B67"/>
    <w:rsid w:val="008E669E"/>
    <w:rsid w:val="008E6C3A"/>
    <w:rsid w:val="00910EDE"/>
    <w:rsid w:val="00911012"/>
    <w:rsid w:val="00916862"/>
    <w:rsid w:val="00922F0F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92E4C"/>
    <w:rsid w:val="00AC098E"/>
    <w:rsid w:val="00AC7AE4"/>
    <w:rsid w:val="00AD08BE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C60A8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2BFE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AD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AD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1D66D3"/>
    <w:rsid w:val="00356384"/>
    <w:rsid w:val="004A6AA6"/>
    <w:rsid w:val="00594E66"/>
    <w:rsid w:val="007E72BB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6943-8EC8-47D4-8DA7-ED624AA0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Jeff</dc:creator>
  <cp:lastModifiedBy>AS</cp:lastModifiedBy>
  <cp:revision>2</cp:revision>
  <cp:lastPrinted>2008-08-15T16:03:00Z</cp:lastPrinted>
  <dcterms:created xsi:type="dcterms:W3CDTF">2018-04-30T08:17:00Z</dcterms:created>
  <dcterms:modified xsi:type="dcterms:W3CDTF">2018-04-30T08:17:00Z</dcterms:modified>
</cp:coreProperties>
</file>