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0272D5">
              <w:rPr>
                <w:rFonts w:ascii="Verdana" w:hAnsi="Verdana"/>
                <w:sz w:val="20"/>
                <w:szCs w:val="20"/>
              </w:rPr>
              <w:t>9.1</w:t>
            </w:r>
          </w:p>
          <w:p w:rsidR="005554A5" w:rsidRPr="00F35A04" w:rsidRDefault="000272D5"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4-10T00:00:00Z">
                  <w:dateFormat w:val="dd.MM.yyyy"/>
                  <w:lid w:val="en-GB"/>
                  <w:storeMappedDataAs w:val="dateTime"/>
                  <w:calendar w:val="gregorian"/>
                </w:date>
              </w:sdtPr>
              <w:sdtEndPr/>
              <w:sdtContent>
                <w:r>
                  <w:rPr>
                    <w:rFonts w:ascii="Verdana" w:hAnsi="Verdana"/>
                    <w:sz w:val="20"/>
                    <w:szCs w:val="20"/>
                  </w:rPr>
                  <w:t>10.04.2019</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0272D5">
              <w:rPr>
                <w:rFonts w:ascii="Verdana" w:hAnsi="Verdana"/>
                <w:sz w:val="20"/>
                <w:szCs w:val="20"/>
              </w:rPr>
              <w:t>9.1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bookmarkStart w:id="0" w:name="_GoBack"/>
      <w:bookmarkEnd w:id="0"/>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0272D5"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F15B59">
            <w:rPr>
              <w:rStyle w:val="Style8"/>
            </w:rPr>
            <w:t>IPET-CM AND TASK TEAMS</w:t>
          </w:r>
        </w:sdtContent>
      </w:sdt>
    </w:p>
    <w:bookmarkStart w:id="1" w:name="Text2"/>
    <w:p w:rsidR="00984C25" w:rsidRPr="006569B7" w:rsidRDefault="000272D5"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F15B59">
            <w:rPr>
              <w:rFonts w:ascii="Verdana" w:hAnsi="Verdana" w:cs="Arial"/>
              <w:sz w:val="18"/>
              <w:szCs w:val="18"/>
            </w:rPr>
            <w:t>New editions of Table-Driven Code Forms</w:t>
          </w:r>
        </w:sdtContent>
      </w:sdt>
    </w:p>
    <w:p w:rsidR="008E6C3A" w:rsidRDefault="008E6C3A" w:rsidP="008E6C3A">
      <w:pPr>
        <w:ind w:left="1208" w:right="1389"/>
        <w:jc w:val="center"/>
        <w:rPr>
          <w:rFonts w:ascii="Verdana" w:hAnsi="Verdana" w:cs="Arial"/>
          <w:b/>
          <w:sz w:val="20"/>
          <w:szCs w:val="20"/>
        </w:rPr>
      </w:pPr>
    </w:p>
    <w:bookmarkEnd w:id="1"/>
    <w:p w:rsidR="009F245F" w:rsidRPr="00F35A04" w:rsidRDefault="00EA1452" w:rsidP="008E6C3A">
      <w:pPr>
        <w:ind w:left="1208" w:right="1389"/>
        <w:jc w:val="center"/>
        <w:rPr>
          <w:rFonts w:ascii="Verdana" w:hAnsi="Verdana" w:cs="Arial"/>
          <w:b/>
          <w:sz w:val="20"/>
          <w:szCs w:val="20"/>
        </w:rPr>
      </w:pPr>
      <w:r>
        <w:rPr>
          <w:rStyle w:val="Style7"/>
        </w:rPr>
        <w:t xml:space="preserve">Implications for the further Re-Architecting of coding formats </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EA1452">
        <w:rPr>
          <w:rFonts w:ascii="Verdana" w:hAnsi="Verdana"/>
          <w:i/>
          <w:sz w:val="20"/>
          <w:szCs w:val="20"/>
        </w:rPr>
        <w:t>Richard Weedon (UK Met Office)</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EA1452" w:rsidP="009F245F">
      <w:pPr>
        <w:ind w:left="440" w:right="399"/>
        <w:jc w:val="center"/>
        <w:rPr>
          <w:rFonts w:ascii="Verdana" w:hAnsi="Verdana"/>
          <w:sz w:val="20"/>
          <w:szCs w:val="20"/>
          <w:lang w:val="en-US"/>
        </w:rPr>
      </w:pPr>
      <w:r>
        <w:rPr>
          <w:rFonts w:ascii="Verdana" w:hAnsi="Verdana"/>
          <w:sz w:val="20"/>
          <w:szCs w:val="20"/>
          <w:lang w:val="en-US"/>
        </w:rPr>
        <w:t>Discussion of the implications of the introduction of a new architecture for BUFR</w:t>
      </w: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EA1452" w:rsidRPr="00F35A04" w:rsidRDefault="00EA1452" w:rsidP="00EA1452">
      <w:pPr>
        <w:pStyle w:val="BodyText"/>
        <w:ind w:left="567" w:right="567" w:firstLine="567"/>
        <w:jc w:val="center"/>
        <w:rPr>
          <w:rFonts w:ascii="Verdana" w:hAnsi="Verdana"/>
          <w:sz w:val="20"/>
          <w:szCs w:val="20"/>
        </w:rPr>
      </w:pPr>
      <w:r>
        <w:rPr>
          <w:rFonts w:ascii="Verdana" w:hAnsi="Verdana"/>
          <w:sz w:val="20"/>
          <w:szCs w:val="20"/>
        </w:rPr>
        <w:t>The team is requested to consider the document and if in agreement issue a re-analysis of the requirements for BUFR edition 5.</w:t>
      </w:r>
    </w:p>
    <w:p w:rsidR="009F245F" w:rsidRDefault="009F245F" w:rsidP="00EC3262">
      <w:pPr>
        <w:pStyle w:val="BodyText"/>
        <w:ind w:firstLine="567"/>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B6242F" w:rsidRPr="002766E3" w:rsidRDefault="009F245F" w:rsidP="00B6242F">
      <w:pPr>
        <w:jc w:val="both"/>
        <w:rPr>
          <w:rFonts w:asciiTheme="minorHAnsi" w:hAnsiTheme="minorHAnsi" w:cstheme="minorHAnsi"/>
          <w:b/>
          <w:sz w:val="24"/>
          <w:szCs w:val="24"/>
          <w:lang w:val="en-US"/>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B6242F" w:rsidRPr="002766E3">
        <w:rPr>
          <w:rFonts w:asciiTheme="minorHAnsi" w:hAnsiTheme="minorHAnsi" w:cstheme="minorHAnsi"/>
          <w:sz w:val="24"/>
          <w:szCs w:val="24"/>
          <w:lang w:val="en-US"/>
        </w:rPr>
        <w:t>Terms of reference for the TT-BUFR</w:t>
      </w:r>
    </w:p>
    <w:p w:rsidR="009F245F" w:rsidRPr="00F35A04" w:rsidRDefault="009F245F" w:rsidP="00EC3262">
      <w:pPr>
        <w:ind w:left="879" w:hanging="658"/>
        <w:rPr>
          <w:rFonts w:ascii="Verdana" w:hAnsi="Verdana"/>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sz w:val="20"/>
          <w:szCs w:val="20"/>
        </w:rPr>
      </w:pPr>
      <w:r w:rsidRPr="00F35A04">
        <w:rPr>
          <w:rFonts w:ascii="Verdana" w:hAnsi="Verdana"/>
          <w:b/>
          <w:sz w:val="20"/>
          <w:szCs w:val="20"/>
        </w:rPr>
        <w:br w:type="page"/>
      </w:r>
    </w:p>
    <w:p w:rsidR="00EA1452" w:rsidRPr="00EA1452" w:rsidRDefault="00EA1452" w:rsidP="00EA1452">
      <w:pPr>
        <w:pageBreakBefore/>
        <w:suppressAutoHyphens/>
        <w:autoSpaceDE w:val="0"/>
        <w:autoSpaceDN w:val="0"/>
        <w:adjustRightInd w:val="0"/>
        <w:rPr>
          <w:rFonts w:asciiTheme="minorHAnsi" w:eastAsia="Times New Roman" w:hAnsiTheme="minorHAnsi" w:cstheme="minorHAnsi"/>
          <w:kern w:val="1"/>
          <w:sz w:val="24"/>
          <w:szCs w:val="24"/>
        </w:rPr>
      </w:pPr>
      <w:bookmarkStart w:id="2" w:name="Text7"/>
      <w:r w:rsidRPr="00EA1452">
        <w:rPr>
          <w:rFonts w:asciiTheme="minorHAnsi" w:eastAsia="Times New Roman" w:hAnsiTheme="minorHAnsi" w:cstheme="minorHAnsi"/>
          <w:b/>
          <w:bCs/>
          <w:kern w:val="1"/>
          <w:sz w:val="24"/>
          <w:szCs w:val="24"/>
        </w:rPr>
        <w:lastRenderedPageBreak/>
        <w:t>DISCUSSIONS</w:t>
      </w:r>
    </w:p>
    <w:p w:rsidR="00EA1452" w:rsidRPr="00EA1452" w:rsidRDefault="00EA1452" w:rsidP="00EA1452">
      <w:pPr>
        <w:suppressAutoHyphens/>
        <w:autoSpaceDE w:val="0"/>
        <w:autoSpaceDN w:val="0"/>
        <w:adjustRightInd w:val="0"/>
        <w:rPr>
          <w:rFonts w:asciiTheme="minorHAnsi" w:eastAsia="Times New Roman" w:hAnsiTheme="minorHAnsi" w:cstheme="minorHAnsi"/>
          <w:kern w:val="1"/>
          <w:sz w:val="24"/>
          <w:szCs w:val="24"/>
        </w:rPr>
      </w:pPr>
    </w:p>
    <w:p w:rsidR="00EA1452" w:rsidRPr="00EA1452" w:rsidRDefault="00EA1452" w:rsidP="00EA1452">
      <w:pPr>
        <w:suppressAutoHyphens/>
        <w:autoSpaceDE w:val="0"/>
        <w:autoSpaceDN w:val="0"/>
        <w:adjustRightInd w:val="0"/>
        <w:rPr>
          <w:rFonts w:asciiTheme="minorHAnsi" w:eastAsia="Times New Roman" w:hAnsiTheme="minorHAnsi" w:cstheme="minorHAnsi"/>
          <w:kern w:val="1"/>
          <w:sz w:val="24"/>
          <w:szCs w:val="24"/>
        </w:rPr>
      </w:pPr>
      <w:r w:rsidRPr="00EA1452">
        <w:rPr>
          <w:rFonts w:asciiTheme="minorHAnsi" w:eastAsia="Times New Roman" w:hAnsiTheme="minorHAnsi" w:cstheme="minorHAnsi"/>
          <w:kern w:val="1"/>
          <w:sz w:val="24"/>
          <w:szCs w:val="24"/>
        </w:rPr>
        <w:t>Delays in many of the projects associated with the transformation / conversion of data encoded to Traditional Code Formats, have resulted in an</w:t>
      </w:r>
      <w:r w:rsidR="004A2D1C">
        <w:rPr>
          <w:rFonts w:asciiTheme="minorHAnsi" w:eastAsia="Times New Roman" w:hAnsiTheme="minorHAnsi" w:cstheme="minorHAnsi"/>
          <w:kern w:val="1"/>
          <w:sz w:val="24"/>
          <w:szCs w:val="24"/>
        </w:rPr>
        <w:t xml:space="preserve"> significant</w:t>
      </w:r>
      <w:r w:rsidRPr="00EA1452">
        <w:rPr>
          <w:rFonts w:asciiTheme="minorHAnsi" w:eastAsia="Times New Roman" w:hAnsiTheme="minorHAnsi" w:cstheme="minorHAnsi"/>
          <w:kern w:val="1"/>
          <w:sz w:val="24"/>
          <w:szCs w:val="24"/>
        </w:rPr>
        <w:t xml:space="preserve"> increase in the overheads associated with their management.</w:t>
      </w:r>
    </w:p>
    <w:p w:rsidR="00EA1452" w:rsidRPr="00EA1452" w:rsidRDefault="00EA1452" w:rsidP="00EA1452">
      <w:pPr>
        <w:suppressAutoHyphens/>
        <w:autoSpaceDE w:val="0"/>
        <w:autoSpaceDN w:val="0"/>
        <w:adjustRightInd w:val="0"/>
        <w:rPr>
          <w:rFonts w:asciiTheme="minorHAnsi" w:eastAsia="Times New Roman" w:hAnsiTheme="minorHAnsi" w:cstheme="minorHAnsi"/>
          <w:kern w:val="1"/>
          <w:sz w:val="24"/>
          <w:szCs w:val="24"/>
        </w:rPr>
      </w:pPr>
    </w:p>
    <w:p w:rsidR="00EA1452" w:rsidRPr="00EA1452" w:rsidRDefault="00EA1452" w:rsidP="00EA1452">
      <w:pPr>
        <w:suppressAutoHyphens/>
        <w:autoSpaceDE w:val="0"/>
        <w:autoSpaceDN w:val="0"/>
        <w:adjustRightInd w:val="0"/>
        <w:rPr>
          <w:rFonts w:asciiTheme="minorHAnsi" w:eastAsia="Times New Roman" w:hAnsiTheme="minorHAnsi" w:cstheme="minorHAnsi"/>
          <w:kern w:val="1"/>
          <w:sz w:val="24"/>
          <w:szCs w:val="24"/>
        </w:rPr>
      </w:pPr>
      <w:r w:rsidRPr="00EA1452">
        <w:rPr>
          <w:rFonts w:asciiTheme="minorHAnsi" w:eastAsia="Times New Roman" w:hAnsiTheme="minorHAnsi" w:cstheme="minorHAnsi"/>
          <w:kern w:val="1"/>
          <w:sz w:val="24"/>
          <w:szCs w:val="24"/>
        </w:rPr>
        <w:t xml:space="preserve">To outline but a few: - </w:t>
      </w:r>
    </w:p>
    <w:p w:rsidR="00EA1452" w:rsidRPr="00EA1452" w:rsidRDefault="00EA1452" w:rsidP="00EA1452">
      <w:pPr>
        <w:suppressAutoHyphens/>
        <w:autoSpaceDE w:val="0"/>
        <w:autoSpaceDN w:val="0"/>
        <w:adjustRightInd w:val="0"/>
        <w:rPr>
          <w:rFonts w:asciiTheme="minorHAnsi" w:eastAsia="Times New Roman" w:hAnsiTheme="minorHAnsi" w:cstheme="minorHAnsi"/>
          <w:kern w:val="1"/>
          <w:sz w:val="24"/>
          <w:szCs w:val="24"/>
        </w:rPr>
      </w:pPr>
    </w:p>
    <w:p w:rsidR="004A2D1C" w:rsidRPr="004A2D1C" w:rsidRDefault="00EA1452" w:rsidP="004A2D1C">
      <w:pPr>
        <w:pStyle w:val="ListParagraph"/>
        <w:numPr>
          <w:ilvl w:val="0"/>
          <w:numId w:val="2"/>
        </w:numPr>
        <w:suppressAutoHyphens/>
        <w:autoSpaceDE w:val="0"/>
        <w:autoSpaceDN w:val="0"/>
        <w:adjustRightInd w:val="0"/>
        <w:spacing w:after="0" w:line="240" w:lineRule="auto"/>
        <w:rPr>
          <w:rFonts w:eastAsia="Times New Roman" w:cstheme="minorHAnsi"/>
          <w:kern w:val="1"/>
          <w:sz w:val="24"/>
          <w:szCs w:val="24"/>
        </w:rPr>
      </w:pPr>
      <w:r w:rsidRPr="00EA1452">
        <w:rPr>
          <w:rFonts w:eastAsia="Times New Roman" w:cstheme="minorHAnsi"/>
          <w:kern w:val="1"/>
          <w:sz w:val="24"/>
          <w:szCs w:val="24"/>
        </w:rPr>
        <w:t xml:space="preserve">The date originally set down for the completion of the Migration to Table-Driven Codes Project </w:t>
      </w:r>
      <w:r w:rsidR="004A2D1C">
        <w:rPr>
          <w:rFonts w:eastAsia="Times New Roman" w:cstheme="minorHAnsi"/>
          <w:kern w:val="1"/>
          <w:sz w:val="24"/>
          <w:szCs w:val="24"/>
        </w:rPr>
        <w:t>was passed by at least</w:t>
      </w:r>
      <w:r w:rsidRPr="00EA1452">
        <w:rPr>
          <w:rFonts w:eastAsia="Times New Roman" w:cstheme="minorHAnsi"/>
          <w:kern w:val="1"/>
          <w:sz w:val="24"/>
          <w:szCs w:val="24"/>
        </w:rPr>
        <w:t xml:space="preserve"> 8 years ago.  Regardless of this , many centres are</w:t>
      </w:r>
      <w:r w:rsidR="004A2D1C">
        <w:rPr>
          <w:rFonts w:eastAsia="Times New Roman" w:cstheme="minorHAnsi"/>
          <w:kern w:val="1"/>
          <w:sz w:val="24"/>
          <w:szCs w:val="24"/>
        </w:rPr>
        <w:t xml:space="preserve"> still</w:t>
      </w:r>
      <w:r w:rsidRPr="00EA1452">
        <w:rPr>
          <w:rFonts w:eastAsia="Times New Roman" w:cstheme="minorHAnsi"/>
          <w:kern w:val="1"/>
          <w:sz w:val="24"/>
          <w:szCs w:val="24"/>
        </w:rPr>
        <w:t xml:space="preserve"> unable to comply with the requirements of the project and continue to transmit </w:t>
      </w:r>
      <w:r w:rsidR="004A2D1C">
        <w:rPr>
          <w:rFonts w:eastAsia="Times New Roman" w:cstheme="minorHAnsi"/>
          <w:kern w:val="1"/>
          <w:sz w:val="24"/>
          <w:szCs w:val="24"/>
        </w:rPr>
        <w:t xml:space="preserve">data in </w:t>
      </w:r>
      <w:r w:rsidRPr="00EA1452">
        <w:rPr>
          <w:rFonts w:eastAsia="Times New Roman" w:cstheme="minorHAnsi"/>
          <w:kern w:val="1"/>
          <w:sz w:val="24"/>
          <w:szCs w:val="24"/>
        </w:rPr>
        <w:t xml:space="preserve">Traditional Alphanumeric code formats. </w:t>
      </w:r>
    </w:p>
    <w:p w:rsidR="00EA1452" w:rsidRPr="00EA1452" w:rsidRDefault="00EA1452" w:rsidP="00EA1452">
      <w:pPr>
        <w:suppressAutoHyphens/>
        <w:autoSpaceDE w:val="0"/>
        <w:autoSpaceDN w:val="0"/>
        <w:adjustRightInd w:val="0"/>
        <w:ind w:left="720"/>
        <w:rPr>
          <w:rFonts w:asciiTheme="minorHAnsi" w:eastAsia="Times New Roman" w:hAnsiTheme="minorHAnsi" w:cstheme="minorHAnsi"/>
          <w:kern w:val="1"/>
          <w:sz w:val="24"/>
          <w:szCs w:val="24"/>
        </w:rPr>
      </w:pPr>
      <w:r w:rsidRPr="00EA1452">
        <w:rPr>
          <w:rFonts w:asciiTheme="minorHAnsi" w:eastAsia="Times New Roman" w:hAnsiTheme="minorHAnsi" w:cstheme="minorHAnsi"/>
          <w:kern w:val="1"/>
          <w:sz w:val="24"/>
          <w:szCs w:val="24"/>
        </w:rPr>
        <w:t xml:space="preserve">     In line with the guidance issued at the start of the project, RTH’s and GISCS are providing facilities for the conversion of the data albeit for a limited amount of time. The introduction of a new edition of BUFR </w:t>
      </w:r>
      <w:r w:rsidR="004A2D1C">
        <w:rPr>
          <w:rFonts w:asciiTheme="minorHAnsi" w:eastAsia="Times New Roman" w:hAnsiTheme="minorHAnsi" w:cstheme="minorHAnsi"/>
          <w:kern w:val="1"/>
          <w:sz w:val="24"/>
          <w:szCs w:val="24"/>
        </w:rPr>
        <w:t xml:space="preserve">(incorporating a new architecture) will compound this problem as centres find themselves unable to process data encoded to the new standard.  </w:t>
      </w:r>
      <w:r w:rsidRPr="00EA1452">
        <w:rPr>
          <w:rFonts w:asciiTheme="minorHAnsi" w:eastAsia="Times New Roman" w:hAnsiTheme="minorHAnsi" w:cstheme="minorHAnsi"/>
          <w:kern w:val="1"/>
          <w:sz w:val="24"/>
          <w:szCs w:val="24"/>
        </w:rPr>
        <w:t xml:space="preserve">   </w:t>
      </w:r>
    </w:p>
    <w:p w:rsidR="00EA1452" w:rsidRPr="00EA1452" w:rsidRDefault="00EA1452" w:rsidP="00EA1452">
      <w:pPr>
        <w:suppressAutoHyphens/>
        <w:autoSpaceDE w:val="0"/>
        <w:autoSpaceDN w:val="0"/>
        <w:adjustRightInd w:val="0"/>
        <w:rPr>
          <w:rFonts w:asciiTheme="minorHAnsi" w:eastAsia="Times New Roman" w:hAnsiTheme="minorHAnsi" w:cstheme="minorHAnsi"/>
          <w:kern w:val="1"/>
          <w:sz w:val="24"/>
          <w:szCs w:val="24"/>
        </w:rPr>
      </w:pPr>
    </w:p>
    <w:p w:rsidR="00EA1452" w:rsidRPr="00EA1452" w:rsidRDefault="00EA1452" w:rsidP="00EA1452">
      <w:pPr>
        <w:pStyle w:val="ListParagraph"/>
        <w:numPr>
          <w:ilvl w:val="0"/>
          <w:numId w:val="2"/>
        </w:numPr>
        <w:suppressAutoHyphens/>
        <w:autoSpaceDE w:val="0"/>
        <w:autoSpaceDN w:val="0"/>
        <w:adjustRightInd w:val="0"/>
        <w:spacing w:after="0" w:line="240" w:lineRule="auto"/>
        <w:rPr>
          <w:rFonts w:eastAsia="Times New Roman" w:cstheme="minorHAnsi"/>
          <w:kern w:val="1"/>
          <w:sz w:val="24"/>
          <w:szCs w:val="24"/>
        </w:rPr>
      </w:pPr>
      <w:r w:rsidRPr="00EA1452">
        <w:rPr>
          <w:rFonts w:eastAsia="Times New Roman" w:cstheme="minorHAnsi"/>
          <w:kern w:val="1"/>
          <w:sz w:val="24"/>
          <w:szCs w:val="24"/>
        </w:rPr>
        <w:t xml:space="preserve">The team will also recall that in 2012 (IPET-DRMM III, Melbourne) ICAO announced plans for the representation of OPMET data in a variant of XML (GML from the open Geospatial Consortium). </w:t>
      </w:r>
    </w:p>
    <w:p w:rsidR="00EA1452" w:rsidRPr="00EA1452" w:rsidRDefault="00EA1452" w:rsidP="00EA1452">
      <w:pPr>
        <w:pStyle w:val="ListParagraph"/>
        <w:suppressAutoHyphens/>
        <w:autoSpaceDE w:val="0"/>
        <w:autoSpaceDN w:val="0"/>
        <w:adjustRightInd w:val="0"/>
        <w:spacing w:after="0" w:line="240" w:lineRule="auto"/>
        <w:rPr>
          <w:rFonts w:eastAsia="Times New Roman" w:cstheme="minorHAnsi"/>
          <w:kern w:val="1"/>
          <w:sz w:val="24"/>
          <w:szCs w:val="24"/>
        </w:rPr>
      </w:pPr>
      <w:r w:rsidRPr="00EA1452">
        <w:rPr>
          <w:rFonts w:eastAsia="Times New Roman" w:cstheme="minorHAnsi"/>
          <w:kern w:val="1"/>
          <w:sz w:val="24"/>
          <w:szCs w:val="24"/>
        </w:rPr>
        <w:t>IWXXM is currently in the process of being refactored in a backwards incompatible fashion, which has resulted in significant delays.</w:t>
      </w:r>
    </w:p>
    <w:p w:rsidR="00EA1452" w:rsidRPr="00EA1452" w:rsidRDefault="00EA1452" w:rsidP="00EA1452">
      <w:pPr>
        <w:suppressAutoHyphens/>
        <w:autoSpaceDE w:val="0"/>
        <w:autoSpaceDN w:val="0"/>
        <w:adjustRightInd w:val="0"/>
        <w:ind w:left="720"/>
        <w:rPr>
          <w:rFonts w:asciiTheme="minorHAnsi" w:eastAsia="Times New Roman" w:hAnsiTheme="minorHAnsi" w:cstheme="minorHAnsi"/>
          <w:kern w:val="1"/>
          <w:sz w:val="24"/>
          <w:szCs w:val="24"/>
        </w:rPr>
      </w:pPr>
      <w:r w:rsidRPr="00EA1452">
        <w:rPr>
          <w:rFonts w:asciiTheme="minorHAnsi" w:eastAsia="Times New Roman" w:hAnsiTheme="minorHAnsi" w:cstheme="minorHAnsi"/>
          <w:kern w:val="1"/>
          <w:sz w:val="24"/>
          <w:szCs w:val="24"/>
        </w:rPr>
        <w:t xml:space="preserve">As a result, many centres and customers have been slow or unable to comply in the adoption of the new </w:t>
      </w:r>
      <w:r w:rsidR="004A2D1C">
        <w:rPr>
          <w:rFonts w:asciiTheme="minorHAnsi" w:eastAsia="Times New Roman" w:hAnsiTheme="minorHAnsi" w:cstheme="minorHAnsi"/>
          <w:kern w:val="1"/>
          <w:sz w:val="24"/>
          <w:szCs w:val="24"/>
        </w:rPr>
        <w:t xml:space="preserve">IWXXM </w:t>
      </w:r>
      <w:r w:rsidRPr="00EA1452">
        <w:rPr>
          <w:rFonts w:asciiTheme="minorHAnsi" w:eastAsia="Times New Roman" w:hAnsiTheme="minorHAnsi" w:cstheme="minorHAnsi"/>
          <w:kern w:val="1"/>
          <w:sz w:val="24"/>
          <w:szCs w:val="24"/>
        </w:rPr>
        <w:t>standard.</w:t>
      </w:r>
    </w:p>
    <w:p w:rsidR="00EA1452" w:rsidRPr="00EA1452" w:rsidRDefault="00EA1452" w:rsidP="00EA1452">
      <w:pPr>
        <w:suppressAutoHyphens/>
        <w:autoSpaceDE w:val="0"/>
        <w:autoSpaceDN w:val="0"/>
        <w:adjustRightInd w:val="0"/>
        <w:rPr>
          <w:rFonts w:asciiTheme="minorHAnsi" w:eastAsia="Times New Roman" w:hAnsiTheme="minorHAnsi" w:cstheme="minorHAnsi"/>
          <w:kern w:val="1"/>
          <w:sz w:val="24"/>
          <w:szCs w:val="24"/>
        </w:rPr>
      </w:pPr>
    </w:p>
    <w:p w:rsidR="00EA1452" w:rsidRPr="00EA1452" w:rsidRDefault="00EA1452" w:rsidP="00EA1452">
      <w:pPr>
        <w:pStyle w:val="ListParagraph"/>
        <w:numPr>
          <w:ilvl w:val="0"/>
          <w:numId w:val="2"/>
        </w:numPr>
        <w:suppressAutoHyphens/>
        <w:autoSpaceDE w:val="0"/>
        <w:autoSpaceDN w:val="0"/>
        <w:adjustRightInd w:val="0"/>
        <w:spacing w:after="0" w:line="240" w:lineRule="auto"/>
        <w:rPr>
          <w:rFonts w:eastAsia="Times New Roman" w:cstheme="minorHAnsi"/>
          <w:kern w:val="1"/>
          <w:sz w:val="24"/>
          <w:szCs w:val="24"/>
        </w:rPr>
      </w:pPr>
      <w:r w:rsidRPr="00EA1452">
        <w:rPr>
          <w:rFonts w:eastAsia="Times New Roman" w:cstheme="minorHAnsi"/>
          <w:kern w:val="1"/>
          <w:sz w:val="24"/>
          <w:szCs w:val="24"/>
        </w:rPr>
        <w:t xml:space="preserve">The adoption of WIGOS metadata standards and the implementation of WIGOS Identifiers within BUFR messages will cause major issues across all areas tasked with the management and or processing of data. This is due in part to the uncertainty that surrounds the eventual structure of the new identifier. It is certain that when the new system is adopted, the downstream impact will be large. </w:t>
      </w:r>
    </w:p>
    <w:bookmarkEnd w:id="2"/>
    <w:p w:rsidR="009F245F" w:rsidRPr="00EA1452" w:rsidRDefault="009F245F" w:rsidP="00B306F7">
      <w:pPr>
        <w:jc w:val="both"/>
        <w:rPr>
          <w:rFonts w:asciiTheme="minorHAnsi" w:hAnsiTheme="minorHAnsi" w:cstheme="minorHAnsi"/>
          <w:sz w:val="24"/>
          <w:szCs w:val="24"/>
        </w:rPr>
      </w:pPr>
    </w:p>
    <w:p w:rsidR="009F245F" w:rsidRPr="00EA1452" w:rsidRDefault="009F245F" w:rsidP="009F245F">
      <w:pPr>
        <w:rPr>
          <w:rFonts w:asciiTheme="minorHAnsi" w:hAnsiTheme="minorHAnsi" w:cstheme="minorHAnsi"/>
          <w:b/>
          <w:sz w:val="24"/>
          <w:szCs w:val="24"/>
        </w:rPr>
      </w:pPr>
      <w:r w:rsidRPr="00EA1452">
        <w:rPr>
          <w:rFonts w:asciiTheme="minorHAnsi" w:hAnsiTheme="minorHAnsi" w:cstheme="minorHAnsi"/>
          <w:b/>
          <w:sz w:val="24"/>
          <w:szCs w:val="24"/>
        </w:rPr>
        <w:t>PROPOSAL</w:t>
      </w:r>
    </w:p>
    <w:p w:rsidR="00647501" w:rsidRPr="00EA1452" w:rsidRDefault="00647501">
      <w:pPr>
        <w:jc w:val="both"/>
        <w:rPr>
          <w:rFonts w:asciiTheme="minorHAnsi" w:hAnsiTheme="minorHAnsi" w:cstheme="minorHAnsi"/>
          <w:sz w:val="24"/>
          <w:szCs w:val="24"/>
          <w:lang w:val="en-US"/>
        </w:rPr>
      </w:pPr>
    </w:p>
    <w:p w:rsidR="004A2D1C" w:rsidRDefault="00EA1452" w:rsidP="00EA1452">
      <w:pPr>
        <w:rPr>
          <w:rFonts w:asciiTheme="minorHAnsi" w:eastAsia="Times New Roman" w:hAnsiTheme="minorHAnsi" w:cstheme="minorHAnsi"/>
          <w:strike/>
          <w:kern w:val="1"/>
          <w:sz w:val="24"/>
          <w:szCs w:val="24"/>
        </w:rPr>
      </w:pPr>
      <w:r w:rsidRPr="00EA1452">
        <w:rPr>
          <w:rFonts w:asciiTheme="minorHAnsi" w:eastAsia="Times New Roman" w:hAnsiTheme="minorHAnsi" w:cstheme="minorHAnsi"/>
          <w:kern w:val="1"/>
          <w:sz w:val="24"/>
          <w:szCs w:val="24"/>
        </w:rPr>
        <w:t>The development of the new edition of BUFR has continued through the</w:t>
      </w:r>
      <w:r w:rsidR="002766E3">
        <w:rPr>
          <w:rFonts w:asciiTheme="minorHAnsi" w:eastAsia="Times New Roman" w:hAnsiTheme="minorHAnsi" w:cstheme="minorHAnsi"/>
          <w:kern w:val="1"/>
          <w:sz w:val="24"/>
          <w:szCs w:val="24"/>
        </w:rPr>
        <w:t xml:space="preserve"> work of the</w:t>
      </w:r>
      <w:r w:rsidRPr="00EA1452">
        <w:rPr>
          <w:rFonts w:asciiTheme="minorHAnsi" w:eastAsia="Times New Roman" w:hAnsiTheme="minorHAnsi" w:cstheme="minorHAnsi"/>
          <w:kern w:val="1"/>
          <w:sz w:val="24"/>
          <w:szCs w:val="24"/>
        </w:rPr>
        <w:t xml:space="preserve"> TT-BUFR (see annexe 1 for TOR), which was convened circa 2012. </w:t>
      </w:r>
      <w:r w:rsidR="004A2D1C">
        <w:rPr>
          <w:rFonts w:asciiTheme="minorHAnsi" w:eastAsia="Times New Roman" w:hAnsiTheme="minorHAnsi" w:cstheme="minorHAnsi"/>
          <w:kern w:val="1"/>
          <w:sz w:val="24"/>
          <w:szCs w:val="24"/>
        </w:rPr>
        <w:t xml:space="preserve">At that time </w:t>
      </w:r>
      <w:r w:rsidR="00B6242F">
        <w:rPr>
          <w:rFonts w:asciiTheme="minorHAnsi" w:eastAsia="Times New Roman" w:hAnsiTheme="minorHAnsi" w:cstheme="minorHAnsi"/>
          <w:kern w:val="1"/>
          <w:sz w:val="24"/>
          <w:szCs w:val="24"/>
        </w:rPr>
        <w:t>a few</w:t>
      </w:r>
      <w:r w:rsidR="004A2D1C">
        <w:rPr>
          <w:rFonts w:asciiTheme="minorHAnsi" w:eastAsia="Times New Roman" w:hAnsiTheme="minorHAnsi" w:cstheme="minorHAnsi"/>
          <w:kern w:val="1"/>
          <w:sz w:val="24"/>
          <w:szCs w:val="24"/>
        </w:rPr>
        <w:t xml:space="preserve"> requirements were agreed upon, formost of which was to provide a greater degree of interoperability </w:t>
      </w:r>
      <w:r w:rsidR="00B6242F">
        <w:rPr>
          <w:rFonts w:asciiTheme="minorHAnsi" w:eastAsia="Times New Roman" w:hAnsiTheme="minorHAnsi" w:cstheme="minorHAnsi"/>
          <w:kern w:val="1"/>
          <w:sz w:val="24"/>
          <w:szCs w:val="24"/>
        </w:rPr>
        <w:t>with other data coding standards.</w:t>
      </w:r>
    </w:p>
    <w:p w:rsidR="004A2D1C" w:rsidRDefault="004A2D1C" w:rsidP="00EA1452">
      <w:pPr>
        <w:rPr>
          <w:rFonts w:asciiTheme="minorHAnsi" w:eastAsia="Times New Roman" w:hAnsiTheme="minorHAnsi" w:cstheme="minorHAnsi"/>
          <w:kern w:val="1"/>
          <w:sz w:val="24"/>
          <w:szCs w:val="24"/>
        </w:rPr>
      </w:pPr>
    </w:p>
    <w:p w:rsidR="00EA1452" w:rsidRPr="00EA1452" w:rsidRDefault="00B6242F" w:rsidP="00EA1452">
      <w:pPr>
        <w:rPr>
          <w:rFonts w:asciiTheme="minorHAnsi" w:eastAsia="Times New Roman" w:hAnsiTheme="minorHAnsi" w:cstheme="minorHAnsi"/>
          <w:kern w:val="1"/>
          <w:sz w:val="24"/>
          <w:szCs w:val="24"/>
        </w:rPr>
      </w:pPr>
      <w:r>
        <w:rPr>
          <w:rFonts w:asciiTheme="minorHAnsi" w:eastAsia="Times New Roman" w:hAnsiTheme="minorHAnsi" w:cstheme="minorHAnsi"/>
          <w:kern w:val="1"/>
          <w:sz w:val="24"/>
          <w:szCs w:val="24"/>
        </w:rPr>
        <w:t xml:space="preserve">The requirement for greater interoperability has forced the task team to question the suitability of the current BUFR architecture, and whether the adoption of an alternative (more closely aligned to NetCDF / HDF5) could be justified.  </w:t>
      </w:r>
      <w:r w:rsidR="00EA1452" w:rsidRPr="00EA1452">
        <w:rPr>
          <w:rFonts w:asciiTheme="minorHAnsi" w:eastAsia="Times New Roman" w:hAnsiTheme="minorHAnsi" w:cstheme="minorHAnsi"/>
          <w:kern w:val="1"/>
          <w:sz w:val="24"/>
          <w:szCs w:val="24"/>
        </w:rPr>
        <w:t xml:space="preserve">This is a major step away from the approach originally </w:t>
      </w:r>
      <w:r>
        <w:rPr>
          <w:rFonts w:asciiTheme="minorHAnsi" w:eastAsia="Times New Roman" w:hAnsiTheme="minorHAnsi" w:cstheme="minorHAnsi"/>
          <w:kern w:val="1"/>
          <w:sz w:val="24"/>
          <w:szCs w:val="24"/>
        </w:rPr>
        <w:t>envisioned</w:t>
      </w:r>
      <w:r w:rsidR="00EA1452" w:rsidRPr="00EA1452">
        <w:rPr>
          <w:rFonts w:asciiTheme="minorHAnsi" w:eastAsia="Times New Roman" w:hAnsiTheme="minorHAnsi" w:cstheme="minorHAnsi"/>
          <w:kern w:val="1"/>
          <w:sz w:val="24"/>
          <w:szCs w:val="24"/>
        </w:rPr>
        <w:t xml:space="preserve"> in 2012, which would have seen a series of incremental developments without any changes in architecture.</w:t>
      </w:r>
    </w:p>
    <w:p w:rsidR="00EA1452" w:rsidRPr="00EA1452" w:rsidRDefault="00EA1452" w:rsidP="00EA1452">
      <w:pPr>
        <w:rPr>
          <w:rFonts w:asciiTheme="minorHAnsi" w:eastAsia="Times New Roman" w:hAnsiTheme="minorHAnsi" w:cstheme="minorHAnsi"/>
          <w:kern w:val="1"/>
          <w:sz w:val="24"/>
          <w:szCs w:val="24"/>
        </w:rPr>
      </w:pPr>
      <w:r w:rsidRPr="00EA1452">
        <w:rPr>
          <w:rFonts w:asciiTheme="minorHAnsi" w:eastAsia="Times New Roman" w:hAnsiTheme="minorHAnsi" w:cstheme="minorHAnsi"/>
          <w:kern w:val="1"/>
          <w:sz w:val="24"/>
          <w:szCs w:val="24"/>
        </w:rPr>
        <w:lastRenderedPageBreak/>
        <w:t xml:space="preserve">Before considering the requirements for the next edition of BUFR, we must </w:t>
      </w:r>
      <w:r w:rsidR="00B6242F">
        <w:rPr>
          <w:rFonts w:asciiTheme="minorHAnsi" w:eastAsia="Times New Roman" w:hAnsiTheme="minorHAnsi" w:cstheme="minorHAnsi"/>
          <w:kern w:val="1"/>
          <w:sz w:val="24"/>
          <w:szCs w:val="24"/>
        </w:rPr>
        <w:t>first ta</w:t>
      </w:r>
      <w:r w:rsidR="00CF04BD">
        <w:rPr>
          <w:rFonts w:asciiTheme="minorHAnsi" w:eastAsia="Times New Roman" w:hAnsiTheme="minorHAnsi" w:cstheme="minorHAnsi"/>
          <w:kern w:val="1"/>
          <w:sz w:val="24"/>
          <w:szCs w:val="24"/>
        </w:rPr>
        <w:t>k</w:t>
      </w:r>
      <w:r w:rsidR="00B6242F">
        <w:rPr>
          <w:rFonts w:asciiTheme="minorHAnsi" w:eastAsia="Times New Roman" w:hAnsiTheme="minorHAnsi" w:cstheme="minorHAnsi"/>
          <w:kern w:val="1"/>
          <w:sz w:val="24"/>
          <w:szCs w:val="24"/>
        </w:rPr>
        <w:t>e into account the development of the next generation of WIS</w:t>
      </w:r>
      <w:r w:rsidRPr="00EA1452">
        <w:rPr>
          <w:rFonts w:asciiTheme="minorHAnsi" w:eastAsia="Times New Roman" w:hAnsiTheme="minorHAnsi" w:cstheme="minorHAnsi"/>
          <w:kern w:val="1"/>
          <w:sz w:val="24"/>
          <w:szCs w:val="24"/>
        </w:rPr>
        <w:t>. The requirements for WIS II</w:t>
      </w:r>
      <w:r w:rsidR="002766E3">
        <w:rPr>
          <w:rStyle w:val="FootnoteReference"/>
          <w:rFonts w:asciiTheme="minorHAnsi" w:eastAsia="Times New Roman" w:hAnsiTheme="minorHAnsi" w:cstheme="minorHAnsi"/>
          <w:kern w:val="1"/>
          <w:sz w:val="24"/>
          <w:szCs w:val="24"/>
        </w:rPr>
        <w:footnoteReference w:id="1"/>
      </w:r>
      <w:r w:rsidRPr="00EA1452">
        <w:rPr>
          <w:rFonts w:asciiTheme="minorHAnsi" w:eastAsia="Times New Roman" w:hAnsiTheme="minorHAnsi" w:cstheme="minorHAnsi"/>
          <w:kern w:val="1"/>
          <w:sz w:val="24"/>
          <w:szCs w:val="24"/>
        </w:rPr>
        <w:t xml:space="preserve"> </w:t>
      </w:r>
      <w:r w:rsidR="00B6242F">
        <w:rPr>
          <w:rFonts w:asciiTheme="minorHAnsi" w:eastAsia="Times New Roman" w:hAnsiTheme="minorHAnsi" w:cstheme="minorHAnsi"/>
          <w:kern w:val="1"/>
          <w:sz w:val="24"/>
          <w:szCs w:val="24"/>
        </w:rPr>
        <w:t xml:space="preserve">include measures to provide a greater degree </w:t>
      </w:r>
      <w:r w:rsidR="00E83BAF">
        <w:rPr>
          <w:rFonts w:asciiTheme="minorHAnsi" w:eastAsia="Times New Roman" w:hAnsiTheme="minorHAnsi" w:cstheme="minorHAnsi"/>
          <w:kern w:val="1"/>
          <w:sz w:val="24"/>
          <w:szCs w:val="24"/>
        </w:rPr>
        <w:t xml:space="preserve">of </w:t>
      </w:r>
      <w:r w:rsidR="00E83BAF" w:rsidRPr="00EA1452">
        <w:rPr>
          <w:rFonts w:asciiTheme="minorHAnsi" w:eastAsia="Times New Roman" w:hAnsiTheme="minorHAnsi" w:cstheme="minorHAnsi"/>
          <w:kern w:val="1"/>
          <w:sz w:val="24"/>
          <w:szCs w:val="24"/>
        </w:rPr>
        <w:t>interoperability</w:t>
      </w:r>
      <w:r w:rsidRPr="00EA1452">
        <w:rPr>
          <w:rFonts w:asciiTheme="minorHAnsi" w:eastAsia="Times New Roman" w:hAnsiTheme="minorHAnsi" w:cstheme="minorHAnsi"/>
          <w:kern w:val="1"/>
          <w:sz w:val="24"/>
          <w:szCs w:val="24"/>
        </w:rPr>
        <w:t xml:space="preserve"> which would negate the need for the original requirement within BUFR. </w:t>
      </w:r>
    </w:p>
    <w:p w:rsidR="00EA1452" w:rsidRPr="00EA1452" w:rsidRDefault="00EA1452" w:rsidP="00EA1452">
      <w:pPr>
        <w:tabs>
          <w:tab w:val="left" w:pos="1005"/>
        </w:tabs>
        <w:rPr>
          <w:rFonts w:asciiTheme="minorHAnsi" w:hAnsiTheme="minorHAnsi" w:cstheme="minorHAnsi"/>
          <w:sz w:val="24"/>
          <w:szCs w:val="24"/>
        </w:rPr>
      </w:pPr>
      <w:r w:rsidRPr="00EA1452">
        <w:rPr>
          <w:rFonts w:asciiTheme="minorHAnsi" w:hAnsiTheme="minorHAnsi" w:cstheme="minorHAnsi"/>
          <w:sz w:val="24"/>
          <w:szCs w:val="24"/>
        </w:rPr>
        <w:t xml:space="preserve">In pursuing the development of an alternative architecture for BUFR, we must </w:t>
      </w:r>
      <w:r w:rsidR="00E83BAF">
        <w:rPr>
          <w:rFonts w:asciiTheme="minorHAnsi" w:hAnsiTheme="minorHAnsi" w:cstheme="minorHAnsi"/>
          <w:sz w:val="24"/>
          <w:szCs w:val="24"/>
        </w:rPr>
        <w:t xml:space="preserve">also </w:t>
      </w:r>
      <w:r w:rsidRPr="00EA1452">
        <w:rPr>
          <w:rFonts w:asciiTheme="minorHAnsi" w:hAnsiTheme="minorHAnsi" w:cstheme="minorHAnsi"/>
          <w:sz w:val="24"/>
          <w:szCs w:val="24"/>
        </w:rPr>
        <w:t>acknowledge the downstream impact that change</w:t>
      </w:r>
      <w:r w:rsidR="00E83BAF">
        <w:rPr>
          <w:rFonts w:asciiTheme="minorHAnsi" w:hAnsiTheme="minorHAnsi" w:cstheme="minorHAnsi"/>
          <w:sz w:val="24"/>
          <w:szCs w:val="24"/>
        </w:rPr>
        <w:t xml:space="preserve">s in BUFR architecture </w:t>
      </w:r>
      <w:r w:rsidRPr="00EA1452">
        <w:rPr>
          <w:rFonts w:asciiTheme="minorHAnsi" w:hAnsiTheme="minorHAnsi" w:cstheme="minorHAnsi"/>
          <w:sz w:val="24"/>
          <w:szCs w:val="24"/>
        </w:rPr>
        <w:t>will have on systems tasked with the processing of data.  The cost of managing the transition from the old to the new</w:t>
      </w:r>
      <w:r w:rsidR="00E83BAF">
        <w:rPr>
          <w:rFonts w:asciiTheme="minorHAnsi" w:hAnsiTheme="minorHAnsi" w:cstheme="minorHAnsi"/>
          <w:sz w:val="24"/>
          <w:szCs w:val="24"/>
        </w:rPr>
        <w:t xml:space="preserve"> architecture</w:t>
      </w:r>
      <w:r w:rsidRPr="00EA1452">
        <w:rPr>
          <w:rFonts w:asciiTheme="minorHAnsi" w:hAnsiTheme="minorHAnsi" w:cstheme="minorHAnsi"/>
          <w:sz w:val="24"/>
          <w:szCs w:val="24"/>
        </w:rPr>
        <w:t xml:space="preserve"> is extremely difficult to assess</w:t>
      </w:r>
      <w:r w:rsidR="00E83BAF">
        <w:rPr>
          <w:rFonts w:asciiTheme="minorHAnsi" w:hAnsiTheme="minorHAnsi" w:cstheme="minorHAnsi"/>
          <w:sz w:val="24"/>
          <w:szCs w:val="24"/>
        </w:rPr>
        <w:t>. When combined with the overheads resulting from our current obligations, it almost certain that the result will be unacceptable to most</w:t>
      </w:r>
      <w:r w:rsidRPr="00EA1452">
        <w:rPr>
          <w:rFonts w:asciiTheme="minorHAnsi" w:hAnsiTheme="minorHAnsi" w:cstheme="minorHAnsi"/>
          <w:sz w:val="24"/>
          <w:szCs w:val="24"/>
        </w:rPr>
        <w:t xml:space="preserve">.  </w:t>
      </w:r>
    </w:p>
    <w:p w:rsidR="00EA1452" w:rsidRPr="00EA1452" w:rsidRDefault="00EA1452" w:rsidP="00EA1452">
      <w:pPr>
        <w:rPr>
          <w:rFonts w:asciiTheme="minorHAnsi" w:hAnsiTheme="minorHAnsi" w:cstheme="minorHAnsi"/>
          <w:sz w:val="24"/>
          <w:szCs w:val="24"/>
        </w:rPr>
      </w:pPr>
    </w:p>
    <w:p w:rsidR="00EA1452" w:rsidRPr="00EA1452" w:rsidRDefault="00EA1452" w:rsidP="00EA1452">
      <w:pPr>
        <w:rPr>
          <w:rFonts w:asciiTheme="minorHAnsi" w:hAnsiTheme="minorHAnsi" w:cstheme="minorHAnsi"/>
          <w:b/>
          <w:sz w:val="24"/>
          <w:szCs w:val="24"/>
        </w:rPr>
      </w:pPr>
      <w:r w:rsidRPr="00EA1452">
        <w:rPr>
          <w:rFonts w:asciiTheme="minorHAnsi" w:hAnsiTheme="minorHAnsi" w:cstheme="minorHAnsi"/>
          <w:b/>
          <w:sz w:val="24"/>
          <w:szCs w:val="24"/>
        </w:rPr>
        <w:t>Re-Analysis Request</w:t>
      </w:r>
    </w:p>
    <w:p w:rsidR="00EA1452" w:rsidRPr="00EA1452" w:rsidRDefault="00EA1452" w:rsidP="00EA1452">
      <w:pPr>
        <w:rPr>
          <w:rFonts w:asciiTheme="minorHAnsi" w:hAnsiTheme="minorHAnsi" w:cstheme="minorHAnsi"/>
          <w:sz w:val="24"/>
          <w:szCs w:val="24"/>
        </w:rPr>
      </w:pPr>
      <w:r w:rsidRPr="00EA1452">
        <w:rPr>
          <w:rFonts w:asciiTheme="minorHAnsi" w:hAnsiTheme="minorHAnsi" w:cstheme="minorHAnsi"/>
          <w:sz w:val="24"/>
          <w:szCs w:val="24"/>
        </w:rPr>
        <w:t>Considering the points made above, the UK Met Office requests –</w:t>
      </w:r>
    </w:p>
    <w:p w:rsidR="00E83BAF" w:rsidRPr="00E83BAF" w:rsidRDefault="00EA1452" w:rsidP="00E83BAF">
      <w:pPr>
        <w:pStyle w:val="ListParagraph"/>
        <w:numPr>
          <w:ilvl w:val="0"/>
          <w:numId w:val="3"/>
        </w:numPr>
        <w:rPr>
          <w:rFonts w:cstheme="minorHAnsi"/>
          <w:sz w:val="24"/>
          <w:szCs w:val="24"/>
        </w:rPr>
      </w:pPr>
      <w:r w:rsidRPr="00EA1452">
        <w:rPr>
          <w:rFonts w:cstheme="minorHAnsi"/>
          <w:sz w:val="24"/>
          <w:szCs w:val="24"/>
        </w:rPr>
        <w:t>Clarification on the longevity of BUFR edition 4 and GRIB edition 3 within operational meteorology.</w:t>
      </w:r>
      <w:r w:rsidR="00E83BAF">
        <w:rPr>
          <w:rFonts w:cstheme="minorHAnsi"/>
          <w:sz w:val="24"/>
          <w:szCs w:val="24"/>
        </w:rPr>
        <w:t xml:space="preserve">  </w:t>
      </w:r>
    </w:p>
    <w:p w:rsidR="00EA1452" w:rsidRPr="00EA1452" w:rsidRDefault="00EA1452" w:rsidP="00EA1452">
      <w:pPr>
        <w:pStyle w:val="ListParagraph"/>
        <w:numPr>
          <w:ilvl w:val="0"/>
          <w:numId w:val="3"/>
        </w:numPr>
        <w:rPr>
          <w:rFonts w:cstheme="minorHAnsi"/>
          <w:sz w:val="24"/>
          <w:szCs w:val="24"/>
        </w:rPr>
      </w:pPr>
      <w:r w:rsidRPr="00EA1452">
        <w:rPr>
          <w:rFonts w:cstheme="minorHAnsi"/>
          <w:sz w:val="24"/>
          <w:szCs w:val="24"/>
        </w:rPr>
        <w:t>A revaluation of the requirements for BUFR edition 5, considering the points made above.</w:t>
      </w:r>
    </w:p>
    <w:p w:rsidR="00EA1452" w:rsidRPr="00EA1452" w:rsidRDefault="00EA1452" w:rsidP="00EA1452">
      <w:pPr>
        <w:pStyle w:val="ListParagraph"/>
        <w:numPr>
          <w:ilvl w:val="0"/>
          <w:numId w:val="3"/>
        </w:numPr>
        <w:rPr>
          <w:rFonts w:cstheme="minorHAnsi"/>
          <w:sz w:val="24"/>
          <w:szCs w:val="24"/>
        </w:rPr>
      </w:pPr>
      <w:r w:rsidRPr="00EA1452">
        <w:rPr>
          <w:rFonts w:cstheme="minorHAnsi"/>
          <w:sz w:val="24"/>
          <w:szCs w:val="24"/>
        </w:rPr>
        <w:t>A joint activity between the IPET-CM and the IPET-DD</w:t>
      </w:r>
      <w:r w:rsidRPr="00EA1452">
        <w:rPr>
          <w:rStyle w:val="FootnoteReference"/>
          <w:rFonts w:cstheme="minorHAnsi"/>
          <w:sz w:val="24"/>
          <w:szCs w:val="24"/>
        </w:rPr>
        <w:footnoteReference w:id="2"/>
      </w:r>
      <w:r w:rsidRPr="00EA1452">
        <w:rPr>
          <w:rFonts w:cstheme="minorHAnsi"/>
          <w:sz w:val="24"/>
          <w:szCs w:val="24"/>
        </w:rPr>
        <w:t xml:space="preserve"> to gather proposals for:</w:t>
      </w:r>
    </w:p>
    <w:p w:rsidR="00EA1452" w:rsidRPr="00EA1452" w:rsidRDefault="00EA1452" w:rsidP="00EA1452">
      <w:pPr>
        <w:pStyle w:val="ListParagraph"/>
        <w:numPr>
          <w:ilvl w:val="0"/>
          <w:numId w:val="4"/>
        </w:numPr>
        <w:rPr>
          <w:rFonts w:cstheme="minorHAnsi"/>
          <w:sz w:val="24"/>
          <w:szCs w:val="24"/>
        </w:rPr>
      </w:pPr>
      <w:r w:rsidRPr="00EA1452">
        <w:rPr>
          <w:rFonts w:cstheme="minorHAnsi"/>
          <w:sz w:val="24"/>
          <w:szCs w:val="24"/>
        </w:rPr>
        <w:t>Work packages that may meet (or partially meet) these requirements.</w:t>
      </w:r>
    </w:p>
    <w:p w:rsidR="00EA1452" w:rsidRPr="00EA1452" w:rsidRDefault="00EA1452" w:rsidP="00EA1452">
      <w:pPr>
        <w:pStyle w:val="ListParagraph"/>
        <w:numPr>
          <w:ilvl w:val="0"/>
          <w:numId w:val="4"/>
        </w:numPr>
        <w:rPr>
          <w:rFonts w:cstheme="minorHAnsi"/>
          <w:sz w:val="24"/>
          <w:szCs w:val="24"/>
        </w:rPr>
      </w:pPr>
      <w:r w:rsidRPr="00EA1452">
        <w:rPr>
          <w:rFonts w:cstheme="minorHAnsi"/>
          <w:sz w:val="24"/>
          <w:szCs w:val="24"/>
        </w:rPr>
        <w:t>Alterations to these requirements.</w:t>
      </w:r>
    </w:p>
    <w:p w:rsidR="00EA1452" w:rsidRPr="00EA1452" w:rsidRDefault="00EA1452" w:rsidP="00EA1452">
      <w:pPr>
        <w:pStyle w:val="ListParagraph"/>
        <w:numPr>
          <w:ilvl w:val="0"/>
          <w:numId w:val="4"/>
        </w:numPr>
        <w:rPr>
          <w:rFonts w:cstheme="minorHAnsi"/>
          <w:sz w:val="24"/>
          <w:szCs w:val="24"/>
        </w:rPr>
      </w:pPr>
      <w:r w:rsidRPr="00EA1452">
        <w:rPr>
          <w:rFonts w:cstheme="minorHAnsi"/>
          <w:sz w:val="24"/>
          <w:szCs w:val="24"/>
        </w:rPr>
        <w:t xml:space="preserve">Input on the priority and implication of the requirements.     </w:t>
      </w:r>
    </w:p>
    <w:p w:rsidR="00EA1452" w:rsidRPr="00EA1452" w:rsidRDefault="00EA1452" w:rsidP="00EA1452">
      <w:pPr>
        <w:rPr>
          <w:rFonts w:asciiTheme="minorHAnsi" w:hAnsiTheme="minorHAnsi" w:cstheme="minorHAnsi"/>
          <w:sz w:val="24"/>
          <w:szCs w:val="24"/>
        </w:rPr>
      </w:pPr>
    </w:p>
    <w:p w:rsidR="00D51173" w:rsidRDefault="00D5117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Default="002766E3">
      <w:pPr>
        <w:jc w:val="both"/>
        <w:rPr>
          <w:rFonts w:asciiTheme="minorHAnsi" w:hAnsiTheme="minorHAnsi" w:cstheme="minorHAnsi"/>
          <w:sz w:val="24"/>
          <w:szCs w:val="24"/>
          <w:lang w:val="en-US"/>
        </w:rPr>
      </w:pPr>
    </w:p>
    <w:p w:rsidR="002766E3" w:rsidRPr="002766E3" w:rsidRDefault="002766E3">
      <w:pPr>
        <w:jc w:val="both"/>
        <w:rPr>
          <w:rFonts w:asciiTheme="minorHAnsi" w:hAnsiTheme="minorHAnsi" w:cstheme="minorHAnsi"/>
          <w:b/>
          <w:sz w:val="24"/>
          <w:szCs w:val="24"/>
          <w:lang w:val="en-US"/>
        </w:rPr>
      </w:pPr>
      <w:r w:rsidRPr="002766E3">
        <w:rPr>
          <w:rFonts w:asciiTheme="minorHAnsi" w:hAnsiTheme="minorHAnsi" w:cstheme="minorHAnsi"/>
          <w:b/>
          <w:sz w:val="24"/>
          <w:szCs w:val="24"/>
          <w:lang w:val="en-US"/>
        </w:rPr>
        <w:t xml:space="preserve">Annex 1 </w:t>
      </w:r>
      <w:r>
        <w:rPr>
          <w:rFonts w:asciiTheme="minorHAnsi" w:hAnsiTheme="minorHAnsi" w:cstheme="minorHAnsi"/>
          <w:b/>
          <w:sz w:val="24"/>
          <w:szCs w:val="24"/>
          <w:lang w:val="en-US"/>
        </w:rPr>
        <w:t xml:space="preserve">- </w:t>
      </w:r>
      <w:r w:rsidRPr="002766E3">
        <w:rPr>
          <w:rFonts w:asciiTheme="minorHAnsi" w:hAnsiTheme="minorHAnsi" w:cstheme="minorHAnsi"/>
          <w:sz w:val="24"/>
          <w:szCs w:val="24"/>
          <w:lang w:val="en-US"/>
        </w:rPr>
        <w:t>Terms of reference for the TT-BUFR</w:t>
      </w:r>
    </w:p>
    <w:p w:rsidR="002766E3" w:rsidRPr="002766E3" w:rsidRDefault="002766E3">
      <w:pPr>
        <w:jc w:val="both"/>
        <w:rPr>
          <w:rFonts w:asciiTheme="minorHAnsi" w:hAnsiTheme="minorHAnsi" w:cstheme="minorHAnsi"/>
          <w:lang w:val="en-US"/>
        </w:rPr>
      </w:pPr>
    </w:p>
    <w:p w:rsidR="002766E3" w:rsidRPr="002766E3" w:rsidRDefault="002766E3" w:rsidP="002766E3">
      <w:pPr>
        <w:keepNext/>
        <w:keepLines/>
        <w:spacing w:before="200"/>
        <w:outlineLvl w:val="2"/>
        <w:rPr>
          <w:rFonts w:asciiTheme="minorHAnsi" w:eastAsiaTheme="majorEastAsia" w:hAnsiTheme="minorHAnsi" w:cstheme="minorHAnsi"/>
          <w:b/>
          <w:bCs/>
          <w:sz w:val="24"/>
          <w:szCs w:val="24"/>
        </w:rPr>
      </w:pPr>
      <w:r w:rsidRPr="002766E3">
        <w:rPr>
          <w:rFonts w:asciiTheme="minorHAnsi" w:eastAsiaTheme="majorEastAsia" w:hAnsiTheme="minorHAnsi" w:cstheme="minorHAnsi"/>
          <w:b/>
          <w:bCs/>
          <w:sz w:val="24"/>
          <w:szCs w:val="24"/>
        </w:rPr>
        <w:t>Task Team on BUFR (TT-BUFR)</w:t>
      </w:r>
    </w:p>
    <w:p w:rsidR="002766E3" w:rsidRPr="002766E3" w:rsidRDefault="002766E3" w:rsidP="002766E3">
      <w:pPr>
        <w:spacing w:before="120"/>
        <w:ind w:left="709" w:hanging="709"/>
        <w:jc w:val="both"/>
        <w:rPr>
          <w:rFonts w:asciiTheme="minorHAnsi" w:eastAsia="Arial" w:hAnsiTheme="minorHAnsi" w:cstheme="minorHAnsi"/>
          <w:snapToGrid/>
          <w:sz w:val="24"/>
          <w:szCs w:val="24"/>
          <w:lang w:eastAsia="zh-TW"/>
        </w:rPr>
      </w:pPr>
      <w:r w:rsidRPr="002766E3">
        <w:rPr>
          <w:rFonts w:asciiTheme="minorHAnsi" w:eastAsia="Arial" w:hAnsiTheme="minorHAnsi" w:cstheme="minorHAnsi"/>
          <w:snapToGrid/>
          <w:sz w:val="24"/>
          <w:szCs w:val="24"/>
          <w:lang w:eastAsia="zh-TW"/>
        </w:rPr>
        <w:t>(a)</w:t>
      </w:r>
      <w:r w:rsidRPr="002766E3">
        <w:rPr>
          <w:rFonts w:asciiTheme="minorHAnsi" w:eastAsia="Arial" w:hAnsiTheme="minorHAnsi" w:cstheme="minorHAnsi"/>
          <w:snapToGrid/>
          <w:sz w:val="24"/>
          <w:szCs w:val="24"/>
          <w:lang w:eastAsia="zh-TW"/>
        </w:rPr>
        <w:tab/>
        <w:t>Identify issues that cannot be addressed by the current editions of BUFR and develop the requirements for the next edition of BUFR.</w:t>
      </w:r>
    </w:p>
    <w:p w:rsidR="002766E3" w:rsidRPr="002766E3" w:rsidRDefault="002766E3" w:rsidP="002766E3">
      <w:pPr>
        <w:spacing w:before="120"/>
        <w:ind w:left="709" w:hanging="709"/>
        <w:jc w:val="both"/>
        <w:rPr>
          <w:rFonts w:asciiTheme="minorHAnsi" w:eastAsia="Arial" w:hAnsiTheme="minorHAnsi" w:cstheme="minorHAnsi"/>
          <w:snapToGrid/>
          <w:sz w:val="24"/>
          <w:szCs w:val="24"/>
          <w:lang w:eastAsia="zh-TW"/>
        </w:rPr>
      </w:pPr>
      <w:r w:rsidRPr="002766E3">
        <w:rPr>
          <w:rFonts w:asciiTheme="minorHAnsi" w:eastAsia="Arial" w:hAnsiTheme="minorHAnsi" w:cstheme="minorHAnsi"/>
          <w:snapToGrid/>
          <w:sz w:val="24"/>
          <w:szCs w:val="24"/>
          <w:lang w:eastAsia="zh-TW"/>
        </w:rPr>
        <w:t>(b)</w:t>
      </w:r>
      <w:r w:rsidRPr="002766E3">
        <w:rPr>
          <w:rFonts w:asciiTheme="minorHAnsi" w:eastAsia="Arial" w:hAnsiTheme="minorHAnsi" w:cstheme="minorHAnsi"/>
          <w:snapToGrid/>
          <w:sz w:val="24"/>
          <w:szCs w:val="24"/>
          <w:lang w:eastAsia="zh-TW"/>
        </w:rPr>
        <w:tab/>
        <w:t xml:space="preserve">Develop the next edition of BUFR to include the definition of the BUFR format for representation, design and content of BUFR tables, the “grammar” and “syntax” used when representing data in </w:t>
      </w:r>
      <w:r w:rsidR="004A2D1C" w:rsidRPr="002766E3">
        <w:rPr>
          <w:rFonts w:asciiTheme="minorHAnsi" w:eastAsia="Arial" w:hAnsiTheme="minorHAnsi" w:cstheme="minorHAnsi"/>
          <w:snapToGrid/>
          <w:sz w:val="24"/>
          <w:szCs w:val="24"/>
          <w:lang w:eastAsia="zh-TW"/>
        </w:rPr>
        <w:t>BUFR and</w:t>
      </w:r>
      <w:r w:rsidRPr="002766E3">
        <w:rPr>
          <w:rFonts w:asciiTheme="minorHAnsi" w:eastAsia="Arial" w:hAnsiTheme="minorHAnsi" w:cstheme="minorHAnsi"/>
          <w:snapToGrid/>
          <w:sz w:val="24"/>
          <w:szCs w:val="24"/>
          <w:lang w:eastAsia="zh-TW"/>
        </w:rPr>
        <w:t xml:space="preserve"> defining tests that validate the correct operation of tools to support the new BUFR edition - in a way that is compatible with the WMO Logical Data Model.</w:t>
      </w:r>
    </w:p>
    <w:p w:rsidR="002766E3" w:rsidRPr="002766E3" w:rsidRDefault="002766E3" w:rsidP="002766E3">
      <w:pPr>
        <w:spacing w:before="120"/>
        <w:ind w:left="709" w:hanging="709"/>
        <w:jc w:val="both"/>
        <w:rPr>
          <w:rFonts w:asciiTheme="minorHAnsi" w:eastAsia="Arial" w:hAnsiTheme="minorHAnsi" w:cstheme="minorHAnsi"/>
          <w:snapToGrid/>
          <w:sz w:val="24"/>
          <w:szCs w:val="24"/>
          <w:lang w:eastAsia="zh-TW"/>
        </w:rPr>
      </w:pPr>
      <w:r w:rsidRPr="002766E3">
        <w:rPr>
          <w:rFonts w:asciiTheme="minorHAnsi" w:eastAsia="Arial" w:hAnsiTheme="minorHAnsi" w:cstheme="minorHAnsi"/>
          <w:snapToGrid/>
          <w:sz w:val="24"/>
          <w:szCs w:val="24"/>
          <w:lang w:eastAsia="zh-TW"/>
        </w:rPr>
        <w:t>(c)</w:t>
      </w:r>
      <w:r w:rsidRPr="002766E3">
        <w:rPr>
          <w:rFonts w:asciiTheme="minorHAnsi" w:eastAsia="Arial" w:hAnsiTheme="minorHAnsi" w:cstheme="minorHAnsi"/>
          <w:snapToGrid/>
          <w:sz w:val="24"/>
          <w:szCs w:val="24"/>
          <w:lang w:eastAsia="zh-TW"/>
        </w:rPr>
        <w:tab/>
        <w:t>Implementing machine readable versions of the BUFR tables that allow automatic updating of applications based on BUFR.</w:t>
      </w:r>
    </w:p>
    <w:p w:rsidR="002766E3" w:rsidRPr="002766E3" w:rsidRDefault="002766E3" w:rsidP="002766E3">
      <w:pPr>
        <w:spacing w:before="120"/>
        <w:ind w:left="709" w:hanging="709"/>
        <w:jc w:val="both"/>
        <w:rPr>
          <w:rFonts w:asciiTheme="minorHAnsi" w:eastAsia="Arial" w:hAnsiTheme="minorHAnsi" w:cstheme="minorHAnsi"/>
          <w:snapToGrid/>
          <w:sz w:val="24"/>
          <w:szCs w:val="24"/>
          <w:lang w:eastAsia="zh-TW"/>
        </w:rPr>
      </w:pPr>
      <w:r w:rsidRPr="002766E3">
        <w:rPr>
          <w:rFonts w:asciiTheme="minorHAnsi" w:eastAsia="Arial" w:hAnsiTheme="minorHAnsi" w:cstheme="minorHAnsi"/>
          <w:snapToGrid/>
          <w:sz w:val="24"/>
          <w:szCs w:val="24"/>
          <w:lang w:eastAsia="zh-TW"/>
        </w:rPr>
        <w:t>(d)</w:t>
      </w:r>
      <w:r w:rsidRPr="002766E3">
        <w:rPr>
          <w:rFonts w:asciiTheme="minorHAnsi" w:eastAsia="Arial" w:hAnsiTheme="minorHAnsi" w:cstheme="minorHAnsi"/>
          <w:snapToGrid/>
          <w:sz w:val="24"/>
          <w:szCs w:val="24"/>
          <w:lang w:eastAsia="zh-TW"/>
        </w:rPr>
        <w:tab/>
        <w:t xml:space="preserve">Development of the specifications that are necessary to allow standard utilities to manipulate BUFR files to be created and maintained. </w:t>
      </w:r>
    </w:p>
    <w:p w:rsidR="002766E3" w:rsidRPr="002766E3" w:rsidRDefault="002766E3" w:rsidP="002766E3">
      <w:pPr>
        <w:rPr>
          <w:rFonts w:ascii="Verdana" w:hAnsi="Verdana"/>
          <w:sz w:val="20"/>
          <w:szCs w:val="20"/>
          <w:lang w:val="en-US"/>
        </w:rPr>
      </w:pPr>
    </w:p>
    <w:p w:rsidR="002766E3" w:rsidRPr="002766E3" w:rsidRDefault="002766E3" w:rsidP="002766E3">
      <w:pPr>
        <w:rPr>
          <w:rFonts w:ascii="Verdana" w:hAnsi="Verdana"/>
          <w:sz w:val="20"/>
          <w:szCs w:val="20"/>
          <w:lang w:val="en-US"/>
        </w:rPr>
      </w:pPr>
    </w:p>
    <w:p w:rsidR="002766E3" w:rsidRPr="00EA1452" w:rsidRDefault="002766E3">
      <w:pPr>
        <w:jc w:val="both"/>
        <w:rPr>
          <w:rFonts w:asciiTheme="minorHAnsi" w:hAnsiTheme="minorHAnsi" w:cstheme="minorHAnsi"/>
          <w:sz w:val="24"/>
          <w:szCs w:val="24"/>
          <w:lang w:val="en-US"/>
        </w:rPr>
      </w:pPr>
    </w:p>
    <w:sectPr w:rsidR="002766E3" w:rsidRPr="00EA1452"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4C" w:rsidRDefault="001B554C" w:rsidP="004C1690">
      <w:r>
        <w:separator/>
      </w:r>
    </w:p>
  </w:endnote>
  <w:endnote w:type="continuationSeparator" w:id="0">
    <w:p w:rsidR="001B554C" w:rsidRDefault="001B554C"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4C" w:rsidRDefault="001B554C" w:rsidP="004C1690">
      <w:r>
        <w:separator/>
      </w:r>
    </w:p>
  </w:footnote>
  <w:footnote w:type="continuationSeparator" w:id="0">
    <w:p w:rsidR="001B554C" w:rsidRDefault="001B554C" w:rsidP="004C1690">
      <w:r>
        <w:continuationSeparator/>
      </w:r>
    </w:p>
  </w:footnote>
  <w:footnote w:id="1">
    <w:p w:rsidR="002766E3" w:rsidRDefault="002766E3">
      <w:pPr>
        <w:pStyle w:val="FootnoteText"/>
      </w:pPr>
      <w:r>
        <w:rPr>
          <w:rStyle w:val="FootnoteReference"/>
        </w:rPr>
        <w:footnoteRef/>
      </w:r>
      <w:r>
        <w:t xml:space="preserve"> </w:t>
      </w:r>
      <w:hyperlink r:id="rId1" w:history="1">
        <w:r w:rsidR="00015CCE" w:rsidRPr="00F76A5F">
          <w:rPr>
            <w:rStyle w:val="Hyperlink"/>
          </w:rPr>
          <w:t>https://wis.wmo.int/wis2</w:t>
        </w:r>
      </w:hyperlink>
      <w:r w:rsidR="00015CCE">
        <w:t xml:space="preserve"> </w:t>
      </w:r>
    </w:p>
  </w:footnote>
  <w:footnote w:id="2">
    <w:p w:rsidR="00EA1452" w:rsidRDefault="00EA1452" w:rsidP="00EA1452">
      <w:pPr>
        <w:pStyle w:val="FootnoteText"/>
      </w:pPr>
      <w:r>
        <w:rPr>
          <w:rStyle w:val="FootnoteReference"/>
        </w:rPr>
        <w:footnoteRef/>
      </w:r>
      <w:r>
        <w:t xml:space="preserve"> </w:t>
      </w:r>
      <w:hyperlink r:id="rId2" w:history="1">
        <w:r w:rsidRPr="00DC2116">
          <w:rPr>
            <w:rStyle w:val="Hyperlink"/>
          </w:rPr>
          <w:t>https://wiswiki.wmo.int/tiki-index.php?page=IPET-DD&amp;structure=WIS+up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ED8"/>
    <w:multiLevelType w:val="hybridMultilevel"/>
    <w:tmpl w:val="4DCAAE54"/>
    <w:lvl w:ilvl="0" w:tplc="52BC53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3920CD9"/>
    <w:multiLevelType w:val="hybridMultilevel"/>
    <w:tmpl w:val="BA76D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71DB21BC"/>
    <w:multiLevelType w:val="hybridMultilevel"/>
    <w:tmpl w:val="8EC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15CCE"/>
    <w:rsid w:val="000272D5"/>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554C"/>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766E3"/>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A2D1C"/>
    <w:rsid w:val="004C1690"/>
    <w:rsid w:val="004F715C"/>
    <w:rsid w:val="004F78C7"/>
    <w:rsid w:val="005009B7"/>
    <w:rsid w:val="00506E02"/>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167F5"/>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6242F"/>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CF04B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83BAF"/>
    <w:rsid w:val="00EA0729"/>
    <w:rsid w:val="00EA132C"/>
    <w:rsid w:val="00EA1452"/>
    <w:rsid w:val="00EC1F1F"/>
    <w:rsid w:val="00EC3262"/>
    <w:rsid w:val="00ED2390"/>
    <w:rsid w:val="00ED6DF9"/>
    <w:rsid w:val="00EE6561"/>
    <w:rsid w:val="00EF36D5"/>
    <w:rsid w:val="00EF54F0"/>
    <w:rsid w:val="00F018F3"/>
    <w:rsid w:val="00F04F34"/>
    <w:rsid w:val="00F15B59"/>
    <w:rsid w:val="00F2595D"/>
    <w:rsid w:val="00F33FAD"/>
    <w:rsid w:val="00F35A04"/>
    <w:rsid w:val="00F4589C"/>
    <w:rsid w:val="00F45978"/>
    <w:rsid w:val="00F5434C"/>
    <w:rsid w:val="00FA23EF"/>
    <w:rsid w:val="00FC0337"/>
    <w:rsid w:val="00FC1D69"/>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2766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EA1452"/>
    <w:pPr>
      <w:spacing w:after="160" w:line="259" w:lineRule="auto"/>
      <w:ind w:left="720"/>
      <w:contextualSpacing/>
    </w:pPr>
    <w:rPr>
      <w:rFonts w:asciiTheme="minorHAnsi" w:eastAsiaTheme="minorHAnsi" w:hAnsiTheme="minorHAnsi" w:cstheme="minorBidi"/>
      <w:snapToGrid/>
    </w:rPr>
  </w:style>
  <w:style w:type="paragraph" w:styleId="FootnoteText">
    <w:name w:val="footnote text"/>
    <w:basedOn w:val="Normal"/>
    <w:link w:val="FootnoteTextChar"/>
    <w:uiPriority w:val="99"/>
    <w:semiHidden/>
    <w:unhideWhenUsed/>
    <w:rsid w:val="00EA1452"/>
    <w:rPr>
      <w:rFonts w:asciiTheme="minorHAnsi" w:eastAsiaTheme="minorHAnsi" w:hAnsiTheme="minorHAnsi" w:cstheme="minorBidi"/>
      <w:snapToGrid/>
      <w:sz w:val="20"/>
      <w:szCs w:val="20"/>
    </w:rPr>
  </w:style>
  <w:style w:type="character" w:customStyle="1" w:styleId="FootnoteTextChar">
    <w:name w:val="Footnote Text Char"/>
    <w:basedOn w:val="DefaultParagraphFont"/>
    <w:link w:val="FootnoteText"/>
    <w:uiPriority w:val="99"/>
    <w:semiHidden/>
    <w:rsid w:val="00EA145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A1452"/>
    <w:rPr>
      <w:vertAlign w:val="superscript"/>
    </w:rPr>
  </w:style>
  <w:style w:type="character" w:styleId="Hyperlink">
    <w:name w:val="Hyperlink"/>
    <w:basedOn w:val="DefaultParagraphFont"/>
    <w:uiPriority w:val="99"/>
    <w:unhideWhenUsed/>
    <w:rsid w:val="00EA1452"/>
    <w:rPr>
      <w:color w:val="0000FF" w:themeColor="hyperlink"/>
      <w:u w:val="single"/>
    </w:rPr>
  </w:style>
  <w:style w:type="character" w:styleId="FollowedHyperlink">
    <w:name w:val="FollowedHyperlink"/>
    <w:basedOn w:val="DefaultParagraphFont"/>
    <w:semiHidden/>
    <w:unhideWhenUsed/>
    <w:rsid w:val="00FC1D69"/>
    <w:rPr>
      <w:color w:val="800080" w:themeColor="followedHyperlink"/>
      <w:u w:val="single"/>
    </w:rPr>
  </w:style>
  <w:style w:type="character" w:customStyle="1" w:styleId="Heading3Char">
    <w:name w:val="Heading 3 Char"/>
    <w:basedOn w:val="DefaultParagraphFont"/>
    <w:link w:val="Heading3"/>
    <w:semiHidden/>
    <w:rsid w:val="002766E3"/>
    <w:rPr>
      <w:rFonts w:asciiTheme="majorHAnsi" w:eastAsiaTheme="majorEastAsia" w:hAnsiTheme="majorHAnsi" w:cstheme="majorBidi"/>
      <w:snapToGrid w:val="0"/>
      <w:color w:val="243F60" w:themeColor="accent1" w:themeShade="7F"/>
      <w:sz w:val="24"/>
      <w:szCs w:val="24"/>
      <w:lang w:eastAsia="en-US"/>
    </w:rPr>
  </w:style>
  <w:style w:type="character" w:customStyle="1" w:styleId="UnresolvedMention">
    <w:name w:val="Unresolved Mention"/>
    <w:basedOn w:val="DefaultParagraphFont"/>
    <w:uiPriority w:val="99"/>
    <w:semiHidden/>
    <w:unhideWhenUsed/>
    <w:rsid w:val="00015C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2766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EA1452"/>
    <w:pPr>
      <w:spacing w:after="160" w:line="259" w:lineRule="auto"/>
      <w:ind w:left="720"/>
      <w:contextualSpacing/>
    </w:pPr>
    <w:rPr>
      <w:rFonts w:asciiTheme="minorHAnsi" w:eastAsiaTheme="minorHAnsi" w:hAnsiTheme="minorHAnsi" w:cstheme="minorBidi"/>
      <w:snapToGrid/>
    </w:rPr>
  </w:style>
  <w:style w:type="paragraph" w:styleId="FootnoteText">
    <w:name w:val="footnote text"/>
    <w:basedOn w:val="Normal"/>
    <w:link w:val="FootnoteTextChar"/>
    <w:uiPriority w:val="99"/>
    <w:semiHidden/>
    <w:unhideWhenUsed/>
    <w:rsid w:val="00EA1452"/>
    <w:rPr>
      <w:rFonts w:asciiTheme="minorHAnsi" w:eastAsiaTheme="minorHAnsi" w:hAnsiTheme="minorHAnsi" w:cstheme="minorBidi"/>
      <w:snapToGrid/>
      <w:sz w:val="20"/>
      <w:szCs w:val="20"/>
    </w:rPr>
  </w:style>
  <w:style w:type="character" w:customStyle="1" w:styleId="FootnoteTextChar">
    <w:name w:val="Footnote Text Char"/>
    <w:basedOn w:val="DefaultParagraphFont"/>
    <w:link w:val="FootnoteText"/>
    <w:uiPriority w:val="99"/>
    <w:semiHidden/>
    <w:rsid w:val="00EA145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A1452"/>
    <w:rPr>
      <w:vertAlign w:val="superscript"/>
    </w:rPr>
  </w:style>
  <w:style w:type="character" w:styleId="Hyperlink">
    <w:name w:val="Hyperlink"/>
    <w:basedOn w:val="DefaultParagraphFont"/>
    <w:uiPriority w:val="99"/>
    <w:unhideWhenUsed/>
    <w:rsid w:val="00EA1452"/>
    <w:rPr>
      <w:color w:val="0000FF" w:themeColor="hyperlink"/>
      <w:u w:val="single"/>
    </w:rPr>
  </w:style>
  <w:style w:type="character" w:styleId="FollowedHyperlink">
    <w:name w:val="FollowedHyperlink"/>
    <w:basedOn w:val="DefaultParagraphFont"/>
    <w:semiHidden/>
    <w:unhideWhenUsed/>
    <w:rsid w:val="00FC1D69"/>
    <w:rPr>
      <w:color w:val="800080" w:themeColor="followedHyperlink"/>
      <w:u w:val="single"/>
    </w:rPr>
  </w:style>
  <w:style w:type="character" w:customStyle="1" w:styleId="Heading3Char">
    <w:name w:val="Heading 3 Char"/>
    <w:basedOn w:val="DefaultParagraphFont"/>
    <w:link w:val="Heading3"/>
    <w:semiHidden/>
    <w:rsid w:val="002766E3"/>
    <w:rPr>
      <w:rFonts w:asciiTheme="majorHAnsi" w:eastAsiaTheme="majorEastAsia" w:hAnsiTheme="majorHAnsi" w:cstheme="majorBidi"/>
      <w:snapToGrid w:val="0"/>
      <w:color w:val="243F60" w:themeColor="accent1" w:themeShade="7F"/>
      <w:sz w:val="24"/>
      <w:szCs w:val="24"/>
      <w:lang w:eastAsia="en-US"/>
    </w:rPr>
  </w:style>
  <w:style w:type="character" w:customStyle="1" w:styleId="UnresolvedMention">
    <w:name w:val="Unresolved Mention"/>
    <w:basedOn w:val="DefaultParagraphFont"/>
    <w:uiPriority w:val="99"/>
    <w:semiHidden/>
    <w:unhideWhenUsed/>
    <w:rsid w:val="0001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iswiki.wmo.int/tiki-index.php?page=IPET-DD&amp;structure=WIS+up" TargetMode="External"/><Relationship Id="rId1" Type="http://schemas.openxmlformats.org/officeDocument/2006/relationships/hyperlink" Target="https://wis.wmo.int/wis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1340EF" w:rsidP="001340EF">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1340EF" w:rsidP="001340EF">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1340EF" w:rsidP="001340EF">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0E0E9C"/>
    <w:rsid w:val="001340EF"/>
    <w:rsid w:val="00356384"/>
    <w:rsid w:val="004A6AA6"/>
    <w:rsid w:val="00594E66"/>
    <w:rsid w:val="00876B2D"/>
    <w:rsid w:val="00C40F99"/>
    <w:rsid w:val="00C57EFC"/>
    <w:rsid w:val="00DF71C2"/>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0E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1340EF"/>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1340EF"/>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1340EF"/>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1340EF"/>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1340EF"/>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1340EF"/>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1340EF"/>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1340EF"/>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1340EF"/>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1340EF"/>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1340EF"/>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1340E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0E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1340EF"/>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1340EF"/>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1340EF"/>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1340EF"/>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1340EF"/>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1340EF"/>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1340EF"/>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1340EF"/>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1340EF"/>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1340EF"/>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1340EF"/>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1340E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602E-217C-4202-B49A-E0CE247E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2019-04-10T14:11:00Z</dcterms:created>
  <dcterms:modified xsi:type="dcterms:W3CDTF">2019-04-10T14:11:00Z</dcterms:modified>
</cp:coreProperties>
</file>