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14:paraId="1999205F" w14:textId="77777777">
        <w:trPr>
          <w:jc w:val="center"/>
        </w:trPr>
        <w:tc>
          <w:tcPr>
            <w:tcW w:w="6160" w:type="dxa"/>
            <w:shd w:val="clear" w:color="auto" w:fill="auto"/>
          </w:tcPr>
          <w:p w14:paraId="229AF218" w14:textId="77777777"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14:paraId="2D464D46"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14:paraId="7D0F4600"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14:paraId="4DFD6A75" w14:textId="77777777"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14:paraId="0DE9D91B"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14:paraId="5F3AA90A" w14:textId="77777777" w:rsidR="005554A5" w:rsidRPr="00F35A04" w:rsidRDefault="005554A5" w:rsidP="005554A5">
            <w:pPr>
              <w:jc w:val="center"/>
              <w:rPr>
                <w:rFonts w:ascii="Verdana" w:hAnsi="Verdana" w:cs="Arial"/>
                <w:sz w:val="20"/>
                <w:szCs w:val="20"/>
              </w:rPr>
            </w:pPr>
          </w:p>
          <w:p w14:paraId="6873C25E" w14:textId="77777777"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14:paraId="3BF472E8" w14:textId="77777777" w:rsidR="00634323" w:rsidRPr="00F35A04" w:rsidRDefault="00634323" w:rsidP="00911012">
            <w:pPr>
              <w:widowControl w:val="0"/>
              <w:snapToGrid w:val="0"/>
              <w:rPr>
                <w:rFonts w:ascii="Verdana" w:hAnsi="Verdana"/>
                <w:sz w:val="20"/>
                <w:szCs w:val="20"/>
              </w:rPr>
            </w:pPr>
          </w:p>
        </w:tc>
        <w:tc>
          <w:tcPr>
            <w:tcW w:w="3890" w:type="dxa"/>
            <w:shd w:val="clear" w:color="auto" w:fill="auto"/>
          </w:tcPr>
          <w:p w14:paraId="2BE8F132" w14:textId="77777777" w:rsidR="005554A5" w:rsidRPr="00DC5379" w:rsidRDefault="005554A5" w:rsidP="005554A5">
            <w:pPr>
              <w:tabs>
                <w:tab w:val="left" w:pos="601"/>
              </w:tabs>
              <w:rPr>
                <w:rFonts w:ascii="Verdana" w:hAnsi="Verdana" w:cs="Arial"/>
                <w:sz w:val="20"/>
                <w:szCs w:val="20"/>
                <w:lang w:val="fr-CA"/>
              </w:rPr>
            </w:pPr>
            <w:r w:rsidRPr="00DC5379">
              <w:rPr>
                <w:rFonts w:ascii="Verdana" w:hAnsi="Verdana" w:cs="Arial"/>
                <w:sz w:val="20"/>
                <w:szCs w:val="20"/>
                <w:lang w:val="fr-CA"/>
              </w:rPr>
              <w:t>IPET-</w:t>
            </w:r>
            <w:r w:rsidR="0087795A" w:rsidRPr="00DC5379">
              <w:rPr>
                <w:rFonts w:ascii="Verdana" w:hAnsi="Verdana" w:cs="Arial"/>
                <w:sz w:val="20"/>
                <w:szCs w:val="20"/>
                <w:lang w:val="fr-CA"/>
              </w:rPr>
              <w:t>C</w:t>
            </w:r>
            <w:r w:rsidR="00205D7D" w:rsidRPr="00DC5379">
              <w:rPr>
                <w:rFonts w:ascii="Verdana" w:hAnsi="Verdana" w:cs="Arial"/>
                <w:sz w:val="20"/>
                <w:szCs w:val="20"/>
                <w:lang w:val="fr-CA"/>
              </w:rPr>
              <w:t>M</w:t>
            </w:r>
            <w:r w:rsidR="00C32B0D" w:rsidRPr="00DC5379">
              <w:rPr>
                <w:rFonts w:ascii="Verdana" w:hAnsi="Verdana" w:cs="Arial"/>
                <w:sz w:val="20"/>
                <w:szCs w:val="20"/>
                <w:lang w:val="fr-CA"/>
              </w:rPr>
              <w:t>-</w:t>
            </w:r>
            <w:r w:rsidR="00ED2390" w:rsidRPr="00DC5379">
              <w:rPr>
                <w:rFonts w:ascii="Verdana" w:hAnsi="Verdana" w:cs="Arial"/>
                <w:sz w:val="20"/>
                <w:szCs w:val="20"/>
                <w:lang w:val="fr-CA"/>
              </w:rPr>
              <w:t>I</w:t>
            </w:r>
            <w:r w:rsidR="0041681E" w:rsidRPr="00DC5379">
              <w:rPr>
                <w:rFonts w:ascii="Verdana" w:hAnsi="Verdana" w:cs="Arial"/>
                <w:sz w:val="20"/>
                <w:szCs w:val="20"/>
                <w:lang w:val="fr-CA"/>
              </w:rPr>
              <w:t>I</w:t>
            </w:r>
            <w:r w:rsidR="0015739E" w:rsidRPr="00DC5379">
              <w:rPr>
                <w:rFonts w:ascii="Verdana" w:hAnsi="Verdana" w:cs="Arial"/>
                <w:sz w:val="20"/>
                <w:szCs w:val="20"/>
                <w:lang w:val="fr-CA"/>
              </w:rPr>
              <w:t>I</w:t>
            </w:r>
            <w:r w:rsidRPr="00DC5379">
              <w:rPr>
                <w:rFonts w:ascii="Verdana" w:hAnsi="Verdana" w:cs="Arial"/>
                <w:sz w:val="20"/>
                <w:szCs w:val="20"/>
                <w:lang w:val="fr-CA"/>
              </w:rPr>
              <w:t xml:space="preserve"> / </w:t>
            </w:r>
            <w:r w:rsidR="00160129" w:rsidRPr="00DC5379">
              <w:rPr>
                <w:rFonts w:ascii="Verdana" w:hAnsi="Verdana"/>
                <w:sz w:val="20"/>
                <w:szCs w:val="20"/>
                <w:lang w:val="fr-CA"/>
              </w:rPr>
              <w:t xml:space="preserve">Doc. </w:t>
            </w:r>
            <w:r w:rsidR="00DC5379" w:rsidRPr="00452657">
              <w:rPr>
                <w:rFonts w:ascii="Verdana" w:hAnsi="Verdana"/>
                <w:sz w:val="20"/>
                <w:szCs w:val="20"/>
                <w:lang w:val="fr-CA" w:eastAsia="ja-JP"/>
              </w:rPr>
              <w:t>7.2(2)</w:t>
            </w:r>
          </w:p>
          <w:p w14:paraId="2279C682" w14:textId="44427CD2" w:rsidR="005554A5" w:rsidRPr="00DC5379" w:rsidRDefault="007B7856" w:rsidP="005554A5">
            <w:pPr>
              <w:rPr>
                <w:rFonts w:ascii="Verdana" w:hAnsi="Verdana"/>
                <w:sz w:val="20"/>
                <w:szCs w:val="20"/>
                <w:lang w:val="fr-CA"/>
              </w:rPr>
            </w:pPr>
            <w:sdt>
              <w:sdtPr>
                <w:rPr>
                  <w:rFonts w:ascii="Verdana" w:hAnsi="Verdana"/>
                  <w:sz w:val="20"/>
                  <w:szCs w:val="20"/>
                </w:rPr>
                <w:id w:val="969945950"/>
                <w:placeholder>
                  <w:docPart w:val="4CD9C67CAF7A41C8ABBF4A1B36E706D4"/>
                </w:placeholder>
                <w:date w:fullDate="2019-03-27T00:00:00Z">
                  <w:dateFormat w:val="dd.MM.yyyy"/>
                  <w:lid w:val="en-GB"/>
                  <w:storeMappedDataAs w:val="dateTime"/>
                  <w:calendar w:val="gregorian"/>
                </w:date>
              </w:sdtPr>
              <w:sdtEndPr/>
              <w:sdtContent>
                <w:r>
                  <w:rPr>
                    <w:rFonts w:ascii="Verdana" w:hAnsi="Verdana"/>
                    <w:sz w:val="20"/>
                    <w:szCs w:val="20"/>
                  </w:rPr>
                  <w:t>27.03.2019</w:t>
                </w:r>
              </w:sdtContent>
            </w:sdt>
          </w:p>
          <w:p w14:paraId="34C13DAC" w14:textId="77777777" w:rsidR="005554A5" w:rsidRPr="00F35A04" w:rsidRDefault="005554A5" w:rsidP="005554A5">
            <w:pPr>
              <w:rPr>
                <w:rFonts w:ascii="Verdana" w:hAnsi="Verdana" w:cs="Arial"/>
                <w:sz w:val="20"/>
                <w:szCs w:val="20"/>
              </w:rPr>
            </w:pPr>
            <w:r w:rsidRPr="00F35A04">
              <w:rPr>
                <w:rFonts w:ascii="Verdana" w:hAnsi="Verdana" w:cs="Arial"/>
                <w:sz w:val="20"/>
                <w:szCs w:val="20"/>
              </w:rPr>
              <w:t>-------------------------</w:t>
            </w:r>
          </w:p>
          <w:p w14:paraId="7467BE28" w14:textId="77777777" w:rsidR="005554A5" w:rsidRPr="00F35A04" w:rsidRDefault="005554A5" w:rsidP="005554A5">
            <w:pPr>
              <w:rPr>
                <w:rFonts w:ascii="Verdana" w:hAnsi="Verdana"/>
                <w:sz w:val="20"/>
                <w:szCs w:val="20"/>
              </w:rPr>
            </w:pPr>
          </w:p>
          <w:p w14:paraId="4AF6FA18" w14:textId="77777777"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DC5379">
              <w:rPr>
                <w:rFonts w:ascii="Verdana" w:hAnsi="Verdana"/>
                <w:sz w:val="20"/>
                <w:szCs w:val="20"/>
              </w:rPr>
              <w:t>7.2</w:t>
            </w:r>
          </w:p>
          <w:p w14:paraId="7FE54468" w14:textId="77777777" w:rsidR="005554A5" w:rsidRPr="00F35A04" w:rsidRDefault="005554A5" w:rsidP="005554A5">
            <w:pPr>
              <w:rPr>
                <w:rFonts w:ascii="Verdana" w:hAnsi="Verdana"/>
                <w:sz w:val="20"/>
                <w:szCs w:val="20"/>
              </w:rPr>
            </w:pPr>
          </w:p>
          <w:p w14:paraId="197E33E2" w14:textId="77777777"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14:paraId="227BA9FD" w14:textId="77777777" w:rsidR="009511E7" w:rsidRPr="00F35A04" w:rsidRDefault="009511E7" w:rsidP="009511E7">
      <w:pPr>
        <w:rPr>
          <w:rFonts w:ascii="Verdana" w:hAnsi="Verdana" w:cs="Arial"/>
          <w:color w:val="000000"/>
          <w:sz w:val="20"/>
          <w:szCs w:val="20"/>
          <w:lang w:val="en-US"/>
        </w:rPr>
      </w:pPr>
    </w:p>
    <w:p w14:paraId="7D3521B4" w14:textId="77777777" w:rsidR="009F245F" w:rsidRPr="00F35A04" w:rsidRDefault="009F245F" w:rsidP="009511E7">
      <w:pPr>
        <w:rPr>
          <w:rFonts w:ascii="Verdana" w:hAnsi="Verdana" w:cs="Arial"/>
          <w:color w:val="000000"/>
          <w:sz w:val="20"/>
          <w:szCs w:val="20"/>
          <w:lang w:val="en-US"/>
        </w:rPr>
      </w:pPr>
    </w:p>
    <w:p w14:paraId="7A5AEB93" w14:textId="77777777" w:rsidR="009F245F" w:rsidRPr="00F35A04" w:rsidRDefault="009F245F" w:rsidP="009511E7">
      <w:pPr>
        <w:rPr>
          <w:rFonts w:ascii="Verdana" w:hAnsi="Verdana" w:cs="Arial"/>
          <w:color w:val="000000"/>
          <w:sz w:val="20"/>
          <w:szCs w:val="20"/>
          <w:lang w:val="en-US"/>
        </w:rPr>
      </w:pPr>
    </w:p>
    <w:p w14:paraId="0D0C69E8" w14:textId="77777777" w:rsidR="009F245F" w:rsidRPr="00F35A04" w:rsidRDefault="007B7856"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DC5379">
            <w:rPr>
              <w:rStyle w:val="Style8"/>
            </w:rPr>
            <w:t>MIGRATION TO TABLE-DRIVEN CODE FORMS</w:t>
          </w:r>
        </w:sdtContent>
      </w:sdt>
    </w:p>
    <w:p w14:paraId="45139EA2" w14:textId="77777777" w:rsidR="008E6C3A" w:rsidRDefault="008E6C3A" w:rsidP="008E6C3A">
      <w:pPr>
        <w:ind w:left="1208" w:right="1389"/>
        <w:jc w:val="center"/>
        <w:rPr>
          <w:rFonts w:ascii="Verdana" w:hAnsi="Verdana" w:cs="Arial"/>
          <w:b/>
          <w:sz w:val="20"/>
          <w:szCs w:val="20"/>
        </w:rPr>
      </w:pPr>
      <w:bookmarkStart w:id="0" w:name="Text2"/>
      <w:bookmarkStart w:id="1" w:name="_GoBack"/>
      <w:bookmarkEnd w:id="1"/>
    </w:p>
    <w:bookmarkEnd w:id="0"/>
    <w:p w14:paraId="1CB98771" w14:textId="77777777" w:rsidR="009F245F" w:rsidRPr="00F35A04" w:rsidRDefault="00DC5379" w:rsidP="008E6C3A">
      <w:pPr>
        <w:ind w:left="1208" w:right="1389"/>
        <w:jc w:val="center"/>
        <w:rPr>
          <w:rFonts w:ascii="Verdana" w:hAnsi="Verdana" w:cs="Arial"/>
          <w:b/>
          <w:sz w:val="20"/>
          <w:szCs w:val="20"/>
        </w:rPr>
      </w:pPr>
      <w:r w:rsidRPr="00DC5379">
        <w:rPr>
          <w:rStyle w:val="Style7"/>
        </w:rPr>
        <w:t>Status of the migration to TDCF in RA II</w:t>
      </w:r>
    </w:p>
    <w:p w14:paraId="148DC4AF" w14:textId="77777777"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DC5379" w:rsidRPr="00DC5379">
        <w:rPr>
          <w:rFonts w:ascii="Verdana" w:hAnsi="Verdana"/>
          <w:i/>
          <w:sz w:val="20"/>
          <w:szCs w:val="20"/>
        </w:rPr>
        <w:t>Shuichi Ikeda and Jitsuko Hasegawa (Japan)</w:t>
      </w:r>
    </w:p>
    <w:p w14:paraId="1DBF1DC1" w14:textId="77777777" w:rsidR="009F245F" w:rsidRPr="00F35A04" w:rsidRDefault="009F245F" w:rsidP="009F245F">
      <w:pPr>
        <w:jc w:val="center"/>
        <w:rPr>
          <w:rFonts w:ascii="Verdana" w:hAnsi="Verdana"/>
          <w:sz w:val="20"/>
          <w:szCs w:val="20"/>
        </w:rPr>
      </w:pPr>
    </w:p>
    <w:p w14:paraId="47E54716"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41E4E5E4" w14:textId="77777777" w:rsidR="009F245F" w:rsidRPr="00F35A04" w:rsidRDefault="009F245F" w:rsidP="009F245F">
      <w:pPr>
        <w:tabs>
          <w:tab w:val="center" w:pos="4680"/>
        </w:tabs>
        <w:ind w:left="440" w:right="399"/>
        <w:jc w:val="center"/>
        <w:rPr>
          <w:rFonts w:ascii="Verdana" w:hAnsi="Verdana"/>
          <w:sz w:val="20"/>
          <w:szCs w:val="20"/>
        </w:rPr>
      </w:pPr>
    </w:p>
    <w:p w14:paraId="05543FF0" w14:textId="77777777"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14:paraId="0C258114" w14:textId="77777777" w:rsidR="009F245F" w:rsidRPr="00F35A04" w:rsidRDefault="009F245F" w:rsidP="009F245F">
      <w:pPr>
        <w:ind w:left="440" w:right="399"/>
        <w:jc w:val="center"/>
        <w:rPr>
          <w:rFonts w:ascii="Verdana" w:hAnsi="Verdana"/>
          <w:sz w:val="20"/>
          <w:szCs w:val="20"/>
        </w:rPr>
      </w:pPr>
    </w:p>
    <w:p w14:paraId="15D59A29" w14:textId="5F7129E9" w:rsidR="009F245F" w:rsidRPr="00F35A04" w:rsidRDefault="00DC5379" w:rsidP="00DC5379">
      <w:pPr>
        <w:pStyle w:val="BodyText"/>
        <w:ind w:left="567" w:right="567" w:firstLine="567"/>
        <w:rPr>
          <w:rFonts w:ascii="Verdana" w:hAnsi="Verdana"/>
          <w:sz w:val="20"/>
          <w:szCs w:val="20"/>
        </w:rPr>
      </w:pPr>
      <w:r w:rsidRPr="00DC5379">
        <w:rPr>
          <w:rFonts w:ascii="Verdana" w:hAnsi="Verdana"/>
          <w:sz w:val="20"/>
          <w:szCs w:val="20"/>
        </w:rPr>
        <w:t xml:space="preserve">The document describes the status of migration to Table-Driven Code Forms in RA II, highlighting monitoring results in </w:t>
      </w:r>
      <w:r w:rsidR="006D3E04">
        <w:rPr>
          <w:rFonts w:ascii="Verdana" w:hAnsi="Verdana" w:hint="eastAsia"/>
          <w:sz w:val="20"/>
          <w:szCs w:val="20"/>
          <w:lang w:eastAsia="ja-JP"/>
        </w:rPr>
        <w:t>January</w:t>
      </w:r>
      <w:r w:rsidRPr="00DC5379">
        <w:rPr>
          <w:rFonts w:ascii="Verdana" w:hAnsi="Verdana"/>
          <w:sz w:val="20"/>
          <w:szCs w:val="20"/>
        </w:rPr>
        <w:t xml:space="preserve"> </w:t>
      </w:r>
      <w:r w:rsidR="006D3E04">
        <w:rPr>
          <w:rFonts w:ascii="Verdana" w:hAnsi="Verdana" w:hint="eastAsia"/>
          <w:sz w:val="20"/>
          <w:szCs w:val="20"/>
          <w:lang w:eastAsia="ja-JP"/>
        </w:rPr>
        <w:t>2019</w:t>
      </w:r>
      <w:r w:rsidRPr="00DC5379">
        <w:rPr>
          <w:rFonts w:ascii="Verdana" w:hAnsi="Verdana"/>
          <w:sz w:val="20"/>
          <w:szCs w:val="20"/>
        </w:rPr>
        <w:t xml:space="preserve"> and related activities of Members since the last meeting.</w:t>
      </w:r>
    </w:p>
    <w:p w14:paraId="3E87CBB8" w14:textId="77777777" w:rsidR="009F245F" w:rsidRPr="00F35A04" w:rsidRDefault="009F245F" w:rsidP="009F245F">
      <w:pPr>
        <w:ind w:left="440" w:right="399"/>
        <w:jc w:val="center"/>
        <w:rPr>
          <w:rFonts w:ascii="Verdana" w:hAnsi="Verdana"/>
          <w:sz w:val="20"/>
          <w:szCs w:val="20"/>
          <w:lang w:val="en-US"/>
        </w:rPr>
      </w:pPr>
    </w:p>
    <w:p w14:paraId="7A9F2DDA"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47AF067F" w14:textId="77777777" w:rsidR="009F245F" w:rsidRPr="00F35A04" w:rsidRDefault="009F245F" w:rsidP="009F245F">
      <w:pPr>
        <w:jc w:val="center"/>
        <w:rPr>
          <w:rFonts w:ascii="Verdana" w:hAnsi="Verdana"/>
          <w:sz w:val="20"/>
          <w:szCs w:val="20"/>
        </w:rPr>
      </w:pPr>
    </w:p>
    <w:p w14:paraId="20990B2F"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14:paraId="2A4EC3C5" w14:textId="77777777" w:rsidR="009F245F" w:rsidRPr="00F35A04" w:rsidRDefault="009F245F" w:rsidP="009F245F">
      <w:pPr>
        <w:rPr>
          <w:rFonts w:ascii="Verdana" w:hAnsi="Verdana"/>
          <w:sz w:val="20"/>
          <w:szCs w:val="20"/>
        </w:rPr>
      </w:pPr>
    </w:p>
    <w:p w14:paraId="2AB93129" w14:textId="77777777" w:rsidR="009F245F" w:rsidRDefault="00DC5379" w:rsidP="00EC3262">
      <w:pPr>
        <w:pStyle w:val="BodyText"/>
        <w:ind w:firstLine="567"/>
        <w:rPr>
          <w:rFonts w:ascii="Verdana" w:hAnsi="Verdana"/>
          <w:sz w:val="20"/>
          <w:szCs w:val="20"/>
        </w:rPr>
      </w:pPr>
      <w:r w:rsidRPr="00DC5379">
        <w:rPr>
          <w:rFonts w:ascii="Verdana" w:hAnsi="Verdana"/>
          <w:sz w:val="20"/>
          <w:szCs w:val="20"/>
        </w:rPr>
        <w:t>The meeting is requested to note the information</w:t>
      </w:r>
      <w:r>
        <w:rPr>
          <w:rFonts w:ascii="Verdana" w:hAnsi="Verdana"/>
          <w:sz w:val="20"/>
          <w:szCs w:val="20"/>
        </w:rPr>
        <w:t>.</w:t>
      </w:r>
    </w:p>
    <w:p w14:paraId="1D9FCE82" w14:textId="77777777" w:rsidR="00EC3262" w:rsidRPr="00F35A04" w:rsidRDefault="00EC3262" w:rsidP="009F245F">
      <w:pPr>
        <w:pStyle w:val="BodyText"/>
        <w:rPr>
          <w:rFonts w:ascii="Verdana" w:hAnsi="Verdana"/>
          <w:sz w:val="20"/>
          <w:szCs w:val="20"/>
        </w:rPr>
      </w:pPr>
    </w:p>
    <w:p w14:paraId="16C21830" w14:textId="77777777" w:rsidR="009F245F" w:rsidRPr="00F35A04" w:rsidRDefault="009F245F" w:rsidP="009F245F">
      <w:pPr>
        <w:jc w:val="center"/>
        <w:rPr>
          <w:rFonts w:ascii="Verdana" w:hAnsi="Verdana"/>
          <w:sz w:val="20"/>
          <w:szCs w:val="20"/>
        </w:rPr>
      </w:pPr>
    </w:p>
    <w:p w14:paraId="2F269D70" w14:textId="77777777" w:rsidR="009F245F" w:rsidRPr="00F35A04" w:rsidRDefault="009F245F" w:rsidP="009F245F">
      <w:pPr>
        <w:jc w:val="both"/>
        <w:rPr>
          <w:rFonts w:ascii="Verdana" w:hAnsi="Verdana"/>
          <w:sz w:val="20"/>
          <w:szCs w:val="20"/>
        </w:rPr>
      </w:pPr>
    </w:p>
    <w:p w14:paraId="7772ADC5" w14:textId="77777777" w:rsidR="009F245F" w:rsidRPr="00F35A04" w:rsidRDefault="009F245F" w:rsidP="009F245F">
      <w:pPr>
        <w:spacing w:after="40"/>
        <w:jc w:val="both"/>
        <w:rPr>
          <w:rFonts w:ascii="Verdana" w:hAnsi="Verdana"/>
          <w:sz w:val="20"/>
          <w:szCs w:val="20"/>
        </w:rPr>
      </w:pPr>
    </w:p>
    <w:p w14:paraId="058167D7" w14:textId="77777777"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14:paraId="50794D97" w14:textId="77777777"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r w:rsidR="00DC5379" w:rsidRPr="00DC5379">
        <w:rPr>
          <w:rFonts w:ascii="Verdana" w:hAnsi="Verdana"/>
          <w:sz w:val="20"/>
          <w:szCs w:val="20"/>
        </w:rPr>
        <w:t>None</w:t>
      </w:r>
    </w:p>
    <w:p w14:paraId="58A27352" w14:textId="77777777" w:rsidR="009F245F" w:rsidRPr="00F35A04" w:rsidRDefault="009F245F" w:rsidP="009F245F">
      <w:pPr>
        <w:spacing w:after="40"/>
        <w:ind w:left="284"/>
        <w:jc w:val="both"/>
        <w:rPr>
          <w:rFonts w:ascii="Verdana" w:hAnsi="Verdana"/>
          <w:b/>
          <w:sz w:val="20"/>
          <w:szCs w:val="20"/>
        </w:rPr>
      </w:pPr>
    </w:p>
    <w:p w14:paraId="6B2EE5FB" w14:textId="77777777" w:rsidR="009F245F" w:rsidRPr="00F35A04" w:rsidRDefault="009F245F" w:rsidP="009F245F">
      <w:pPr>
        <w:spacing w:after="40"/>
        <w:ind w:left="284"/>
        <w:jc w:val="both"/>
        <w:rPr>
          <w:rFonts w:ascii="Verdana" w:hAnsi="Verdana"/>
          <w:sz w:val="20"/>
          <w:szCs w:val="20"/>
        </w:rPr>
      </w:pPr>
    </w:p>
    <w:p w14:paraId="0139BC2F" w14:textId="77777777" w:rsidR="00DC5379" w:rsidRPr="00F35A04" w:rsidRDefault="009F245F" w:rsidP="00DC5379">
      <w:pPr>
        <w:rPr>
          <w:rFonts w:ascii="Verdana" w:hAnsi="Verdana"/>
          <w:b/>
          <w:sz w:val="20"/>
          <w:szCs w:val="20"/>
        </w:rPr>
      </w:pPr>
      <w:r w:rsidRPr="00F35A04">
        <w:rPr>
          <w:rFonts w:ascii="Verdana" w:hAnsi="Verdana"/>
          <w:b/>
          <w:sz w:val="20"/>
          <w:szCs w:val="20"/>
        </w:rPr>
        <w:br w:type="page"/>
      </w:r>
      <w:r w:rsidR="00DC5379" w:rsidRPr="00F35A04">
        <w:rPr>
          <w:rFonts w:ascii="Verdana" w:hAnsi="Verdana"/>
          <w:b/>
          <w:sz w:val="20"/>
          <w:szCs w:val="20"/>
        </w:rPr>
        <w:lastRenderedPageBreak/>
        <w:t>DISCUSSIONS</w:t>
      </w:r>
    </w:p>
    <w:p w14:paraId="1EF4FD11" w14:textId="77777777" w:rsidR="00DC5379" w:rsidRPr="00921B12" w:rsidRDefault="00DC5379" w:rsidP="00DC5379">
      <w:pPr>
        <w:rPr>
          <w:rFonts w:ascii="Verdana" w:hAnsi="Verdana"/>
          <w:sz w:val="20"/>
          <w:szCs w:val="20"/>
        </w:rPr>
      </w:pPr>
    </w:p>
    <w:p w14:paraId="379D2C2D" w14:textId="77777777" w:rsidR="00DC5379" w:rsidRPr="00921B12" w:rsidRDefault="00DC5379" w:rsidP="00DC5379">
      <w:pPr>
        <w:rPr>
          <w:rFonts w:ascii="Verdana" w:hAnsi="Verdana"/>
          <w:b/>
        </w:rPr>
      </w:pPr>
      <w:bookmarkStart w:id="2" w:name="Text7"/>
      <w:r w:rsidRPr="00921B12">
        <w:rPr>
          <w:rFonts w:ascii="Verdana" w:hAnsi="Verdana"/>
          <w:b/>
        </w:rPr>
        <w:t>1</w:t>
      </w:r>
      <w:r w:rsidRPr="00921B12">
        <w:rPr>
          <w:rFonts w:ascii="Verdana" w:hAnsi="Verdana"/>
          <w:b/>
        </w:rPr>
        <w:tab/>
        <w:t>Background of this report</w:t>
      </w:r>
    </w:p>
    <w:p w14:paraId="23B485C4" w14:textId="77777777" w:rsidR="00DC5379" w:rsidRPr="00921B12" w:rsidRDefault="00DC5379" w:rsidP="00DC5379">
      <w:pPr>
        <w:rPr>
          <w:rFonts w:ascii="Verdana" w:hAnsi="Verdana"/>
        </w:rPr>
      </w:pPr>
      <w:r w:rsidRPr="00921B12">
        <w:rPr>
          <w:rFonts w:ascii="Verdana" w:hAnsi="Verdana"/>
          <w:lang w:eastAsia="ja-JP"/>
        </w:rPr>
        <w:t xml:space="preserve">Following the decisions of </w:t>
      </w:r>
      <w:r w:rsidRPr="00921B12">
        <w:rPr>
          <w:rFonts w:ascii="Verdana" w:hAnsi="Verdana"/>
        </w:rPr>
        <w:t xml:space="preserve">the </w:t>
      </w:r>
      <w:r w:rsidRPr="00921B12">
        <w:rPr>
          <w:rFonts w:ascii="Verdana" w:hAnsi="Verdana"/>
          <w:lang w:eastAsia="ja-JP"/>
        </w:rPr>
        <w:t>sixteenth</w:t>
      </w:r>
      <w:r w:rsidRPr="00921B12">
        <w:rPr>
          <w:rFonts w:ascii="Verdana" w:hAnsi="Verdana"/>
        </w:rPr>
        <w:t xml:space="preserve"> session of Regional Association II (</w:t>
      </w:r>
      <w:r w:rsidRPr="00921B12">
        <w:rPr>
          <w:rFonts w:ascii="Verdana" w:hAnsi="Verdana"/>
          <w:lang w:eastAsia="ja-JP"/>
        </w:rPr>
        <w:t>Abu Dhabi</w:t>
      </w:r>
      <w:r w:rsidRPr="00921B12">
        <w:rPr>
          <w:rFonts w:ascii="Verdana" w:hAnsi="Verdana"/>
        </w:rPr>
        <w:t xml:space="preserve">, </w:t>
      </w:r>
      <w:r w:rsidRPr="00921B12">
        <w:rPr>
          <w:rFonts w:ascii="Verdana" w:hAnsi="Verdana"/>
          <w:lang w:eastAsia="ja-JP"/>
        </w:rPr>
        <w:t>February</w:t>
      </w:r>
      <w:r w:rsidRPr="00921B12">
        <w:rPr>
          <w:rFonts w:ascii="Verdana" w:hAnsi="Verdana"/>
        </w:rPr>
        <w:t xml:space="preserve"> </w:t>
      </w:r>
      <w:r w:rsidRPr="00921B12">
        <w:rPr>
          <w:rFonts w:ascii="Verdana" w:hAnsi="Verdana"/>
          <w:lang w:eastAsia="ja-JP"/>
        </w:rPr>
        <w:t>12</w:t>
      </w:r>
      <w:r w:rsidRPr="00921B12">
        <w:rPr>
          <w:rFonts w:ascii="Verdana" w:hAnsi="Verdana"/>
        </w:rPr>
        <w:t>-</w:t>
      </w:r>
      <w:r w:rsidRPr="00921B12">
        <w:rPr>
          <w:rFonts w:ascii="Verdana" w:hAnsi="Verdana"/>
          <w:lang w:eastAsia="ja-JP"/>
        </w:rPr>
        <w:t>16</w:t>
      </w:r>
      <w:r w:rsidRPr="00921B12">
        <w:rPr>
          <w:rFonts w:ascii="Verdana" w:hAnsi="Verdana"/>
        </w:rPr>
        <w:t>, 20</w:t>
      </w:r>
      <w:r w:rsidRPr="00921B12">
        <w:rPr>
          <w:rFonts w:ascii="Verdana" w:hAnsi="Verdana"/>
          <w:lang w:eastAsia="ja-JP"/>
        </w:rPr>
        <w:t>17</w:t>
      </w:r>
      <w:r w:rsidRPr="00921B12">
        <w:rPr>
          <w:rFonts w:ascii="Verdana" w:hAnsi="Verdana"/>
        </w:rPr>
        <w:t>)</w:t>
      </w:r>
      <w:r w:rsidRPr="00921B12">
        <w:rPr>
          <w:rFonts w:ascii="Verdana" w:hAnsi="Verdana"/>
          <w:lang w:eastAsia="ja-JP"/>
        </w:rPr>
        <w:t>, the Management Group defined working structures and the terms of reference of Working Groups and Leaders. The Leader in Data Representation and Metadata, appointed under the Working Group on WMO Integrated Global Observing System (WIGOS) and WMO Information System (WIS) (WG-WIGOS/WIS), is responsible for:</w:t>
      </w:r>
    </w:p>
    <w:p w14:paraId="5F7C700A" w14:textId="77777777" w:rsidR="00DC5379" w:rsidRPr="00921B12" w:rsidRDefault="00DC5379" w:rsidP="00DC5379">
      <w:pPr>
        <w:ind w:leftChars="200" w:left="770" w:hangingChars="150" w:hanging="330"/>
        <w:rPr>
          <w:rFonts w:ascii="Verdana" w:hAnsi="Verdana"/>
          <w:i/>
          <w:lang w:eastAsia="ja-JP"/>
        </w:rPr>
      </w:pPr>
      <w:r w:rsidRPr="00921B12">
        <w:rPr>
          <w:rFonts w:ascii="Verdana" w:hAnsi="Verdana"/>
          <w:i/>
          <w:lang w:eastAsia="ja-JP"/>
        </w:rPr>
        <w:t>(a)</w:t>
      </w:r>
      <w:r w:rsidRPr="00921B12">
        <w:rPr>
          <w:rFonts w:ascii="Verdana" w:hAnsi="Verdana"/>
          <w:i/>
          <w:lang w:eastAsia="ja-JP"/>
        </w:rPr>
        <w:tab/>
        <w:t>Keeping under review inter-programme data representation matters, including migration to Table Driven Code Forms and regional codes, and make recommendations.</w:t>
      </w:r>
    </w:p>
    <w:p w14:paraId="43E3268B" w14:textId="77777777" w:rsidR="00DC5379" w:rsidRPr="00921B12" w:rsidRDefault="00DC5379" w:rsidP="00DC5379">
      <w:pPr>
        <w:ind w:leftChars="200" w:left="770" w:hangingChars="150" w:hanging="330"/>
        <w:rPr>
          <w:rFonts w:ascii="Verdana" w:hAnsi="Verdana"/>
          <w:i/>
          <w:lang w:eastAsia="ja-JP"/>
        </w:rPr>
      </w:pPr>
      <w:r w:rsidRPr="00921B12">
        <w:rPr>
          <w:rFonts w:ascii="Verdana" w:hAnsi="Verdana"/>
          <w:i/>
          <w:lang w:eastAsia="ja-JP"/>
        </w:rPr>
        <w:t>(b)</w:t>
      </w:r>
      <w:r w:rsidRPr="00921B12">
        <w:rPr>
          <w:rFonts w:ascii="Verdana" w:hAnsi="Verdana"/>
          <w:i/>
          <w:lang w:eastAsia="ja-JP"/>
        </w:rPr>
        <w:tab/>
        <w:t>Keeping under review the status of implementation of the WIS DAR metadata catalogue and migration from WMO Catalogue of Meteorological Bulletins (Volume C1) to DAR metadata.</w:t>
      </w:r>
    </w:p>
    <w:p w14:paraId="7C4A8672" w14:textId="047C0525" w:rsidR="00DC5379" w:rsidRPr="00921B12" w:rsidRDefault="00DC5379" w:rsidP="00DC5379">
      <w:pPr>
        <w:rPr>
          <w:rFonts w:ascii="Verdana" w:hAnsi="Verdana"/>
          <w:lang w:eastAsia="ja-JP"/>
        </w:rPr>
      </w:pPr>
      <w:r w:rsidRPr="00921B12">
        <w:rPr>
          <w:rFonts w:ascii="Verdana" w:hAnsi="Verdana"/>
        </w:rPr>
        <w:t xml:space="preserve">In accordance with this mandate, the leader monitors and gives technical assistance as well as conducts survey on migration status on a regular basis.  This document summarizes the </w:t>
      </w:r>
      <w:r w:rsidRPr="00921B12">
        <w:rPr>
          <w:rFonts w:ascii="Verdana" w:hAnsi="Verdana"/>
          <w:lang w:eastAsia="ja-JP"/>
        </w:rPr>
        <w:t xml:space="preserve">monitoring </w:t>
      </w:r>
      <w:r w:rsidRPr="00921B12">
        <w:rPr>
          <w:rFonts w:ascii="Verdana" w:hAnsi="Verdana"/>
        </w:rPr>
        <w:t xml:space="preserve">results of migration status of RA-II Members as of </w:t>
      </w:r>
      <w:r w:rsidR="006D3E04">
        <w:rPr>
          <w:rFonts w:ascii="Verdana" w:hAnsi="Verdana" w:hint="eastAsia"/>
          <w:lang w:eastAsia="ja-JP"/>
        </w:rPr>
        <w:t>January</w:t>
      </w:r>
      <w:r w:rsidRPr="00921B12">
        <w:rPr>
          <w:rFonts w:ascii="Verdana" w:hAnsi="Verdana"/>
          <w:lang w:eastAsia="ja-JP"/>
        </w:rPr>
        <w:t xml:space="preserve"> </w:t>
      </w:r>
      <w:r w:rsidR="006D3E04">
        <w:rPr>
          <w:rFonts w:ascii="Verdana" w:hAnsi="Verdana" w:hint="eastAsia"/>
          <w:lang w:eastAsia="ja-JP"/>
        </w:rPr>
        <w:t>2019</w:t>
      </w:r>
      <w:r w:rsidRPr="00921B12">
        <w:rPr>
          <w:rFonts w:ascii="Verdana" w:hAnsi="Verdana"/>
        </w:rPr>
        <w:t xml:space="preserve"> and related activities by RA-II Members during the period between </w:t>
      </w:r>
      <w:r w:rsidRPr="00921B12">
        <w:rPr>
          <w:rFonts w:ascii="Verdana" w:hAnsi="Verdana"/>
          <w:lang w:eastAsia="ja-JP"/>
        </w:rPr>
        <w:t>July</w:t>
      </w:r>
      <w:r w:rsidRPr="00921B12">
        <w:rPr>
          <w:rFonts w:ascii="Verdana" w:hAnsi="Verdana"/>
        </w:rPr>
        <w:t xml:space="preserve"> </w:t>
      </w:r>
      <w:r w:rsidR="006D3E04">
        <w:rPr>
          <w:rFonts w:ascii="Verdana" w:hAnsi="Verdana" w:hint="eastAsia"/>
          <w:lang w:eastAsia="ja-JP"/>
        </w:rPr>
        <w:t>2018</w:t>
      </w:r>
      <w:r w:rsidRPr="00921B12">
        <w:rPr>
          <w:rFonts w:ascii="Verdana" w:hAnsi="Verdana"/>
        </w:rPr>
        <w:t xml:space="preserve"> and </w:t>
      </w:r>
      <w:r w:rsidR="006D3E04">
        <w:rPr>
          <w:rFonts w:ascii="Verdana" w:hAnsi="Verdana" w:hint="eastAsia"/>
          <w:lang w:eastAsia="ja-JP"/>
        </w:rPr>
        <w:t>January</w:t>
      </w:r>
      <w:r w:rsidRPr="00921B12">
        <w:rPr>
          <w:rFonts w:ascii="Verdana" w:hAnsi="Verdana"/>
        </w:rPr>
        <w:t xml:space="preserve"> </w:t>
      </w:r>
      <w:r w:rsidR="006D3E04">
        <w:rPr>
          <w:rFonts w:ascii="Verdana" w:hAnsi="Verdana" w:hint="eastAsia"/>
          <w:lang w:eastAsia="ja-JP"/>
        </w:rPr>
        <w:t>2019</w:t>
      </w:r>
      <w:r w:rsidRPr="00921B12">
        <w:rPr>
          <w:rFonts w:ascii="Verdana" w:hAnsi="Verdana"/>
        </w:rPr>
        <w:t>.</w:t>
      </w:r>
    </w:p>
    <w:p w14:paraId="5214CF74" w14:textId="77777777" w:rsidR="00DC5379" w:rsidRPr="00921B12" w:rsidRDefault="00DC5379" w:rsidP="00DC5379">
      <w:pPr>
        <w:rPr>
          <w:rFonts w:ascii="Verdana" w:hAnsi="Verdana"/>
          <w:lang w:eastAsia="ja-JP"/>
        </w:rPr>
      </w:pPr>
    </w:p>
    <w:p w14:paraId="036781B7" w14:textId="77777777" w:rsidR="00DC5379" w:rsidRPr="00921B12" w:rsidRDefault="00DC5379" w:rsidP="00DC5379">
      <w:pPr>
        <w:spacing w:beforeLines="50" w:before="163"/>
        <w:rPr>
          <w:rFonts w:ascii="Verdana" w:hAnsi="Verdana"/>
          <w:b/>
          <w:lang w:eastAsia="ja-JP"/>
        </w:rPr>
      </w:pPr>
      <w:r w:rsidRPr="00921B12">
        <w:rPr>
          <w:rFonts w:ascii="Verdana" w:hAnsi="Verdana"/>
          <w:b/>
          <w:lang w:eastAsia="ja-JP"/>
        </w:rPr>
        <w:t>2</w:t>
      </w:r>
      <w:r w:rsidRPr="00921B12">
        <w:rPr>
          <w:rFonts w:ascii="Verdana" w:hAnsi="Verdana"/>
          <w:b/>
          <w:lang w:eastAsia="ja-JP"/>
        </w:rPr>
        <w:tab/>
        <w:t>RA-II Member activities related to TDCF</w:t>
      </w:r>
    </w:p>
    <w:p w14:paraId="34E80486" w14:textId="7803E5CC" w:rsidR="00DC5379" w:rsidRPr="00921B12" w:rsidRDefault="00DC5379" w:rsidP="00DC5379">
      <w:pPr>
        <w:spacing w:afterLines="50" w:after="163"/>
        <w:jc w:val="both"/>
        <w:rPr>
          <w:rFonts w:ascii="Verdana" w:hAnsi="Verdana"/>
          <w:bCs/>
          <w:lang w:eastAsia="ja-JP"/>
        </w:rPr>
      </w:pPr>
      <w:r w:rsidRPr="00921B12">
        <w:rPr>
          <w:rFonts w:ascii="Verdana" w:hAnsi="Verdana"/>
          <w:bCs/>
          <w:lang w:eastAsia="ja-JP"/>
        </w:rPr>
        <w:t xml:space="preserve">Several activities related to TDCF were reported by RA-II Members since the last meeting in </w:t>
      </w:r>
      <w:r w:rsidR="006D3E04">
        <w:rPr>
          <w:rFonts w:ascii="Verdana" w:hAnsi="Verdana" w:hint="eastAsia"/>
          <w:bCs/>
          <w:lang w:eastAsia="ja-JP"/>
        </w:rPr>
        <w:t>May</w:t>
      </w:r>
      <w:r w:rsidRPr="00921B12">
        <w:rPr>
          <w:rFonts w:ascii="Verdana" w:hAnsi="Verdana"/>
          <w:bCs/>
          <w:lang w:eastAsia="ja-JP"/>
        </w:rPr>
        <w:t xml:space="preserve"> </w:t>
      </w:r>
      <w:r w:rsidR="006D3E04">
        <w:rPr>
          <w:rFonts w:ascii="Verdana" w:hAnsi="Verdana" w:hint="eastAsia"/>
          <w:bCs/>
          <w:lang w:eastAsia="ja-JP"/>
        </w:rPr>
        <w:t>2018</w:t>
      </w:r>
      <w:r w:rsidRPr="00921B12">
        <w:rPr>
          <w:rFonts w:ascii="Verdana" w:hAnsi="Verdana"/>
          <w:bCs/>
          <w:lang w:eastAsia="ja-JP"/>
        </w:rPr>
        <w:t>:</w:t>
      </w:r>
    </w:p>
    <w:p w14:paraId="4402679D" w14:textId="77777777" w:rsidR="0004754A" w:rsidRPr="007F34D5" w:rsidRDefault="0004754A" w:rsidP="00DC5379">
      <w:pPr>
        <w:spacing w:afterLines="50" w:after="163"/>
        <w:jc w:val="both"/>
        <w:rPr>
          <w:rFonts w:ascii="Verdana" w:hAnsi="Verdana"/>
          <w:bCs/>
          <w:lang w:eastAsia="ja-JP"/>
        </w:rPr>
      </w:pPr>
      <w:r w:rsidRPr="007F34D5">
        <w:rPr>
          <w:rFonts w:ascii="Verdana" w:hAnsi="Verdana" w:hint="eastAsia"/>
          <w:bCs/>
          <w:lang w:eastAsia="ja-JP"/>
        </w:rPr>
        <w:t>2.1</w:t>
      </w:r>
      <w:r w:rsidRPr="007F34D5">
        <w:rPr>
          <w:rFonts w:ascii="Verdana" w:hAnsi="Verdana"/>
          <w:bCs/>
          <w:lang w:eastAsia="ja-JP"/>
        </w:rPr>
        <w:t xml:space="preserve"> </w:t>
      </w:r>
      <w:r w:rsidRPr="007F34D5">
        <w:rPr>
          <w:rFonts w:ascii="Verdana" w:hAnsi="Verdana"/>
          <w:bCs/>
          <w:lang w:eastAsia="ja-JP"/>
        </w:rPr>
        <w:tab/>
      </w:r>
      <w:r w:rsidRPr="00452657">
        <w:rPr>
          <w:rFonts w:ascii="Verdana" w:hAnsi="Verdana"/>
          <w:bCs/>
          <w:i/>
          <w:lang w:eastAsia="ja-JP"/>
        </w:rPr>
        <w:t>Republic of Korea</w:t>
      </w:r>
    </w:p>
    <w:p w14:paraId="57155DFC" w14:textId="144502E6" w:rsidR="0004754A" w:rsidRDefault="0004754A" w:rsidP="00341107">
      <w:pPr>
        <w:spacing w:afterLines="50" w:after="163"/>
        <w:jc w:val="both"/>
        <w:rPr>
          <w:rFonts w:ascii="Verdana" w:hAnsi="Verdana"/>
          <w:bCs/>
          <w:lang w:eastAsia="ja-JP"/>
        </w:rPr>
      </w:pPr>
      <w:r w:rsidRPr="001F28D7">
        <w:rPr>
          <w:rFonts w:ascii="Verdana" w:hAnsi="Verdana" w:hint="eastAsia"/>
          <w:bCs/>
          <w:lang w:eastAsia="ja-JP"/>
        </w:rPr>
        <w:t xml:space="preserve">Republic of Korea started </w:t>
      </w:r>
      <w:r w:rsidRPr="001F28D7">
        <w:rPr>
          <w:rFonts w:ascii="Verdana" w:hAnsi="Verdana"/>
          <w:bCs/>
          <w:lang w:eastAsia="ja-JP"/>
        </w:rPr>
        <w:t>dissemination</w:t>
      </w:r>
      <w:r w:rsidRPr="001F28D7">
        <w:rPr>
          <w:rFonts w:ascii="Verdana" w:hAnsi="Verdana" w:hint="eastAsia"/>
          <w:bCs/>
          <w:lang w:eastAsia="ja-JP"/>
        </w:rPr>
        <w:t xml:space="preserve"> </w:t>
      </w:r>
      <w:r w:rsidRPr="001F28D7">
        <w:rPr>
          <w:rFonts w:ascii="Verdana" w:hAnsi="Verdana"/>
          <w:bCs/>
          <w:lang w:eastAsia="ja-JP"/>
        </w:rPr>
        <w:t xml:space="preserve">of </w:t>
      </w:r>
      <w:r w:rsidR="0073373A" w:rsidRPr="001F28D7">
        <w:rPr>
          <w:rFonts w:ascii="Verdana" w:hAnsi="Verdana"/>
          <w:bCs/>
          <w:lang w:eastAsia="ja-JP"/>
        </w:rPr>
        <w:t>hourly</w:t>
      </w:r>
      <w:r w:rsidRPr="001F28D7">
        <w:rPr>
          <w:rFonts w:ascii="Verdana" w:hAnsi="Verdana"/>
          <w:bCs/>
          <w:lang w:eastAsia="ja-JP"/>
        </w:rPr>
        <w:t xml:space="preserve"> </w:t>
      </w:r>
      <w:r w:rsidR="0073373A" w:rsidRPr="001F28D7">
        <w:rPr>
          <w:rFonts w:ascii="Verdana" w:hAnsi="Verdana"/>
          <w:bCs/>
          <w:lang w:eastAsia="ja-JP"/>
        </w:rPr>
        <w:t>buoy observation</w:t>
      </w:r>
      <w:r w:rsidRPr="001F28D7">
        <w:rPr>
          <w:rFonts w:ascii="Verdana" w:hAnsi="Verdana"/>
          <w:bCs/>
          <w:lang w:eastAsia="ja-JP"/>
        </w:rPr>
        <w:t xml:space="preserve"> in BUFR format in June 2018 with GTS headings of IOBC[</w:t>
      </w:r>
      <w:r w:rsidRPr="007F34D5">
        <w:rPr>
          <w:rFonts w:ascii="Verdana" w:hAnsi="Verdana"/>
          <w:bCs/>
          <w:lang w:eastAsia="ja-JP"/>
        </w:rPr>
        <w:t>18, 40]</w:t>
      </w:r>
      <w:r w:rsidR="0073373A" w:rsidRPr="007F34D5">
        <w:rPr>
          <w:rFonts w:ascii="Verdana" w:hAnsi="Verdana"/>
          <w:bCs/>
          <w:lang w:eastAsia="ja-JP"/>
        </w:rPr>
        <w:t xml:space="preserve"> RKSL</w:t>
      </w:r>
      <w:r w:rsidRPr="007F34D5">
        <w:rPr>
          <w:rFonts w:ascii="Verdana" w:hAnsi="Verdana"/>
          <w:bCs/>
          <w:lang w:eastAsia="ja-JP"/>
        </w:rPr>
        <w:t>.</w:t>
      </w:r>
      <w:r w:rsidR="00341107">
        <w:rPr>
          <w:rFonts w:ascii="Verdana" w:hAnsi="Verdana"/>
          <w:bCs/>
          <w:lang w:eastAsia="ja-JP"/>
        </w:rPr>
        <w:t xml:space="preserve"> </w:t>
      </w:r>
    </w:p>
    <w:p w14:paraId="69C3755F" w14:textId="58B80952" w:rsidR="006706F8" w:rsidRPr="00452657" w:rsidRDefault="00341107" w:rsidP="00DC5379">
      <w:pPr>
        <w:spacing w:afterLines="50" w:after="163"/>
        <w:jc w:val="both"/>
        <w:rPr>
          <w:rFonts w:ascii="Verdana" w:hAnsi="Verdana"/>
          <w:bCs/>
          <w:i/>
          <w:lang w:eastAsia="ja-JP"/>
        </w:rPr>
      </w:pPr>
      <w:r>
        <w:rPr>
          <w:rFonts w:ascii="Verdana" w:hAnsi="Verdana" w:hint="eastAsia"/>
          <w:bCs/>
          <w:lang w:eastAsia="ja-JP"/>
        </w:rPr>
        <w:t>2.2</w:t>
      </w:r>
      <w:r w:rsidR="006706F8">
        <w:rPr>
          <w:rFonts w:ascii="Verdana" w:hAnsi="Verdana" w:hint="eastAsia"/>
          <w:bCs/>
          <w:lang w:eastAsia="ja-JP"/>
        </w:rPr>
        <w:tab/>
      </w:r>
      <w:r w:rsidR="006706F8" w:rsidRPr="00452657">
        <w:rPr>
          <w:rFonts w:ascii="Verdana" w:hAnsi="Verdana"/>
          <w:bCs/>
          <w:i/>
          <w:lang w:eastAsia="ja-JP"/>
        </w:rPr>
        <w:t>Russian Federation (Asia region)</w:t>
      </w:r>
    </w:p>
    <w:p w14:paraId="0A7A9BC6" w14:textId="77777777" w:rsidR="00892549" w:rsidRDefault="006706F8" w:rsidP="00DC5379">
      <w:pPr>
        <w:spacing w:afterLines="50" w:after="163"/>
        <w:jc w:val="both"/>
        <w:rPr>
          <w:rFonts w:ascii="Verdana" w:hAnsi="Verdana"/>
          <w:bCs/>
          <w:lang w:eastAsia="ja-JP"/>
        </w:rPr>
      </w:pPr>
      <w:r>
        <w:rPr>
          <w:rFonts w:ascii="Verdana" w:hAnsi="Verdana" w:hint="eastAsia"/>
          <w:bCs/>
          <w:lang w:eastAsia="ja-JP"/>
        </w:rPr>
        <w:t xml:space="preserve">Russian Federation </w:t>
      </w:r>
      <w:r w:rsidR="00892549">
        <w:rPr>
          <w:rFonts w:ascii="Verdana" w:hAnsi="Verdana"/>
          <w:bCs/>
          <w:lang w:eastAsia="ja-JP"/>
        </w:rPr>
        <w:t xml:space="preserve">started </w:t>
      </w:r>
      <w:r w:rsidR="007F34D5">
        <w:rPr>
          <w:rFonts w:ascii="Verdana" w:hAnsi="Verdana"/>
          <w:bCs/>
          <w:lang w:eastAsia="ja-JP"/>
        </w:rPr>
        <w:t xml:space="preserve">to </w:t>
      </w:r>
      <w:r w:rsidR="00892549">
        <w:rPr>
          <w:rFonts w:ascii="Verdana" w:hAnsi="Verdana"/>
          <w:bCs/>
          <w:lang w:eastAsia="ja-JP"/>
        </w:rPr>
        <w:t>disseminate upper-air observation data in BUFR format in November 2018</w:t>
      </w:r>
      <w:r w:rsidR="007F34D5">
        <w:rPr>
          <w:rFonts w:ascii="Verdana" w:hAnsi="Verdana"/>
          <w:bCs/>
          <w:lang w:eastAsia="ja-JP"/>
        </w:rPr>
        <w:t xml:space="preserve"> and January 2019. </w:t>
      </w:r>
      <w:r w:rsidR="00892549">
        <w:rPr>
          <w:rFonts w:ascii="Verdana" w:hAnsi="Verdana"/>
          <w:bCs/>
          <w:lang w:eastAsia="ja-JP"/>
        </w:rPr>
        <w:t>GTS headings are as follows:</w:t>
      </w:r>
    </w:p>
    <w:tbl>
      <w:tblPr>
        <w:tblW w:w="9776" w:type="dxa"/>
        <w:tblCellMar>
          <w:left w:w="99" w:type="dxa"/>
          <w:right w:w="99" w:type="dxa"/>
        </w:tblCellMar>
        <w:tblLook w:val="04A0" w:firstRow="1" w:lastRow="0" w:firstColumn="1" w:lastColumn="0" w:noHBand="0" w:noVBand="1"/>
      </w:tblPr>
      <w:tblGrid>
        <w:gridCol w:w="988"/>
        <w:gridCol w:w="850"/>
        <w:gridCol w:w="3969"/>
        <w:gridCol w:w="2693"/>
        <w:gridCol w:w="1276"/>
      </w:tblGrid>
      <w:tr w:rsidR="007F34D5" w:rsidRPr="00892549" w14:paraId="044F3927" w14:textId="77777777" w:rsidTr="00452657">
        <w:trPr>
          <w:trHeight w:val="37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C1BD" w14:textId="77777777" w:rsidR="00892549" w:rsidRPr="00D64522" w:rsidRDefault="00892549" w:rsidP="00892549">
            <w:pPr>
              <w:rPr>
                <w:rFonts w:ascii="Verdana" w:eastAsia="Yu Gothic" w:hAnsi="Verdana" w:cs="MS PGothic"/>
                <w:snapToGrid/>
                <w:color w:val="000000"/>
                <w:sz w:val="20"/>
                <w:szCs w:val="20"/>
                <w:lang w:val="en-US" w:eastAsia="ja-JP"/>
              </w:rPr>
            </w:pPr>
            <w:proofErr w:type="spellStart"/>
            <w:r w:rsidRPr="00D64522">
              <w:rPr>
                <w:rFonts w:ascii="Verdana" w:eastAsia="Yu Gothic" w:hAnsi="Verdana" w:cs="MS PGothic"/>
                <w:snapToGrid/>
                <w:color w:val="000000"/>
                <w:sz w:val="20"/>
                <w:szCs w:val="20"/>
                <w:lang w:val="en-US" w:eastAsia="ja-JP"/>
              </w:rPr>
              <w:t>TTTAAii</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A333C17"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CCCC</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A94FC53"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WMO station index number</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0A0B7F3"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Remarks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BD96CF"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Date</w:t>
            </w:r>
          </w:p>
        </w:tc>
      </w:tr>
      <w:tr w:rsidR="007F34D5" w:rsidRPr="00892549" w14:paraId="6798A2FB"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E503840"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IUKC01</w:t>
            </w:r>
          </w:p>
        </w:tc>
        <w:tc>
          <w:tcPr>
            <w:tcW w:w="850" w:type="dxa"/>
            <w:tcBorders>
              <w:top w:val="nil"/>
              <w:left w:val="nil"/>
              <w:bottom w:val="single" w:sz="4" w:space="0" w:color="auto"/>
              <w:right w:val="single" w:sz="4" w:space="0" w:color="auto"/>
            </w:tcBorders>
            <w:shd w:val="clear" w:color="auto" w:fill="auto"/>
            <w:noWrap/>
            <w:vAlign w:val="center"/>
            <w:hideMark/>
          </w:tcPr>
          <w:p w14:paraId="168AE599"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RUHB</w:t>
            </w:r>
          </w:p>
        </w:tc>
        <w:tc>
          <w:tcPr>
            <w:tcW w:w="3969" w:type="dxa"/>
            <w:tcBorders>
              <w:top w:val="nil"/>
              <w:left w:val="nil"/>
              <w:bottom w:val="single" w:sz="4" w:space="0" w:color="auto"/>
              <w:right w:val="single" w:sz="4" w:space="0" w:color="auto"/>
            </w:tcBorders>
            <w:shd w:val="clear" w:color="auto" w:fill="auto"/>
            <w:noWrap/>
            <w:vAlign w:val="center"/>
            <w:hideMark/>
          </w:tcPr>
          <w:p w14:paraId="6996D9D9"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24266</w:t>
            </w:r>
          </w:p>
        </w:tc>
        <w:tc>
          <w:tcPr>
            <w:tcW w:w="2693" w:type="dxa"/>
            <w:tcBorders>
              <w:top w:val="nil"/>
              <w:left w:val="nil"/>
              <w:bottom w:val="single" w:sz="4" w:space="0" w:color="auto"/>
              <w:right w:val="single" w:sz="4" w:space="0" w:color="auto"/>
            </w:tcBorders>
            <w:shd w:val="clear" w:color="auto" w:fill="auto"/>
            <w:noWrap/>
            <w:vAlign w:val="center"/>
            <w:hideMark/>
          </w:tcPr>
          <w:p w14:paraId="5B304DAB"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w:t>
            </w:r>
          </w:p>
        </w:tc>
        <w:tc>
          <w:tcPr>
            <w:tcW w:w="1276" w:type="dxa"/>
            <w:tcBorders>
              <w:top w:val="nil"/>
              <w:left w:val="nil"/>
              <w:bottom w:val="single" w:sz="4" w:space="0" w:color="auto"/>
              <w:right w:val="single" w:sz="4" w:space="0" w:color="auto"/>
            </w:tcBorders>
            <w:shd w:val="clear" w:color="auto" w:fill="auto"/>
            <w:noWrap/>
            <w:vAlign w:val="center"/>
            <w:hideMark/>
          </w:tcPr>
          <w:p w14:paraId="67209247"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w:t>
            </w:r>
            <w:r w:rsidR="00892549" w:rsidRPr="00D64522">
              <w:rPr>
                <w:rFonts w:ascii="Verdana" w:eastAsia="Yu Gothic" w:hAnsi="Verdana" w:cs="MS PGothic"/>
                <w:snapToGrid/>
                <w:color w:val="000000"/>
                <w:sz w:val="20"/>
                <w:szCs w:val="20"/>
                <w:lang w:val="en-US" w:eastAsia="ja-JP"/>
              </w:rPr>
              <w:t xml:space="preserve"> 2018</w:t>
            </w:r>
          </w:p>
        </w:tc>
      </w:tr>
      <w:tr w:rsidR="007F34D5" w:rsidRPr="00892549" w14:paraId="43ABDF85"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B15451"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IUKC03</w:t>
            </w:r>
          </w:p>
        </w:tc>
        <w:tc>
          <w:tcPr>
            <w:tcW w:w="850" w:type="dxa"/>
            <w:tcBorders>
              <w:top w:val="nil"/>
              <w:left w:val="nil"/>
              <w:bottom w:val="single" w:sz="4" w:space="0" w:color="auto"/>
              <w:right w:val="single" w:sz="4" w:space="0" w:color="auto"/>
            </w:tcBorders>
            <w:shd w:val="clear" w:color="auto" w:fill="auto"/>
            <w:noWrap/>
            <w:vAlign w:val="center"/>
            <w:hideMark/>
          </w:tcPr>
          <w:p w14:paraId="5EFC9F29"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RUHB</w:t>
            </w:r>
          </w:p>
        </w:tc>
        <w:tc>
          <w:tcPr>
            <w:tcW w:w="3969" w:type="dxa"/>
            <w:tcBorders>
              <w:top w:val="nil"/>
              <w:left w:val="nil"/>
              <w:bottom w:val="single" w:sz="4" w:space="0" w:color="auto"/>
              <w:right w:val="single" w:sz="4" w:space="0" w:color="auto"/>
            </w:tcBorders>
            <w:shd w:val="clear" w:color="auto" w:fill="auto"/>
            <w:noWrap/>
            <w:vAlign w:val="center"/>
            <w:hideMark/>
          </w:tcPr>
          <w:p w14:paraId="1C72CBC7"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30372, 30557, 30635, 30673, 30758, 30935, 30965</w:t>
            </w:r>
          </w:p>
        </w:tc>
        <w:tc>
          <w:tcPr>
            <w:tcW w:w="2693" w:type="dxa"/>
            <w:tcBorders>
              <w:top w:val="nil"/>
              <w:left w:val="nil"/>
              <w:bottom w:val="single" w:sz="4" w:space="0" w:color="auto"/>
              <w:right w:val="single" w:sz="4" w:space="0" w:color="auto"/>
            </w:tcBorders>
            <w:shd w:val="clear" w:color="auto" w:fill="auto"/>
            <w:noWrap/>
            <w:vAlign w:val="center"/>
            <w:hideMark/>
          </w:tcPr>
          <w:p w14:paraId="7B0049A3"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w:t>
            </w:r>
          </w:p>
        </w:tc>
        <w:tc>
          <w:tcPr>
            <w:tcW w:w="1276" w:type="dxa"/>
            <w:tcBorders>
              <w:top w:val="nil"/>
              <w:left w:val="nil"/>
              <w:bottom w:val="single" w:sz="4" w:space="0" w:color="auto"/>
              <w:right w:val="single" w:sz="4" w:space="0" w:color="auto"/>
            </w:tcBorders>
            <w:shd w:val="clear" w:color="auto" w:fill="auto"/>
            <w:noWrap/>
            <w:vAlign w:val="center"/>
            <w:hideMark/>
          </w:tcPr>
          <w:p w14:paraId="5515E2D5"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Jan</w:t>
            </w:r>
            <w:r w:rsidR="00892549" w:rsidRPr="00D64522">
              <w:rPr>
                <w:rFonts w:ascii="Verdana" w:eastAsia="Yu Gothic" w:hAnsi="Verdana" w:cs="MS PGothic"/>
                <w:snapToGrid/>
                <w:color w:val="000000"/>
                <w:sz w:val="20"/>
                <w:szCs w:val="20"/>
                <w:lang w:val="en-US" w:eastAsia="ja-JP"/>
              </w:rPr>
              <w:t xml:space="preserve"> 2019</w:t>
            </w:r>
          </w:p>
        </w:tc>
      </w:tr>
      <w:tr w:rsidR="007F34D5" w:rsidRPr="00892549" w14:paraId="71645554"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AAB880"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IUKC04</w:t>
            </w:r>
          </w:p>
        </w:tc>
        <w:tc>
          <w:tcPr>
            <w:tcW w:w="850" w:type="dxa"/>
            <w:tcBorders>
              <w:top w:val="nil"/>
              <w:left w:val="nil"/>
              <w:bottom w:val="single" w:sz="4" w:space="0" w:color="auto"/>
              <w:right w:val="single" w:sz="4" w:space="0" w:color="auto"/>
            </w:tcBorders>
            <w:shd w:val="clear" w:color="auto" w:fill="auto"/>
            <w:noWrap/>
            <w:vAlign w:val="center"/>
            <w:hideMark/>
          </w:tcPr>
          <w:p w14:paraId="3774CF68"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RUHB</w:t>
            </w:r>
          </w:p>
        </w:tc>
        <w:tc>
          <w:tcPr>
            <w:tcW w:w="3969" w:type="dxa"/>
            <w:tcBorders>
              <w:top w:val="nil"/>
              <w:left w:val="nil"/>
              <w:bottom w:val="single" w:sz="4" w:space="0" w:color="auto"/>
              <w:right w:val="single" w:sz="4" w:space="0" w:color="auto"/>
            </w:tcBorders>
            <w:shd w:val="clear" w:color="auto" w:fill="auto"/>
            <w:noWrap/>
            <w:vAlign w:val="center"/>
            <w:hideMark/>
          </w:tcPr>
          <w:p w14:paraId="17459882"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31088</w:t>
            </w:r>
          </w:p>
        </w:tc>
        <w:tc>
          <w:tcPr>
            <w:tcW w:w="2693" w:type="dxa"/>
            <w:tcBorders>
              <w:top w:val="nil"/>
              <w:left w:val="nil"/>
              <w:bottom w:val="single" w:sz="4" w:space="0" w:color="auto"/>
              <w:right w:val="single" w:sz="4" w:space="0" w:color="auto"/>
            </w:tcBorders>
            <w:shd w:val="clear" w:color="auto" w:fill="auto"/>
            <w:noWrap/>
            <w:vAlign w:val="center"/>
            <w:hideMark/>
          </w:tcPr>
          <w:p w14:paraId="63F870E4"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w:t>
            </w:r>
          </w:p>
        </w:tc>
        <w:tc>
          <w:tcPr>
            <w:tcW w:w="1276" w:type="dxa"/>
            <w:tcBorders>
              <w:top w:val="nil"/>
              <w:left w:val="nil"/>
              <w:bottom w:val="single" w:sz="4" w:space="0" w:color="auto"/>
              <w:right w:val="single" w:sz="4" w:space="0" w:color="auto"/>
            </w:tcBorders>
            <w:shd w:val="clear" w:color="auto" w:fill="auto"/>
            <w:noWrap/>
            <w:vAlign w:val="center"/>
            <w:hideMark/>
          </w:tcPr>
          <w:p w14:paraId="4D0FC779"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55D95022"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12A78B1"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IUKC04</w:t>
            </w:r>
          </w:p>
        </w:tc>
        <w:tc>
          <w:tcPr>
            <w:tcW w:w="850" w:type="dxa"/>
            <w:tcBorders>
              <w:top w:val="nil"/>
              <w:left w:val="nil"/>
              <w:bottom w:val="single" w:sz="4" w:space="0" w:color="auto"/>
              <w:right w:val="single" w:sz="4" w:space="0" w:color="auto"/>
            </w:tcBorders>
            <w:shd w:val="clear" w:color="auto" w:fill="auto"/>
            <w:noWrap/>
            <w:vAlign w:val="center"/>
            <w:hideMark/>
          </w:tcPr>
          <w:p w14:paraId="4564FDD6"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RUNW</w:t>
            </w:r>
          </w:p>
        </w:tc>
        <w:tc>
          <w:tcPr>
            <w:tcW w:w="3969" w:type="dxa"/>
            <w:tcBorders>
              <w:top w:val="nil"/>
              <w:left w:val="nil"/>
              <w:bottom w:val="single" w:sz="4" w:space="0" w:color="auto"/>
              <w:right w:val="single" w:sz="4" w:space="0" w:color="auto"/>
            </w:tcBorders>
            <w:shd w:val="clear" w:color="auto" w:fill="auto"/>
            <w:noWrap/>
            <w:vAlign w:val="center"/>
            <w:hideMark/>
          </w:tcPr>
          <w:p w14:paraId="4E6AC4EC"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29572, 29862, 30230</w:t>
            </w:r>
          </w:p>
        </w:tc>
        <w:tc>
          <w:tcPr>
            <w:tcW w:w="2693" w:type="dxa"/>
            <w:tcBorders>
              <w:top w:val="nil"/>
              <w:left w:val="nil"/>
              <w:bottom w:val="single" w:sz="4" w:space="0" w:color="auto"/>
              <w:right w:val="single" w:sz="4" w:space="0" w:color="auto"/>
            </w:tcBorders>
            <w:shd w:val="clear" w:color="auto" w:fill="auto"/>
            <w:noWrap/>
            <w:vAlign w:val="center"/>
            <w:hideMark/>
          </w:tcPr>
          <w:p w14:paraId="711164D4"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w:t>
            </w:r>
          </w:p>
        </w:tc>
        <w:tc>
          <w:tcPr>
            <w:tcW w:w="1276" w:type="dxa"/>
            <w:tcBorders>
              <w:top w:val="nil"/>
              <w:left w:val="nil"/>
              <w:bottom w:val="single" w:sz="4" w:space="0" w:color="auto"/>
              <w:right w:val="single" w:sz="4" w:space="0" w:color="auto"/>
            </w:tcBorders>
            <w:shd w:val="clear" w:color="auto" w:fill="auto"/>
            <w:noWrap/>
            <w:vAlign w:val="center"/>
            <w:hideMark/>
          </w:tcPr>
          <w:p w14:paraId="435603B7"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5F35AA11"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E3FB3A"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IUKC05</w:t>
            </w:r>
          </w:p>
        </w:tc>
        <w:tc>
          <w:tcPr>
            <w:tcW w:w="850" w:type="dxa"/>
            <w:tcBorders>
              <w:top w:val="nil"/>
              <w:left w:val="nil"/>
              <w:bottom w:val="single" w:sz="4" w:space="0" w:color="auto"/>
              <w:right w:val="single" w:sz="4" w:space="0" w:color="auto"/>
            </w:tcBorders>
            <w:shd w:val="clear" w:color="auto" w:fill="auto"/>
            <w:noWrap/>
            <w:vAlign w:val="center"/>
            <w:hideMark/>
          </w:tcPr>
          <w:p w14:paraId="21298F81"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RUHB</w:t>
            </w:r>
          </w:p>
        </w:tc>
        <w:tc>
          <w:tcPr>
            <w:tcW w:w="3969" w:type="dxa"/>
            <w:tcBorders>
              <w:top w:val="nil"/>
              <w:left w:val="nil"/>
              <w:bottom w:val="single" w:sz="4" w:space="0" w:color="auto"/>
              <w:right w:val="single" w:sz="4" w:space="0" w:color="auto"/>
            </w:tcBorders>
            <w:shd w:val="clear" w:color="auto" w:fill="auto"/>
            <w:noWrap/>
            <w:vAlign w:val="center"/>
            <w:hideMark/>
          </w:tcPr>
          <w:p w14:paraId="5272FA84"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32540</w:t>
            </w:r>
          </w:p>
        </w:tc>
        <w:tc>
          <w:tcPr>
            <w:tcW w:w="2693" w:type="dxa"/>
            <w:tcBorders>
              <w:top w:val="nil"/>
              <w:left w:val="nil"/>
              <w:bottom w:val="single" w:sz="4" w:space="0" w:color="auto"/>
              <w:right w:val="single" w:sz="4" w:space="0" w:color="auto"/>
            </w:tcBorders>
            <w:shd w:val="clear" w:color="auto" w:fill="auto"/>
            <w:noWrap/>
            <w:vAlign w:val="center"/>
            <w:hideMark/>
          </w:tcPr>
          <w:p w14:paraId="20016BB4"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w:t>
            </w:r>
          </w:p>
        </w:tc>
        <w:tc>
          <w:tcPr>
            <w:tcW w:w="1276" w:type="dxa"/>
            <w:tcBorders>
              <w:top w:val="nil"/>
              <w:left w:val="nil"/>
              <w:bottom w:val="single" w:sz="4" w:space="0" w:color="auto"/>
              <w:right w:val="single" w:sz="4" w:space="0" w:color="auto"/>
            </w:tcBorders>
            <w:shd w:val="clear" w:color="auto" w:fill="auto"/>
            <w:noWrap/>
            <w:vAlign w:val="center"/>
            <w:hideMark/>
          </w:tcPr>
          <w:p w14:paraId="718D9262"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0EB699E1"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CA40BE"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IUKD01</w:t>
            </w:r>
          </w:p>
        </w:tc>
        <w:tc>
          <w:tcPr>
            <w:tcW w:w="850" w:type="dxa"/>
            <w:tcBorders>
              <w:top w:val="nil"/>
              <w:left w:val="nil"/>
              <w:bottom w:val="single" w:sz="4" w:space="0" w:color="auto"/>
              <w:right w:val="single" w:sz="4" w:space="0" w:color="auto"/>
            </w:tcBorders>
            <w:shd w:val="clear" w:color="auto" w:fill="auto"/>
            <w:noWrap/>
            <w:vAlign w:val="center"/>
            <w:hideMark/>
          </w:tcPr>
          <w:p w14:paraId="72228872"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RUNW</w:t>
            </w:r>
          </w:p>
        </w:tc>
        <w:tc>
          <w:tcPr>
            <w:tcW w:w="3969" w:type="dxa"/>
            <w:tcBorders>
              <w:top w:val="nil"/>
              <w:left w:val="nil"/>
              <w:bottom w:val="single" w:sz="4" w:space="0" w:color="auto"/>
              <w:right w:val="single" w:sz="4" w:space="0" w:color="auto"/>
            </w:tcBorders>
            <w:shd w:val="clear" w:color="auto" w:fill="auto"/>
            <w:noWrap/>
            <w:vAlign w:val="center"/>
            <w:hideMark/>
          </w:tcPr>
          <w:p w14:paraId="31D96BEF"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20674, 23472</w:t>
            </w:r>
          </w:p>
        </w:tc>
        <w:tc>
          <w:tcPr>
            <w:tcW w:w="2693" w:type="dxa"/>
            <w:tcBorders>
              <w:top w:val="nil"/>
              <w:left w:val="nil"/>
              <w:bottom w:val="single" w:sz="4" w:space="0" w:color="auto"/>
              <w:right w:val="single" w:sz="4" w:space="0" w:color="auto"/>
            </w:tcBorders>
            <w:shd w:val="clear" w:color="auto" w:fill="auto"/>
            <w:noWrap/>
            <w:vAlign w:val="center"/>
            <w:hideMark/>
          </w:tcPr>
          <w:p w14:paraId="7D0E86AA"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w:t>
            </w:r>
          </w:p>
        </w:tc>
        <w:tc>
          <w:tcPr>
            <w:tcW w:w="1276" w:type="dxa"/>
            <w:tcBorders>
              <w:top w:val="nil"/>
              <w:left w:val="nil"/>
              <w:bottom w:val="single" w:sz="4" w:space="0" w:color="auto"/>
              <w:right w:val="single" w:sz="4" w:space="0" w:color="auto"/>
            </w:tcBorders>
            <w:shd w:val="clear" w:color="auto" w:fill="auto"/>
            <w:noWrap/>
            <w:vAlign w:val="center"/>
            <w:hideMark/>
          </w:tcPr>
          <w:p w14:paraId="3151159B" w14:textId="77777777" w:rsidR="00892549" w:rsidRPr="00D64522" w:rsidRDefault="007F34D5" w:rsidP="007F34D5">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721660BC"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39F38E"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IUKD02</w:t>
            </w:r>
          </w:p>
        </w:tc>
        <w:tc>
          <w:tcPr>
            <w:tcW w:w="850" w:type="dxa"/>
            <w:tcBorders>
              <w:top w:val="nil"/>
              <w:left w:val="nil"/>
              <w:bottom w:val="single" w:sz="4" w:space="0" w:color="auto"/>
              <w:right w:val="single" w:sz="4" w:space="0" w:color="auto"/>
            </w:tcBorders>
            <w:shd w:val="clear" w:color="auto" w:fill="auto"/>
            <w:noWrap/>
            <w:vAlign w:val="center"/>
            <w:hideMark/>
          </w:tcPr>
          <w:p w14:paraId="60414582"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RUNW</w:t>
            </w:r>
          </w:p>
        </w:tc>
        <w:tc>
          <w:tcPr>
            <w:tcW w:w="3969" w:type="dxa"/>
            <w:tcBorders>
              <w:top w:val="nil"/>
              <w:left w:val="nil"/>
              <w:bottom w:val="single" w:sz="4" w:space="0" w:color="auto"/>
              <w:right w:val="single" w:sz="4" w:space="0" w:color="auto"/>
            </w:tcBorders>
            <w:shd w:val="clear" w:color="auto" w:fill="auto"/>
            <w:noWrap/>
            <w:vAlign w:val="center"/>
            <w:hideMark/>
          </w:tcPr>
          <w:p w14:paraId="43146B89"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23921</w:t>
            </w:r>
          </w:p>
        </w:tc>
        <w:tc>
          <w:tcPr>
            <w:tcW w:w="2693" w:type="dxa"/>
            <w:tcBorders>
              <w:top w:val="nil"/>
              <w:left w:val="nil"/>
              <w:bottom w:val="single" w:sz="4" w:space="0" w:color="auto"/>
              <w:right w:val="single" w:sz="4" w:space="0" w:color="auto"/>
            </w:tcBorders>
            <w:shd w:val="clear" w:color="auto" w:fill="auto"/>
            <w:noWrap/>
            <w:vAlign w:val="center"/>
            <w:hideMark/>
          </w:tcPr>
          <w:p w14:paraId="016E4269"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w:t>
            </w:r>
          </w:p>
        </w:tc>
        <w:tc>
          <w:tcPr>
            <w:tcW w:w="1276" w:type="dxa"/>
            <w:tcBorders>
              <w:top w:val="nil"/>
              <w:left w:val="nil"/>
              <w:bottom w:val="single" w:sz="4" w:space="0" w:color="auto"/>
              <w:right w:val="single" w:sz="4" w:space="0" w:color="auto"/>
            </w:tcBorders>
            <w:shd w:val="clear" w:color="auto" w:fill="auto"/>
            <w:noWrap/>
            <w:vAlign w:val="center"/>
            <w:hideMark/>
          </w:tcPr>
          <w:p w14:paraId="7DF66F3D"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5A61EB8C"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89EF20"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IUKD03</w:t>
            </w:r>
          </w:p>
        </w:tc>
        <w:tc>
          <w:tcPr>
            <w:tcW w:w="850" w:type="dxa"/>
            <w:tcBorders>
              <w:top w:val="nil"/>
              <w:left w:val="nil"/>
              <w:bottom w:val="single" w:sz="4" w:space="0" w:color="auto"/>
              <w:right w:val="single" w:sz="4" w:space="0" w:color="auto"/>
            </w:tcBorders>
            <w:shd w:val="clear" w:color="auto" w:fill="auto"/>
            <w:noWrap/>
            <w:vAlign w:val="center"/>
            <w:hideMark/>
          </w:tcPr>
          <w:p w14:paraId="49A78EF1"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RUNW</w:t>
            </w:r>
          </w:p>
        </w:tc>
        <w:tc>
          <w:tcPr>
            <w:tcW w:w="3969" w:type="dxa"/>
            <w:tcBorders>
              <w:top w:val="nil"/>
              <w:left w:val="nil"/>
              <w:bottom w:val="single" w:sz="4" w:space="0" w:color="auto"/>
              <w:right w:val="single" w:sz="4" w:space="0" w:color="auto"/>
            </w:tcBorders>
            <w:shd w:val="clear" w:color="auto" w:fill="auto"/>
            <w:noWrap/>
            <w:vAlign w:val="center"/>
            <w:hideMark/>
          </w:tcPr>
          <w:p w14:paraId="3C23981B"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28695, 28722</w:t>
            </w:r>
          </w:p>
        </w:tc>
        <w:tc>
          <w:tcPr>
            <w:tcW w:w="2693" w:type="dxa"/>
            <w:tcBorders>
              <w:top w:val="nil"/>
              <w:left w:val="nil"/>
              <w:bottom w:val="single" w:sz="4" w:space="0" w:color="auto"/>
              <w:right w:val="single" w:sz="4" w:space="0" w:color="auto"/>
            </w:tcBorders>
            <w:shd w:val="clear" w:color="auto" w:fill="auto"/>
            <w:noWrap/>
            <w:vAlign w:val="center"/>
            <w:hideMark/>
          </w:tcPr>
          <w:p w14:paraId="3C8F1482"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w:t>
            </w:r>
          </w:p>
        </w:tc>
        <w:tc>
          <w:tcPr>
            <w:tcW w:w="1276" w:type="dxa"/>
            <w:tcBorders>
              <w:top w:val="nil"/>
              <w:left w:val="nil"/>
              <w:bottom w:val="single" w:sz="4" w:space="0" w:color="auto"/>
              <w:right w:val="single" w:sz="4" w:space="0" w:color="auto"/>
            </w:tcBorders>
            <w:shd w:val="clear" w:color="auto" w:fill="auto"/>
            <w:noWrap/>
            <w:vAlign w:val="center"/>
            <w:hideMark/>
          </w:tcPr>
          <w:p w14:paraId="58128AC1"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Jan 2019</w:t>
            </w:r>
          </w:p>
        </w:tc>
      </w:tr>
      <w:tr w:rsidR="007F34D5" w:rsidRPr="00892549" w14:paraId="14CD46B1"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96471A"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lastRenderedPageBreak/>
              <w:t>IUSC01</w:t>
            </w:r>
          </w:p>
        </w:tc>
        <w:tc>
          <w:tcPr>
            <w:tcW w:w="850" w:type="dxa"/>
            <w:tcBorders>
              <w:top w:val="nil"/>
              <w:left w:val="nil"/>
              <w:bottom w:val="single" w:sz="4" w:space="0" w:color="auto"/>
              <w:right w:val="single" w:sz="4" w:space="0" w:color="auto"/>
            </w:tcBorders>
            <w:shd w:val="clear" w:color="auto" w:fill="auto"/>
            <w:noWrap/>
            <w:vAlign w:val="center"/>
            <w:hideMark/>
          </w:tcPr>
          <w:p w14:paraId="1532AA35"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RUHB</w:t>
            </w:r>
          </w:p>
        </w:tc>
        <w:tc>
          <w:tcPr>
            <w:tcW w:w="3969" w:type="dxa"/>
            <w:tcBorders>
              <w:top w:val="nil"/>
              <w:left w:val="nil"/>
              <w:bottom w:val="single" w:sz="4" w:space="0" w:color="auto"/>
              <w:right w:val="single" w:sz="4" w:space="0" w:color="auto"/>
            </w:tcBorders>
            <w:shd w:val="clear" w:color="auto" w:fill="auto"/>
            <w:noWrap/>
            <w:vAlign w:val="center"/>
            <w:hideMark/>
          </w:tcPr>
          <w:p w14:paraId="53B86D2C"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24266</w:t>
            </w:r>
          </w:p>
        </w:tc>
        <w:tc>
          <w:tcPr>
            <w:tcW w:w="2693" w:type="dxa"/>
            <w:tcBorders>
              <w:top w:val="nil"/>
              <w:left w:val="nil"/>
              <w:bottom w:val="single" w:sz="4" w:space="0" w:color="auto"/>
              <w:right w:val="single" w:sz="4" w:space="0" w:color="auto"/>
            </w:tcBorders>
            <w:shd w:val="clear" w:color="auto" w:fill="auto"/>
            <w:noWrap/>
            <w:vAlign w:val="center"/>
            <w:hideMark/>
          </w:tcPr>
          <w:p w14:paraId="65411A7B"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 C, D</w:t>
            </w:r>
          </w:p>
        </w:tc>
        <w:tc>
          <w:tcPr>
            <w:tcW w:w="1276" w:type="dxa"/>
            <w:tcBorders>
              <w:top w:val="nil"/>
              <w:left w:val="nil"/>
              <w:bottom w:val="single" w:sz="4" w:space="0" w:color="auto"/>
              <w:right w:val="single" w:sz="4" w:space="0" w:color="auto"/>
            </w:tcBorders>
            <w:shd w:val="clear" w:color="auto" w:fill="auto"/>
            <w:noWrap/>
            <w:vAlign w:val="center"/>
            <w:hideMark/>
          </w:tcPr>
          <w:p w14:paraId="0DA1D74C"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1F8DA0C3"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1DC41A"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IUSC03</w:t>
            </w:r>
          </w:p>
        </w:tc>
        <w:tc>
          <w:tcPr>
            <w:tcW w:w="850" w:type="dxa"/>
            <w:tcBorders>
              <w:top w:val="nil"/>
              <w:left w:val="nil"/>
              <w:bottom w:val="single" w:sz="4" w:space="0" w:color="auto"/>
              <w:right w:val="single" w:sz="4" w:space="0" w:color="auto"/>
            </w:tcBorders>
            <w:shd w:val="clear" w:color="auto" w:fill="auto"/>
            <w:noWrap/>
            <w:vAlign w:val="center"/>
            <w:hideMark/>
          </w:tcPr>
          <w:p w14:paraId="6AF8DE14"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RUHB</w:t>
            </w:r>
          </w:p>
        </w:tc>
        <w:tc>
          <w:tcPr>
            <w:tcW w:w="3969" w:type="dxa"/>
            <w:tcBorders>
              <w:top w:val="nil"/>
              <w:left w:val="nil"/>
              <w:bottom w:val="single" w:sz="4" w:space="0" w:color="auto"/>
              <w:right w:val="single" w:sz="4" w:space="0" w:color="auto"/>
            </w:tcBorders>
            <w:shd w:val="clear" w:color="auto" w:fill="auto"/>
            <w:noWrap/>
            <w:vAlign w:val="center"/>
            <w:hideMark/>
          </w:tcPr>
          <w:p w14:paraId="686C8DCA"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30372, 30557, 30635, 30673, 30758, 30935, 30965</w:t>
            </w:r>
          </w:p>
        </w:tc>
        <w:tc>
          <w:tcPr>
            <w:tcW w:w="2693" w:type="dxa"/>
            <w:tcBorders>
              <w:top w:val="nil"/>
              <w:left w:val="nil"/>
              <w:bottom w:val="single" w:sz="4" w:space="0" w:color="auto"/>
              <w:right w:val="single" w:sz="4" w:space="0" w:color="auto"/>
            </w:tcBorders>
            <w:shd w:val="clear" w:color="auto" w:fill="auto"/>
            <w:noWrap/>
            <w:vAlign w:val="center"/>
            <w:hideMark/>
          </w:tcPr>
          <w:p w14:paraId="27886736"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 C, D</w:t>
            </w:r>
          </w:p>
        </w:tc>
        <w:tc>
          <w:tcPr>
            <w:tcW w:w="1276" w:type="dxa"/>
            <w:tcBorders>
              <w:top w:val="nil"/>
              <w:left w:val="nil"/>
              <w:bottom w:val="single" w:sz="4" w:space="0" w:color="auto"/>
              <w:right w:val="single" w:sz="4" w:space="0" w:color="auto"/>
            </w:tcBorders>
            <w:shd w:val="clear" w:color="auto" w:fill="auto"/>
            <w:noWrap/>
            <w:vAlign w:val="center"/>
            <w:hideMark/>
          </w:tcPr>
          <w:p w14:paraId="36EC3A84" w14:textId="77777777" w:rsidR="00892549" w:rsidRPr="00D64522" w:rsidRDefault="007F34D5" w:rsidP="007F34D5">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Jan 2019</w:t>
            </w:r>
          </w:p>
        </w:tc>
      </w:tr>
      <w:tr w:rsidR="007F34D5" w:rsidRPr="00892549" w14:paraId="4D2BB39E"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5D2545"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IUSC04</w:t>
            </w:r>
          </w:p>
        </w:tc>
        <w:tc>
          <w:tcPr>
            <w:tcW w:w="850" w:type="dxa"/>
            <w:tcBorders>
              <w:top w:val="nil"/>
              <w:left w:val="nil"/>
              <w:bottom w:val="single" w:sz="4" w:space="0" w:color="auto"/>
              <w:right w:val="single" w:sz="4" w:space="0" w:color="auto"/>
            </w:tcBorders>
            <w:shd w:val="clear" w:color="auto" w:fill="auto"/>
            <w:noWrap/>
            <w:vAlign w:val="center"/>
            <w:hideMark/>
          </w:tcPr>
          <w:p w14:paraId="6B6B8608"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RUHB</w:t>
            </w:r>
          </w:p>
        </w:tc>
        <w:tc>
          <w:tcPr>
            <w:tcW w:w="3969" w:type="dxa"/>
            <w:tcBorders>
              <w:top w:val="nil"/>
              <w:left w:val="nil"/>
              <w:bottom w:val="single" w:sz="4" w:space="0" w:color="auto"/>
              <w:right w:val="single" w:sz="4" w:space="0" w:color="auto"/>
            </w:tcBorders>
            <w:shd w:val="clear" w:color="auto" w:fill="auto"/>
            <w:noWrap/>
            <w:vAlign w:val="center"/>
            <w:hideMark/>
          </w:tcPr>
          <w:p w14:paraId="1701C311"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31088</w:t>
            </w:r>
          </w:p>
        </w:tc>
        <w:tc>
          <w:tcPr>
            <w:tcW w:w="2693" w:type="dxa"/>
            <w:tcBorders>
              <w:top w:val="nil"/>
              <w:left w:val="nil"/>
              <w:bottom w:val="single" w:sz="4" w:space="0" w:color="auto"/>
              <w:right w:val="single" w:sz="4" w:space="0" w:color="auto"/>
            </w:tcBorders>
            <w:shd w:val="clear" w:color="auto" w:fill="auto"/>
            <w:noWrap/>
            <w:vAlign w:val="center"/>
            <w:hideMark/>
          </w:tcPr>
          <w:p w14:paraId="39A514DB"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 C, D</w:t>
            </w:r>
          </w:p>
        </w:tc>
        <w:tc>
          <w:tcPr>
            <w:tcW w:w="1276" w:type="dxa"/>
            <w:tcBorders>
              <w:top w:val="nil"/>
              <w:left w:val="nil"/>
              <w:bottom w:val="single" w:sz="4" w:space="0" w:color="auto"/>
              <w:right w:val="single" w:sz="4" w:space="0" w:color="auto"/>
            </w:tcBorders>
            <w:shd w:val="clear" w:color="auto" w:fill="auto"/>
            <w:noWrap/>
            <w:vAlign w:val="center"/>
            <w:hideMark/>
          </w:tcPr>
          <w:p w14:paraId="0D1DD972"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4A57402D"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969FFF"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IUSC04</w:t>
            </w:r>
          </w:p>
        </w:tc>
        <w:tc>
          <w:tcPr>
            <w:tcW w:w="850" w:type="dxa"/>
            <w:tcBorders>
              <w:top w:val="nil"/>
              <w:left w:val="nil"/>
              <w:bottom w:val="single" w:sz="4" w:space="0" w:color="auto"/>
              <w:right w:val="single" w:sz="4" w:space="0" w:color="auto"/>
            </w:tcBorders>
            <w:shd w:val="clear" w:color="auto" w:fill="auto"/>
            <w:noWrap/>
            <w:vAlign w:val="center"/>
            <w:hideMark/>
          </w:tcPr>
          <w:p w14:paraId="4D84CD2E"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RUNW</w:t>
            </w:r>
          </w:p>
        </w:tc>
        <w:tc>
          <w:tcPr>
            <w:tcW w:w="3969" w:type="dxa"/>
            <w:tcBorders>
              <w:top w:val="nil"/>
              <w:left w:val="nil"/>
              <w:bottom w:val="single" w:sz="4" w:space="0" w:color="auto"/>
              <w:right w:val="single" w:sz="4" w:space="0" w:color="auto"/>
            </w:tcBorders>
            <w:shd w:val="clear" w:color="auto" w:fill="auto"/>
            <w:noWrap/>
            <w:vAlign w:val="center"/>
            <w:hideMark/>
          </w:tcPr>
          <w:p w14:paraId="7AC04BDA"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29572, 29862, 30230</w:t>
            </w:r>
          </w:p>
        </w:tc>
        <w:tc>
          <w:tcPr>
            <w:tcW w:w="2693" w:type="dxa"/>
            <w:tcBorders>
              <w:top w:val="nil"/>
              <w:left w:val="nil"/>
              <w:bottom w:val="single" w:sz="4" w:space="0" w:color="auto"/>
              <w:right w:val="single" w:sz="4" w:space="0" w:color="auto"/>
            </w:tcBorders>
            <w:shd w:val="clear" w:color="auto" w:fill="auto"/>
            <w:noWrap/>
            <w:vAlign w:val="center"/>
            <w:hideMark/>
          </w:tcPr>
          <w:p w14:paraId="3E2AEAD9"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 C, D</w:t>
            </w:r>
          </w:p>
        </w:tc>
        <w:tc>
          <w:tcPr>
            <w:tcW w:w="1276" w:type="dxa"/>
            <w:tcBorders>
              <w:top w:val="nil"/>
              <w:left w:val="nil"/>
              <w:bottom w:val="single" w:sz="4" w:space="0" w:color="auto"/>
              <w:right w:val="single" w:sz="4" w:space="0" w:color="auto"/>
            </w:tcBorders>
            <w:shd w:val="clear" w:color="auto" w:fill="auto"/>
            <w:noWrap/>
            <w:vAlign w:val="center"/>
            <w:hideMark/>
          </w:tcPr>
          <w:p w14:paraId="0F805C07"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71814E48"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45CAB4"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IUSC05</w:t>
            </w:r>
          </w:p>
        </w:tc>
        <w:tc>
          <w:tcPr>
            <w:tcW w:w="850" w:type="dxa"/>
            <w:tcBorders>
              <w:top w:val="nil"/>
              <w:left w:val="nil"/>
              <w:bottom w:val="single" w:sz="4" w:space="0" w:color="auto"/>
              <w:right w:val="single" w:sz="4" w:space="0" w:color="auto"/>
            </w:tcBorders>
            <w:shd w:val="clear" w:color="auto" w:fill="auto"/>
            <w:noWrap/>
            <w:vAlign w:val="center"/>
            <w:hideMark/>
          </w:tcPr>
          <w:p w14:paraId="607E1263"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RUHB</w:t>
            </w:r>
          </w:p>
        </w:tc>
        <w:tc>
          <w:tcPr>
            <w:tcW w:w="3969" w:type="dxa"/>
            <w:tcBorders>
              <w:top w:val="nil"/>
              <w:left w:val="nil"/>
              <w:bottom w:val="single" w:sz="4" w:space="0" w:color="auto"/>
              <w:right w:val="single" w:sz="4" w:space="0" w:color="auto"/>
            </w:tcBorders>
            <w:shd w:val="clear" w:color="auto" w:fill="auto"/>
            <w:noWrap/>
            <w:vAlign w:val="center"/>
            <w:hideMark/>
          </w:tcPr>
          <w:p w14:paraId="5F94463E"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32540</w:t>
            </w:r>
          </w:p>
        </w:tc>
        <w:tc>
          <w:tcPr>
            <w:tcW w:w="2693" w:type="dxa"/>
            <w:tcBorders>
              <w:top w:val="nil"/>
              <w:left w:val="nil"/>
              <w:bottom w:val="single" w:sz="4" w:space="0" w:color="auto"/>
              <w:right w:val="single" w:sz="4" w:space="0" w:color="auto"/>
            </w:tcBorders>
            <w:shd w:val="clear" w:color="auto" w:fill="auto"/>
            <w:noWrap/>
            <w:vAlign w:val="center"/>
            <w:hideMark/>
          </w:tcPr>
          <w:p w14:paraId="5657900A"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 C, D</w:t>
            </w:r>
          </w:p>
        </w:tc>
        <w:tc>
          <w:tcPr>
            <w:tcW w:w="1276" w:type="dxa"/>
            <w:tcBorders>
              <w:top w:val="nil"/>
              <w:left w:val="nil"/>
              <w:bottom w:val="single" w:sz="4" w:space="0" w:color="auto"/>
              <w:right w:val="single" w:sz="4" w:space="0" w:color="auto"/>
            </w:tcBorders>
            <w:shd w:val="clear" w:color="auto" w:fill="auto"/>
            <w:noWrap/>
            <w:vAlign w:val="center"/>
            <w:hideMark/>
          </w:tcPr>
          <w:p w14:paraId="783DAF77"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681ED25C"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A50949"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IUSD01</w:t>
            </w:r>
          </w:p>
        </w:tc>
        <w:tc>
          <w:tcPr>
            <w:tcW w:w="850" w:type="dxa"/>
            <w:tcBorders>
              <w:top w:val="nil"/>
              <w:left w:val="nil"/>
              <w:bottom w:val="single" w:sz="4" w:space="0" w:color="auto"/>
              <w:right w:val="single" w:sz="4" w:space="0" w:color="auto"/>
            </w:tcBorders>
            <w:shd w:val="clear" w:color="auto" w:fill="auto"/>
            <w:noWrap/>
            <w:vAlign w:val="center"/>
            <w:hideMark/>
          </w:tcPr>
          <w:p w14:paraId="3E61E300"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RUNW</w:t>
            </w:r>
          </w:p>
        </w:tc>
        <w:tc>
          <w:tcPr>
            <w:tcW w:w="3969" w:type="dxa"/>
            <w:tcBorders>
              <w:top w:val="nil"/>
              <w:left w:val="nil"/>
              <w:bottom w:val="single" w:sz="4" w:space="0" w:color="auto"/>
              <w:right w:val="single" w:sz="4" w:space="0" w:color="auto"/>
            </w:tcBorders>
            <w:shd w:val="clear" w:color="auto" w:fill="auto"/>
            <w:noWrap/>
            <w:vAlign w:val="center"/>
            <w:hideMark/>
          </w:tcPr>
          <w:p w14:paraId="4C4E5AA7"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20674, 23472</w:t>
            </w:r>
          </w:p>
        </w:tc>
        <w:tc>
          <w:tcPr>
            <w:tcW w:w="2693" w:type="dxa"/>
            <w:tcBorders>
              <w:top w:val="nil"/>
              <w:left w:val="nil"/>
              <w:bottom w:val="single" w:sz="4" w:space="0" w:color="auto"/>
              <w:right w:val="single" w:sz="4" w:space="0" w:color="auto"/>
            </w:tcBorders>
            <w:shd w:val="clear" w:color="auto" w:fill="auto"/>
            <w:noWrap/>
            <w:vAlign w:val="center"/>
            <w:hideMark/>
          </w:tcPr>
          <w:p w14:paraId="74F8A8D5"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 C, D</w:t>
            </w:r>
          </w:p>
        </w:tc>
        <w:tc>
          <w:tcPr>
            <w:tcW w:w="1276" w:type="dxa"/>
            <w:tcBorders>
              <w:top w:val="nil"/>
              <w:left w:val="nil"/>
              <w:bottom w:val="single" w:sz="4" w:space="0" w:color="auto"/>
              <w:right w:val="single" w:sz="4" w:space="0" w:color="auto"/>
            </w:tcBorders>
            <w:shd w:val="clear" w:color="auto" w:fill="auto"/>
            <w:noWrap/>
            <w:vAlign w:val="center"/>
            <w:hideMark/>
          </w:tcPr>
          <w:p w14:paraId="0271F05D"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556CDC78"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1790492"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IUSD02</w:t>
            </w:r>
          </w:p>
        </w:tc>
        <w:tc>
          <w:tcPr>
            <w:tcW w:w="850" w:type="dxa"/>
            <w:tcBorders>
              <w:top w:val="nil"/>
              <w:left w:val="nil"/>
              <w:bottom w:val="single" w:sz="4" w:space="0" w:color="auto"/>
              <w:right w:val="single" w:sz="4" w:space="0" w:color="auto"/>
            </w:tcBorders>
            <w:shd w:val="clear" w:color="auto" w:fill="auto"/>
            <w:noWrap/>
            <w:vAlign w:val="center"/>
            <w:hideMark/>
          </w:tcPr>
          <w:p w14:paraId="1AB103CC"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RUNW</w:t>
            </w:r>
          </w:p>
        </w:tc>
        <w:tc>
          <w:tcPr>
            <w:tcW w:w="3969" w:type="dxa"/>
            <w:tcBorders>
              <w:top w:val="nil"/>
              <w:left w:val="nil"/>
              <w:bottom w:val="single" w:sz="4" w:space="0" w:color="auto"/>
              <w:right w:val="single" w:sz="4" w:space="0" w:color="auto"/>
            </w:tcBorders>
            <w:shd w:val="clear" w:color="auto" w:fill="auto"/>
            <w:noWrap/>
            <w:vAlign w:val="center"/>
            <w:hideMark/>
          </w:tcPr>
          <w:p w14:paraId="13EB69C7"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23921</w:t>
            </w:r>
          </w:p>
        </w:tc>
        <w:tc>
          <w:tcPr>
            <w:tcW w:w="2693" w:type="dxa"/>
            <w:tcBorders>
              <w:top w:val="nil"/>
              <w:left w:val="nil"/>
              <w:bottom w:val="single" w:sz="4" w:space="0" w:color="auto"/>
              <w:right w:val="single" w:sz="4" w:space="0" w:color="auto"/>
            </w:tcBorders>
            <w:shd w:val="clear" w:color="auto" w:fill="auto"/>
            <w:noWrap/>
            <w:vAlign w:val="center"/>
            <w:hideMark/>
          </w:tcPr>
          <w:p w14:paraId="4945ACE7"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 C, D</w:t>
            </w:r>
          </w:p>
        </w:tc>
        <w:tc>
          <w:tcPr>
            <w:tcW w:w="1276" w:type="dxa"/>
            <w:tcBorders>
              <w:top w:val="nil"/>
              <w:left w:val="nil"/>
              <w:bottom w:val="single" w:sz="4" w:space="0" w:color="auto"/>
              <w:right w:val="single" w:sz="4" w:space="0" w:color="auto"/>
            </w:tcBorders>
            <w:shd w:val="clear" w:color="auto" w:fill="auto"/>
            <w:noWrap/>
            <w:vAlign w:val="center"/>
            <w:hideMark/>
          </w:tcPr>
          <w:p w14:paraId="1107058E" w14:textId="77777777" w:rsidR="00892549" w:rsidRPr="00D64522" w:rsidRDefault="007F34D5" w:rsidP="007F34D5">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Nov 2018</w:t>
            </w:r>
          </w:p>
        </w:tc>
      </w:tr>
      <w:tr w:rsidR="007F34D5" w:rsidRPr="00892549" w14:paraId="785057A2" w14:textId="77777777" w:rsidTr="00452657">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52D729"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IUSD03</w:t>
            </w:r>
          </w:p>
        </w:tc>
        <w:tc>
          <w:tcPr>
            <w:tcW w:w="850" w:type="dxa"/>
            <w:tcBorders>
              <w:top w:val="nil"/>
              <w:left w:val="nil"/>
              <w:bottom w:val="single" w:sz="4" w:space="0" w:color="auto"/>
              <w:right w:val="single" w:sz="4" w:space="0" w:color="auto"/>
            </w:tcBorders>
            <w:shd w:val="clear" w:color="auto" w:fill="auto"/>
            <w:noWrap/>
            <w:vAlign w:val="center"/>
            <w:hideMark/>
          </w:tcPr>
          <w:p w14:paraId="21152B7E"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RUNW</w:t>
            </w:r>
          </w:p>
        </w:tc>
        <w:tc>
          <w:tcPr>
            <w:tcW w:w="3969" w:type="dxa"/>
            <w:tcBorders>
              <w:top w:val="nil"/>
              <w:left w:val="nil"/>
              <w:bottom w:val="single" w:sz="4" w:space="0" w:color="auto"/>
              <w:right w:val="single" w:sz="4" w:space="0" w:color="auto"/>
            </w:tcBorders>
            <w:shd w:val="clear" w:color="auto" w:fill="auto"/>
            <w:noWrap/>
            <w:vAlign w:val="center"/>
            <w:hideMark/>
          </w:tcPr>
          <w:p w14:paraId="44325452"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28695, 28722</w:t>
            </w:r>
          </w:p>
        </w:tc>
        <w:tc>
          <w:tcPr>
            <w:tcW w:w="2693" w:type="dxa"/>
            <w:tcBorders>
              <w:top w:val="nil"/>
              <w:left w:val="nil"/>
              <w:bottom w:val="single" w:sz="4" w:space="0" w:color="auto"/>
              <w:right w:val="single" w:sz="4" w:space="0" w:color="auto"/>
            </w:tcBorders>
            <w:shd w:val="clear" w:color="auto" w:fill="auto"/>
            <w:noWrap/>
            <w:vAlign w:val="center"/>
            <w:hideMark/>
          </w:tcPr>
          <w:p w14:paraId="59D99592" w14:textId="77777777" w:rsidR="00892549" w:rsidRPr="00D64522" w:rsidRDefault="00892549"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TEMP PART A, B, C, D</w:t>
            </w:r>
          </w:p>
        </w:tc>
        <w:tc>
          <w:tcPr>
            <w:tcW w:w="1276" w:type="dxa"/>
            <w:tcBorders>
              <w:top w:val="nil"/>
              <w:left w:val="nil"/>
              <w:bottom w:val="single" w:sz="4" w:space="0" w:color="auto"/>
              <w:right w:val="single" w:sz="4" w:space="0" w:color="auto"/>
            </w:tcBorders>
            <w:shd w:val="clear" w:color="auto" w:fill="auto"/>
            <w:noWrap/>
            <w:vAlign w:val="center"/>
            <w:hideMark/>
          </w:tcPr>
          <w:p w14:paraId="0B4BDC55" w14:textId="77777777" w:rsidR="00892549" w:rsidRPr="00D64522" w:rsidRDefault="007F34D5" w:rsidP="00892549">
            <w:pPr>
              <w:rPr>
                <w:rFonts w:ascii="Verdana" w:eastAsia="Yu Gothic" w:hAnsi="Verdana" w:cs="MS PGothic"/>
                <w:snapToGrid/>
                <w:color w:val="000000"/>
                <w:sz w:val="20"/>
                <w:szCs w:val="20"/>
                <w:lang w:val="en-US" w:eastAsia="ja-JP"/>
              </w:rPr>
            </w:pPr>
            <w:r w:rsidRPr="00D64522">
              <w:rPr>
                <w:rFonts w:ascii="Verdana" w:eastAsia="Yu Gothic" w:hAnsi="Verdana" w:cs="MS PGothic"/>
                <w:snapToGrid/>
                <w:color w:val="000000"/>
                <w:sz w:val="20"/>
                <w:szCs w:val="20"/>
                <w:lang w:val="en-US" w:eastAsia="ja-JP"/>
              </w:rPr>
              <w:t>Jan 2019</w:t>
            </w:r>
          </w:p>
        </w:tc>
      </w:tr>
    </w:tbl>
    <w:p w14:paraId="4F123577" w14:textId="77777777" w:rsidR="0042537C" w:rsidRDefault="0042537C" w:rsidP="00DC5379">
      <w:pPr>
        <w:spacing w:afterLines="50" w:after="163"/>
        <w:jc w:val="both"/>
        <w:rPr>
          <w:rFonts w:ascii="Verdana" w:hAnsi="Verdana"/>
          <w:bCs/>
          <w:lang w:eastAsia="ja-JP"/>
        </w:rPr>
      </w:pPr>
    </w:p>
    <w:p w14:paraId="3D3EC8E1" w14:textId="1575462F" w:rsidR="006706F8" w:rsidRPr="007F34D5" w:rsidRDefault="00341107" w:rsidP="00DC5379">
      <w:pPr>
        <w:spacing w:afterLines="50" w:after="163"/>
        <w:jc w:val="both"/>
        <w:rPr>
          <w:rFonts w:ascii="Verdana" w:hAnsi="Verdana"/>
          <w:bCs/>
          <w:lang w:eastAsia="ja-JP"/>
        </w:rPr>
      </w:pPr>
      <w:r>
        <w:rPr>
          <w:rFonts w:ascii="Verdana" w:hAnsi="Verdana" w:hint="eastAsia"/>
          <w:bCs/>
          <w:lang w:eastAsia="ja-JP"/>
        </w:rPr>
        <w:t>2.3</w:t>
      </w:r>
      <w:r w:rsidR="006706F8" w:rsidRPr="007F34D5">
        <w:rPr>
          <w:rFonts w:ascii="Verdana" w:hAnsi="Verdana" w:hint="eastAsia"/>
          <w:bCs/>
          <w:lang w:eastAsia="ja-JP"/>
        </w:rPr>
        <w:tab/>
      </w:r>
      <w:r w:rsidR="006706F8" w:rsidRPr="00452657">
        <w:rPr>
          <w:rFonts w:ascii="Verdana" w:hAnsi="Verdana"/>
          <w:bCs/>
          <w:i/>
          <w:lang w:eastAsia="ja-JP"/>
        </w:rPr>
        <w:t>Japan</w:t>
      </w:r>
    </w:p>
    <w:p w14:paraId="393EEDEF" w14:textId="4743A70A" w:rsidR="008B027C" w:rsidRPr="008B027C" w:rsidRDefault="006706F8" w:rsidP="00DC5379">
      <w:pPr>
        <w:spacing w:afterLines="50" w:after="163"/>
        <w:jc w:val="both"/>
        <w:rPr>
          <w:rFonts w:ascii="Verdana" w:hAnsi="Verdana"/>
          <w:bCs/>
          <w:lang w:eastAsia="ja-JP"/>
        </w:rPr>
      </w:pPr>
      <w:r w:rsidRPr="007F34D5">
        <w:rPr>
          <w:rFonts w:ascii="Verdana" w:hAnsi="Verdana" w:hint="eastAsia"/>
          <w:bCs/>
          <w:lang w:eastAsia="ja-JP"/>
        </w:rPr>
        <w:t xml:space="preserve">Japan started </w:t>
      </w:r>
      <w:r w:rsidR="00892549" w:rsidRPr="007F34D5">
        <w:rPr>
          <w:rFonts w:ascii="Verdana" w:hAnsi="Verdana"/>
          <w:bCs/>
          <w:lang w:eastAsia="ja-JP"/>
        </w:rPr>
        <w:t xml:space="preserve">to </w:t>
      </w:r>
      <w:r w:rsidR="00892549" w:rsidRPr="007F34D5">
        <w:rPr>
          <w:rFonts w:ascii="Verdana" w:hAnsi="Verdana" w:hint="eastAsia"/>
          <w:bCs/>
          <w:lang w:eastAsia="ja-JP"/>
        </w:rPr>
        <w:t xml:space="preserve">disseminate </w:t>
      </w:r>
      <w:r w:rsidRPr="007F34D5">
        <w:rPr>
          <w:rFonts w:ascii="Verdana" w:hAnsi="Verdana" w:hint="eastAsia"/>
          <w:bCs/>
          <w:lang w:eastAsia="ja-JP"/>
        </w:rPr>
        <w:t xml:space="preserve">daily CLIMAT in BUFR format in February 2019 with GTS heading of </w:t>
      </w:r>
      <w:r w:rsidRPr="00D64522">
        <w:rPr>
          <w:rFonts w:ascii="Verdana" w:hAnsi="Verdana"/>
          <w:bCs/>
          <w:lang w:eastAsia="ja-JP"/>
        </w:rPr>
        <w:t>ISCC60 RJTD</w:t>
      </w:r>
      <w:r w:rsidR="006B275B">
        <w:rPr>
          <w:rFonts w:ascii="Verdana" w:hAnsi="Verdana"/>
          <w:bCs/>
          <w:lang w:eastAsia="ja-JP"/>
        </w:rPr>
        <w:t xml:space="preserve"> and ISCL60 RJTD</w:t>
      </w:r>
      <w:r w:rsidRPr="00D64522">
        <w:rPr>
          <w:rFonts w:ascii="Verdana" w:hAnsi="Verdana"/>
          <w:bCs/>
          <w:lang w:eastAsia="ja-JP"/>
        </w:rPr>
        <w:t xml:space="preserve"> (monthly).</w:t>
      </w:r>
      <w:r w:rsidR="008B027C">
        <w:rPr>
          <w:rFonts w:ascii="Verdana" w:hAnsi="Verdana" w:hint="eastAsia"/>
          <w:bCs/>
          <w:lang w:eastAsia="ja-JP"/>
        </w:rPr>
        <w:t xml:space="preserve"> </w:t>
      </w:r>
      <w:r w:rsidR="008B027C">
        <w:rPr>
          <w:rFonts w:ascii="Verdana" w:hAnsi="Verdana"/>
          <w:bCs/>
          <w:lang w:eastAsia="ja-JP"/>
        </w:rPr>
        <w:t>Japan stopped disseminating drifting buoy reports in TAC format (FM18 BUOY) in March 2019 with GTS heading</w:t>
      </w:r>
      <w:r w:rsidR="009A209F">
        <w:rPr>
          <w:rFonts w:ascii="Verdana" w:hAnsi="Verdana"/>
          <w:bCs/>
          <w:lang w:eastAsia="ja-JP"/>
        </w:rPr>
        <w:t>s</w:t>
      </w:r>
      <w:r w:rsidR="008B027C">
        <w:rPr>
          <w:rFonts w:ascii="Verdana" w:hAnsi="Verdana"/>
          <w:bCs/>
          <w:lang w:eastAsia="ja-JP"/>
        </w:rPr>
        <w:t xml:space="preserve"> of SSVB[01-19] RJTD.</w:t>
      </w:r>
    </w:p>
    <w:p w14:paraId="0B22447A" w14:textId="28FFE5BA" w:rsidR="006706F8" w:rsidRPr="007F34D5" w:rsidRDefault="00341107" w:rsidP="00DC5379">
      <w:pPr>
        <w:spacing w:afterLines="50" w:after="163"/>
        <w:jc w:val="both"/>
        <w:rPr>
          <w:rFonts w:ascii="Verdana" w:hAnsi="Verdana"/>
          <w:bCs/>
          <w:lang w:eastAsia="ja-JP"/>
        </w:rPr>
      </w:pPr>
      <w:r>
        <w:rPr>
          <w:rFonts w:ascii="Verdana" w:hAnsi="Verdana" w:hint="eastAsia"/>
          <w:bCs/>
          <w:lang w:eastAsia="ja-JP"/>
        </w:rPr>
        <w:t>2.4</w:t>
      </w:r>
      <w:r w:rsidR="006706F8" w:rsidRPr="00D64522">
        <w:rPr>
          <w:rFonts w:ascii="Verdana" w:hAnsi="Verdana" w:hint="eastAsia"/>
          <w:bCs/>
          <w:lang w:eastAsia="ja-JP"/>
        </w:rPr>
        <w:tab/>
      </w:r>
      <w:r w:rsidR="006706F8" w:rsidRPr="00452657">
        <w:rPr>
          <w:rFonts w:ascii="Verdana" w:hAnsi="Verdana"/>
          <w:bCs/>
          <w:i/>
          <w:lang w:eastAsia="ja-JP"/>
        </w:rPr>
        <w:t>Hong Kong</w:t>
      </w:r>
    </w:p>
    <w:p w14:paraId="3CA9BBA3" w14:textId="77777777" w:rsidR="006706F8" w:rsidRDefault="0073373A" w:rsidP="00DC5379">
      <w:pPr>
        <w:spacing w:afterLines="50" w:after="163"/>
        <w:jc w:val="both"/>
        <w:rPr>
          <w:rFonts w:ascii="Verdana" w:hAnsi="Verdana"/>
          <w:bCs/>
          <w:lang w:eastAsia="ja-JP"/>
        </w:rPr>
      </w:pPr>
      <w:r w:rsidRPr="007F34D5">
        <w:rPr>
          <w:rFonts w:ascii="Verdana" w:hAnsi="Verdana" w:hint="eastAsia"/>
          <w:bCs/>
          <w:lang w:eastAsia="ja-JP"/>
        </w:rPr>
        <w:t>Hong Kong began</w:t>
      </w:r>
      <w:r w:rsidR="006706F8" w:rsidRPr="007F34D5">
        <w:rPr>
          <w:rFonts w:ascii="Verdana" w:hAnsi="Verdana" w:hint="eastAsia"/>
          <w:bCs/>
          <w:lang w:eastAsia="ja-JP"/>
        </w:rPr>
        <w:t xml:space="preserve"> </w:t>
      </w:r>
      <w:r w:rsidR="006706F8" w:rsidRPr="007F34D5">
        <w:rPr>
          <w:rFonts w:ascii="Verdana" w:hAnsi="Verdana"/>
          <w:bCs/>
          <w:lang w:eastAsia="ja-JP"/>
        </w:rPr>
        <w:t>dissemination</w:t>
      </w:r>
      <w:r w:rsidR="006706F8" w:rsidRPr="007F34D5">
        <w:rPr>
          <w:rFonts w:ascii="Verdana" w:hAnsi="Verdana" w:hint="eastAsia"/>
          <w:bCs/>
          <w:lang w:eastAsia="ja-JP"/>
        </w:rPr>
        <w:t xml:space="preserve"> of </w:t>
      </w:r>
      <w:r w:rsidR="006706F8" w:rsidRPr="007F34D5">
        <w:rPr>
          <w:rFonts w:ascii="Verdana" w:hAnsi="Verdana"/>
          <w:bCs/>
          <w:lang w:eastAsia="ja-JP"/>
        </w:rPr>
        <w:t>daily CLIMAT in BUFR format in February 2019 with GTS heading of ISCC60 VHHH (</w:t>
      </w:r>
      <w:r w:rsidR="006706F8" w:rsidRPr="00D64522">
        <w:rPr>
          <w:rFonts w:ascii="Verdana" w:hAnsi="Verdana"/>
          <w:bCs/>
          <w:lang w:eastAsia="ja-JP"/>
        </w:rPr>
        <w:t>monthly).</w:t>
      </w:r>
    </w:p>
    <w:p w14:paraId="71068A7B" w14:textId="71D36AC4" w:rsidR="0042537C" w:rsidRPr="007F34D5" w:rsidRDefault="0042537C" w:rsidP="0042537C">
      <w:pPr>
        <w:spacing w:afterLines="50" w:after="163"/>
        <w:jc w:val="both"/>
        <w:rPr>
          <w:rFonts w:ascii="Verdana" w:hAnsi="Verdana"/>
          <w:bCs/>
          <w:lang w:eastAsia="ja-JP"/>
        </w:rPr>
      </w:pPr>
      <w:r>
        <w:rPr>
          <w:rFonts w:ascii="Verdana" w:hAnsi="Verdana" w:hint="eastAsia"/>
          <w:bCs/>
          <w:lang w:eastAsia="ja-JP"/>
        </w:rPr>
        <w:t>2.</w:t>
      </w:r>
      <w:r>
        <w:rPr>
          <w:rFonts w:ascii="Verdana" w:hAnsi="Verdana"/>
          <w:bCs/>
          <w:lang w:eastAsia="ja-JP"/>
        </w:rPr>
        <w:t>5</w:t>
      </w:r>
      <w:r w:rsidRPr="00D64522">
        <w:rPr>
          <w:rFonts w:ascii="Verdana" w:hAnsi="Verdana" w:hint="eastAsia"/>
          <w:bCs/>
          <w:lang w:eastAsia="ja-JP"/>
        </w:rPr>
        <w:tab/>
      </w:r>
      <w:r>
        <w:rPr>
          <w:rFonts w:ascii="Verdana" w:hAnsi="Verdana"/>
          <w:bCs/>
          <w:i/>
          <w:lang w:eastAsia="ja-JP"/>
        </w:rPr>
        <w:t>Pakistan</w:t>
      </w:r>
    </w:p>
    <w:p w14:paraId="43CFDFFE" w14:textId="4893B094" w:rsidR="0042537C" w:rsidRDefault="0042537C" w:rsidP="00452657">
      <w:pPr>
        <w:spacing w:afterLines="50" w:after="163"/>
        <w:jc w:val="both"/>
        <w:rPr>
          <w:rFonts w:ascii="Verdana" w:hAnsi="Verdana"/>
          <w:b/>
          <w:lang w:eastAsia="ja-JP"/>
        </w:rPr>
      </w:pPr>
      <w:r>
        <w:rPr>
          <w:rFonts w:ascii="Verdana" w:hAnsi="Verdana"/>
          <w:bCs/>
          <w:lang w:eastAsia="ja-JP"/>
        </w:rPr>
        <w:t>Pakistan has been ready to</w:t>
      </w:r>
      <w:r w:rsidRPr="007F34D5">
        <w:rPr>
          <w:rFonts w:ascii="Verdana" w:hAnsi="Verdana" w:hint="eastAsia"/>
          <w:bCs/>
          <w:lang w:eastAsia="ja-JP"/>
        </w:rPr>
        <w:t xml:space="preserve"> </w:t>
      </w:r>
      <w:r w:rsidRPr="007F34D5">
        <w:rPr>
          <w:rFonts w:ascii="Verdana" w:hAnsi="Verdana"/>
          <w:bCs/>
          <w:lang w:eastAsia="ja-JP"/>
        </w:rPr>
        <w:t>disseminat</w:t>
      </w:r>
      <w:r>
        <w:rPr>
          <w:rFonts w:ascii="Verdana" w:hAnsi="Verdana"/>
          <w:bCs/>
          <w:lang w:eastAsia="ja-JP"/>
        </w:rPr>
        <w:t>e</w:t>
      </w:r>
      <w:r w:rsidRPr="007F34D5">
        <w:rPr>
          <w:rFonts w:ascii="Verdana" w:hAnsi="Verdana" w:hint="eastAsia"/>
          <w:bCs/>
          <w:lang w:eastAsia="ja-JP"/>
        </w:rPr>
        <w:t xml:space="preserve"> </w:t>
      </w:r>
      <w:r w:rsidRPr="007F34D5">
        <w:rPr>
          <w:rFonts w:ascii="Verdana" w:hAnsi="Verdana"/>
          <w:bCs/>
          <w:lang w:eastAsia="ja-JP"/>
        </w:rPr>
        <w:t xml:space="preserve">daily CLIMAT in BUFR format </w:t>
      </w:r>
      <w:r>
        <w:rPr>
          <w:rFonts w:ascii="Verdana" w:hAnsi="Verdana"/>
          <w:bCs/>
          <w:lang w:eastAsia="ja-JP"/>
        </w:rPr>
        <w:t>since</w:t>
      </w:r>
      <w:r w:rsidRPr="007F34D5">
        <w:rPr>
          <w:rFonts w:ascii="Verdana" w:hAnsi="Verdana"/>
          <w:bCs/>
          <w:lang w:eastAsia="ja-JP"/>
        </w:rPr>
        <w:t xml:space="preserve"> February 2019 with GTS heading of </w:t>
      </w:r>
      <w:r w:rsidRPr="0042537C">
        <w:rPr>
          <w:rFonts w:ascii="Verdana" w:hAnsi="Verdana"/>
          <w:bCs/>
          <w:lang w:eastAsia="ja-JP"/>
        </w:rPr>
        <w:t>ISCD60 OPKC</w:t>
      </w:r>
      <w:r w:rsidRPr="007F34D5">
        <w:rPr>
          <w:rFonts w:ascii="Verdana" w:hAnsi="Verdana"/>
          <w:bCs/>
          <w:lang w:eastAsia="ja-JP"/>
        </w:rPr>
        <w:t xml:space="preserve"> (</w:t>
      </w:r>
      <w:r w:rsidRPr="00D64522">
        <w:rPr>
          <w:rFonts w:ascii="Verdana" w:hAnsi="Verdana"/>
          <w:bCs/>
          <w:lang w:eastAsia="ja-JP"/>
        </w:rPr>
        <w:t>monthly)</w:t>
      </w:r>
      <w:r>
        <w:rPr>
          <w:rFonts w:ascii="Verdana" w:hAnsi="Verdana"/>
          <w:bCs/>
          <w:lang w:eastAsia="ja-JP"/>
        </w:rPr>
        <w:t xml:space="preserve"> and is coordinating with its principal GISC about routing of this bulletin.</w:t>
      </w:r>
    </w:p>
    <w:p w14:paraId="192939CC" w14:textId="77777777" w:rsidR="0042537C" w:rsidRDefault="0042537C" w:rsidP="00452657">
      <w:pPr>
        <w:spacing w:afterLines="50" w:after="163"/>
        <w:jc w:val="both"/>
        <w:rPr>
          <w:rFonts w:ascii="Verdana" w:hAnsi="Verdana"/>
          <w:b/>
          <w:lang w:eastAsia="ja-JP"/>
        </w:rPr>
      </w:pPr>
    </w:p>
    <w:p w14:paraId="72828AC5" w14:textId="59F9160D" w:rsidR="00DC5379" w:rsidRPr="00921B12" w:rsidRDefault="00DC5379" w:rsidP="00452657">
      <w:pPr>
        <w:spacing w:afterLines="50" w:after="163"/>
        <w:jc w:val="both"/>
        <w:rPr>
          <w:rFonts w:ascii="Verdana" w:hAnsi="Verdana"/>
          <w:b/>
          <w:lang w:eastAsia="ja-JP"/>
        </w:rPr>
      </w:pPr>
      <w:r w:rsidRPr="00921B12">
        <w:rPr>
          <w:rFonts w:ascii="Verdana" w:hAnsi="Verdana"/>
          <w:b/>
          <w:lang w:eastAsia="ja-JP"/>
        </w:rPr>
        <w:t>3</w:t>
      </w:r>
      <w:r w:rsidRPr="00921B12">
        <w:rPr>
          <w:rFonts w:ascii="Verdana" w:hAnsi="Verdana"/>
          <w:b/>
        </w:rPr>
        <w:tab/>
        <w:t>Monitoring and Analysis of Migration Status</w:t>
      </w:r>
    </w:p>
    <w:p w14:paraId="15128AA0" w14:textId="77777777" w:rsidR="00DC5379" w:rsidRPr="00921B12" w:rsidRDefault="00DC5379" w:rsidP="00DC5379">
      <w:pPr>
        <w:jc w:val="both"/>
        <w:rPr>
          <w:rFonts w:ascii="Verdana" w:hAnsi="Verdana"/>
          <w:bCs/>
          <w:u w:val="single"/>
          <w:lang w:eastAsia="ja-JP"/>
        </w:rPr>
      </w:pPr>
      <w:r w:rsidRPr="00921B12">
        <w:rPr>
          <w:rFonts w:ascii="Verdana" w:hAnsi="Verdana"/>
          <w:bCs/>
          <w:u w:val="single"/>
          <w:lang w:eastAsia="ja-JP"/>
        </w:rPr>
        <w:t>3.1</w:t>
      </w:r>
      <w:r w:rsidRPr="00921B12">
        <w:rPr>
          <w:rFonts w:ascii="Verdana" w:hAnsi="Verdana"/>
          <w:bCs/>
          <w:u w:val="single"/>
          <w:lang w:eastAsia="ja-JP"/>
        </w:rPr>
        <w:tab/>
        <w:t>Monitoring method</w:t>
      </w:r>
    </w:p>
    <w:p w14:paraId="035CD4B3" w14:textId="77777777" w:rsidR="00DC5379" w:rsidRPr="00921B12" w:rsidRDefault="00DC5379" w:rsidP="00DC5379">
      <w:pPr>
        <w:spacing w:afterLines="50" w:after="163"/>
        <w:jc w:val="both"/>
        <w:rPr>
          <w:rFonts w:ascii="Verdana" w:hAnsi="Verdana"/>
          <w:bCs/>
          <w:lang w:eastAsia="ja-JP"/>
        </w:rPr>
      </w:pPr>
      <w:r w:rsidRPr="00921B12">
        <w:rPr>
          <w:rFonts w:ascii="Verdana" w:hAnsi="Verdana"/>
          <w:bCs/>
          <w:lang w:eastAsia="ja-JP"/>
        </w:rPr>
        <w:t>Statistics were collected for the monitoring period (January, April, July and October 1 through 15). Resources were derived from the results of Special MTN Monitoring (SMM) pre-analysis and Integrated WWW Monitoring (IWM) created by WMC Melbourne/RTH Tokyo and from the latest version of the surface and upper-air station list of Regional Basic Synoptic Networks (RBSN) at the time of analysis.</w:t>
      </w:r>
    </w:p>
    <w:p w14:paraId="1B588FD3" w14:textId="77777777" w:rsidR="00DC5379" w:rsidRPr="00921B12" w:rsidRDefault="00DC5379" w:rsidP="00DC5379">
      <w:pPr>
        <w:spacing w:afterLines="50" w:after="163"/>
        <w:jc w:val="both"/>
        <w:rPr>
          <w:rFonts w:ascii="Verdana" w:hAnsi="Verdana"/>
          <w:bCs/>
          <w:lang w:eastAsia="ja-JP"/>
        </w:rPr>
      </w:pPr>
      <w:r w:rsidRPr="00921B12">
        <w:rPr>
          <w:rFonts w:ascii="Verdana" w:hAnsi="Verdana"/>
          <w:bCs/>
          <w:lang w:eastAsia="ja-JP"/>
        </w:rPr>
        <w:t>In addition to WWW monitoring, the status of TDCF data communication is also monitored based on a catalogue created by GISC Tokyo (available at http://www.wis-jma.go.jp/csv/catalog.csv).</w:t>
      </w:r>
    </w:p>
    <w:p w14:paraId="2F925F5B" w14:textId="77777777" w:rsidR="00DC5379" w:rsidRPr="00921B12" w:rsidRDefault="00DC5379" w:rsidP="00DC5379">
      <w:pPr>
        <w:jc w:val="both"/>
        <w:rPr>
          <w:rFonts w:ascii="Verdana" w:hAnsi="Verdana"/>
          <w:bCs/>
          <w:u w:val="single"/>
          <w:lang w:eastAsia="ja-JP"/>
        </w:rPr>
      </w:pPr>
      <w:r w:rsidRPr="00921B12">
        <w:rPr>
          <w:rFonts w:ascii="Verdana" w:hAnsi="Verdana"/>
          <w:bCs/>
          <w:u w:val="single"/>
          <w:lang w:eastAsia="ja-JP"/>
        </w:rPr>
        <w:t>3.2</w:t>
      </w:r>
      <w:r w:rsidRPr="00921B12">
        <w:rPr>
          <w:rFonts w:ascii="Verdana" w:hAnsi="Verdana"/>
          <w:bCs/>
          <w:u w:val="single"/>
          <w:lang w:eastAsia="ja-JP"/>
        </w:rPr>
        <w:tab/>
        <w:t>Migration progress and status</w:t>
      </w:r>
    </w:p>
    <w:p w14:paraId="1D60E766" w14:textId="77777777" w:rsidR="00DC5379" w:rsidRPr="00921B12" w:rsidRDefault="00DC5379" w:rsidP="00DC5379">
      <w:pPr>
        <w:rPr>
          <w:rFonts w:ascii="Verdana" w:hAnsi="Verdana"/>
          <w:bCs/>
          <w:lang w:eastAsia="ja-JP"/>
        </w:rPr>
      </w:pPr>
      <w:r w:rsidRPr="00921B12">
        <w:rPr>
          <w:rFonts w:ascii="Verdana" w:hAnsi="Verdana"/>
          <w:bCs/>
          <w:lang w:eastAsia="ja-JP"/>
        </w:rPr>
        <w:t>(1) SYNOP, TEMP and PILOT reports</w:t>
      </w:r>
    </w:p>
    <w:p w14:paraId="2999F685" w14:textId="3699F309" w:rsidR="00DC5379" w:rsidRPr="00921B12" w:rsidRDefault="00DC5379" w:rsidP="00DC5379">
      <w:pPr>
        <w:spacing w:afterLines="50" w:after="163"/>
        <w:jc w:val="both"/>
        <w:rPr>
          <w:rFonts w:ascii="Verdana" w:hAnsi="Verdana"/>
          <w:bCs/>
          <w:lang w:val="en-US" w:eastAsia="ja-JP"/>
        </w:rPr>
      </w:pPr>
      <w:r w:rsidRPr="00921B12">
        <w:rPr>
          <w:rFonts w:ascii="Verdana" w:hAnsi="Verdana"/>
          <w:bCs/>
          <w:lang w:val="en-US" w:eastAsia="ja-JP"/>
        </w:rPr>
        <w:t xml:space="preserve">The figures below show numerical representations of the progress of stations issuing BUFR-format bulletins equivalent to SYNOP and TEMP reports over the past three years. In the latest monitoring period from </w:t>
      </w:r>
      <w:r w:rsidR="00D64522">
        <w:rPr>
          <w:rFonts w:ascii="Verdana" w:hAnsi="Verdana"/>
          <w:bCs/>
          <w:lang w:val="en-US" w:eastAsia="ja-JP"/>
        </w:rPr>
        <w:t>January</w:t>
      </w:r>
      <w:r w:rsidRPr="00921B12">
        <w:rPr>
          <w:rFonts w:ascii="Verdana" w:hAnsi="Verdana"/>
          <w:bCs/>
          <w:lang w:val="en-US" w:eastAsia="ja-JP"/>
        </w:rPr>
        <w:t xml:space="preserve"> 1 to 15, </w:t>
      </w:r>
      <w:r w:rsidR="00D64522">
        <w:rPr>
          <w:rFonts w:ascii="Verdana" w:hAnsi="Verdana"/>
          <w:bCs/>
          <w:lang w:val="en-US" w:eastAsia="ja-JP"/>
        </w:rPr>
        <w:t>2019</w:t>
      </w:r>
      <w:r w:rsidRPr="00921B12">
        <w:rPr>
          <w:rFonts w:ascii="Verdana" w:hAnsi="Verdana"/>
          <w:bCs/>
          <w:lang w:val="en-US" w:eastAsia="ja-JP"/>
        </w:rPr>
        <w:t xml:space="preserve">, RTH Tokyo </w:t>
      </w:r>
      <w:r w:rsidRPr="00921B12">
        <w:rPr>
          <w:rFonts w:ascii="Verdana" w:hAnsi="Verdana"/>
          <w:bCs/>
          <w:lang w:val="en-US" w:eastAsia="ja-JP"/>
        </w:rPr>
        <w:lastRenderedPageBreak/>
        <w:t>received (</w:t>
      </w:r>
      <w:proofErr w:type="spellStart"/>
      <w:r w:rsidRPr="00921B12">
        <w:rPr>
          <w:rFonts w:ascii="Verdana" w:hAnsi="Verdana"/>
          <w:bCs/>
          <w:lang w:val="en-US" w:eastAsia="ja-JP"/>
        </w:rPr>
        <w:t>i</w:t>
      </w:r>
      <w:proofErr w:type="spellEnd"/>
      <w:r w:rsidRPr="00921B12">
        <w:rPr>
          <w:rFonts w:ascii="Verdana" w:hAnsi="Verdana"/>
          <w:bCs/>
          <w:lang w:val="en-US" w:eastAsia="ja-JP"/>
        </w:rPr>
        <w:t xml:space="preserve">) at least one surface synoptic observation report (excluding NIL reports) in BUFR format from </w:t>
      </w:r>
      <w:r w:rsidR="00D64522">
        <w:rPr>
          <w:rFonts w:ascii="Verdana" w:hAnsi="Verdana"/>
          <w:bCs/>
          <w:lang w:val="en-US" w:eastAsia="ja-JP"/>
        </w:rPr>
        <w:t>82</w:t>
      </w:r>
      <w:r w:rsidRPr="00921B12">
        <w:rPr>
          <w:rFonts w:ascii="Verdana" w:hAnsi="Verdana"/>
          <w:bCs/>
          <w:lang w:val="en-US" w:eastAsia="ja-JP"/>
        </w:rPr>
        <w:t xml:space="preserve">% of RA-II observation stations registered as part of RBSN (TAC format from 94%), and (ii) at least one upper-air sounding report in BUFR format from </w:t>
      </w:r>
      <w:r w:rsidR="00D64522">
        <w:rPr>
          <w:rFonts w:ascii="Verdana" w:hAnsi="Verdana"/>
          <w:bCs/>
          <w:lang w:val="en-US" w:eastAsia="ja-JP"/>
        </w:rPr>
        <w:t>53</w:t>
      </w:r>
      <w:r w:rsidRPr="00921B12">
        <w:rPr>
          <w:rFonts w:ascii="Verdana" w:hAnsi="Verdana"/>
          <w:bCs/>
          <w:lang w:val="en-US" w:eastAsia="ja-JP"/>
        </w:rPr>
        <w:t xml:space="preserve">% of registered stations (TAC format from </w:t>
      </w:r>
      <w:r w:rsidR="00D64522">
        <w:rPr>
          <w:rFonts w:ascii="Verdana" w:hAnsi="Verdana"/>
          <w:bCs/>
          <w:lang w:val="en-US" w:eastAsia="ja-JP"/>
        </w:rPr>
        <w:t>88</w:t>
      </w:r>
      <w:r w:rsidRPr="00921B12">
        <w:rPr>
          <w:rFonts w:ascii="Verdana" w:hAnsi="Verdana"/>
          <w:bCs/>
          <w:lang w:val="en-US" w:eastAsia="ja-JP"/>
        </w:rPr>
        <w:t xml:space="preserve">%). </w:t>
      </w:r>
      <w:r w:rsidR="00D64522">
        <w:rPr>
          <w:rFonts w:ascii="Verdana" w:hAnsi="Verdana"/>
          <w:bCs/>
          <w:lang w:val="en-US" w:eastAsia="ja-JP"/>
        </w:rPr>
        <w:t>F</w:t>
      </w:r>
      <w:r w:rsidR="00D64522" w:rsidRPr="00D64522">
        <w:rPr>
          <w:rFonts w:ascii="Verdana" w:hAnsi="Verdana"/>
          <w:bCs/>
          <w:lang w:val="en-US" w:eastAsia="ja-JP"/>
        </w:rPr>
        <w:t>ourteen</w:t>
      </w:r>
      <w:r w:rsidRPr="00921B12">
        <w:rPr>
          <w:rFonts w:ascii="Verdana" w:hAnsi="Verdana"/>
          <w:bCs/>
          <w:lang w:val="en-US" w:eastAsia="ja-JP"/>
        </w:rPr>
        <w:t xml:space="preserve"> BUFR reports equivalent to PILOT reports were received by RTH Tokyo in the monitoring period, while TAC bulletins were received from </w:t>
      </w:r>
      <w:r w:rsidR="00D64522">
        <w:rPr>
          <w:rFonts w:ascii="Verdana" w:hAnsi="Verdana"/>
          <w:bCs/>
          <w:lang w:val="en-US" w:eastAsia="ja-JP"/>
        </w:rPr>
        <w:t>f</w:t>
      </w:r>
      <w:r w:rsidR="00D64522" w:rsidRPr="00D64522">
        <w:rPr>
          <w:rFonts w:ascii="Verdana" w:hAnsi="Verdana"/>
          <w:bCs/>
          <w:lang w:val="en-US" w:eastAsia="ja-JP"/>
        </w:rPr>
        <w:t>ourteen</w:t>
      </w:r>
      <w:r w:rsidR="00D64522">
        <w:rPr>
          <w:rFonts w:ascii="Verdana" w:hAnsi="Verdana"/>
          <w:bCs/>
          <w:lang w:val="en-US" w:eastAsia="ja-JP"/>
        </w:rPr>
        <w:t xml:space="preserve"> </w:t>
      </w:r>
      <w:r w:rsidRPr="00921B12">
        <w:rPr>
          <w:rFonts w:ascii="Verdana" w:hAnsi="Verdana"/>
          <w:bCs/>
          <w:lang w:val="en-US" w:eastAsia="ja-JP"/>
        </w:rPr>
        <w:t>stations.</w:t>
      </w:r>
    </w:p>
    <w:p w14:paraId="12930437" w14:textId="5D68E8FC" w:rsidR="00DC5379" w:rsidRPr="00921B12" w:rsidRDefault="00DC5379" w:rsidP="00DC5379">
      <w:pPr>
        <w:spacing w:afterLines="50" w:after="163"/>
        <w:jc w:val="center"/>
        <w:rPr>
          <w:rFonts w:ascii="Verdana" w:hAnsi="Verdana"/>
          <w:bCs/>
          <w:lang w:val="en-US" w:eastAsia="ja-JP"/>
        </w:rPr>
      </w:pPr>
      <w:r w:rsidRPr="00921B12">
        <w:rPr>
          <w:rFonts w:ascii="Verdana" w:hAnsi="Verdana"/>
          <w:noProof/>
          <w:snapToGrid/>
          <w:lang w:val="en-US" w:eastAsia="ja-JP"/>
        </w:rPr>
        <w:t xml:space="preserve"> </w:t>
      </w:r>
      <w:r w:rsidR="00D64522" w:rsidRPr="00D64522">
        <w:rPr>
          <w:noProof/>
          <w:snapToGrid/>
          <w:lang w:val="en-US" w:eastAsia="ja-JP"/>
        </w:rPr>
        <w:t xml:space="preserve"> </w:t>
      </w:r>
      <w:r w:rsidR="00D64522">
        <w:rPr>
          <w:noProof/>
          <w:snapToGrid/>
          <w:lang w:eastAsia="ja-JP"/>
        </w:rPr>
        <w:drawing>
          <wp:inline distT="0" distB="0" distL="0" distR="0" wp14:anchorId="5C9357DE" wp14:editId="7CDBEB6D">
            <wp:extent cx="2880000" cy="1800000"/>
            <wp:effectExtent l="0" t="0" r="15875" b="1016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64522" w:rsidRPr="00D64522">
        <w:rPr>
          <w:noProof/>
          <w:snapToGrid/>
          <w:lang w:val="en-US" w:eastAsia="ja-JP"/>
        </w:rPr>
        <w:t xml:space="preserve"> </w:t>
      </w:r>
      <w:r w:rsidR="00D64522">
        <w:rPr>
          <w:noProof/>
          <w:snapToGrid/>
          <w:lang w:eastAsia="ja-JP"/>
        </w:rPr>
        <w:drawing>
          <wp:inline distT="0" distB="0" distL="0" distR="0" wp14:anchorId="2401E0F1" wp14:editId="3D9164B3">
            <wp:extent cx="2880000" cy="1800000"/>
            <wp:effectExtent l="0" t="0" r="15875" b="1016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1578CA" w14:textId="7E6BE2C5" w:rsidR="00DC5379" w:rsidRPr="00921B12" w:rsidRDefault="00DC5379" w:rsidP="00DC5379">
      <w:pPr>
        <w:jc w:val="center"/>
        <w:rPr>
          <w:rFonts w:ascii="Verdana" w:hAnsi="Verdana"/>
          <w:b/>
          <w:lang w:eastAsia="ja-JP"/>
        </w:rPr>
      </w:pPr>
      <w:r w:rsidRPr="00921B12">
        <w:rPr>
          <w:rFonts w:ascii="Verdana" w:hAnsi="Verdana"/>
          <w:lang w:val="en-US" w:eastAsia="ja-JP"/>
        </w:rPr>
        <w:t xml:space="preserve">Number of RA-II RBSN stations issuing surface synoptic observation (SYNOP) and upper-air sounding (TEMP) reports in TAC and BUFR format from </w:t>
      </w:r>
      <w:r w:rsidR="001F28D7">
        <w:rPr>
          <w:rFonts w:ascii="Verdana" w:hAnsi="Verdana"/>
          <w:lang w:val="en-US" w:eastAsia="ja-JP"/>
        </w:rPr>
        <w:t>April</w:t>
      </w:r>
      <w:r w:rsidRPr="00921B12">
        <w:rPr>
          <w:rFonts w:ascii="Verdana" w:hAnsi="Verdana"/>
          <w:lang w:val="en-US" w:eastAsia="ja-JP"/>
        </w:rPr>
        <w:t xml:space="preserve"> </w:t>
      </w:r>
      <w:r w:rsidR="001F28D7">
        <w:rPr>
          <w:rFonts w:ascii="Verdana" w:hAnsi="Verdana"/>
          <w:lang w:val="en-US" w:eastAsia="ja-JP"/>
        </w:rPr>
        <w:t>2016</w:t>
      </w:r>
      <w:r w:rsidRPr="00921B12">
        <w:rPr>
          <w:rFonts w:ascii="Verdana" w:hAnsi="Verdana"/>
          <w:lang w:val="en-US" w:eastAsia="ja-JP"/>
        </w:rPr>
        <w:t xml:space="preserve"> to </w:t>
      </w:r>
      <w:r w:rsidR="001F28D7">
        <w:rPr>
          <w:rFonts w:ascii="Verdana" w:hAnsi="Verdana"/>
          <w:lang w:val="en-US" w:eastAsia="ja-JP"/>
        </w:rPr>
        <w:t>January</w:t>
      </w:r>
      <w:r w:rsidRPr="00921B12">
        <w:rPr>
          <w:rFonts w:ascii="Verdana" w:hAnsi="Verdana"/>
          <w:lang w:val="en-US" w:eastAsia="ja-JP"/>
        </w:rPr>
        <w:t xml:space="preserve"> </w:t>
      </w:r>
      <w:r w:rsidR="001F28D7">
        <w:rPr>
          <w:rFonts w:ascii="Verdana" w:hAnsi="Verdana"/>
          <w:lang w:val="en-US" w:eastAsia="ja-JP"/>
        </w:rPr>
        <w:t>2019</w:t>
      </w:r>
    </w:p>
    <w:p w14:paraId="2BC7A9D0" w14:textId="77777777" w:rsidR="00DC5379" w:rsidRPr="001F28D7" w:rsidRDefault="00DC5379" w:rsidP="00DC5379">
      <w:pPr>
        <w:jc w:val="both"/>
        <w:rPr>
          <w:rFonts w:ascii="Verdana" w:hAnsi="Verdana"/>
          <w:bCs/>
          <w:lang w:eastAsia="ja-JP"/>
        </w:rPr>
      </w:pPr>
    </w:p>
    <w:p w14:paraId="25CA4E88" w14:textId="77777777" w:rsidR="00DC5379" w:rsidRPr="00921B12" w:rsidRDefault="00DC5379" w:rsidP="00DC5379">
      <w:pPr>
        <w:jc w:val="both"/>
        <w:rPr>
          <w:rFonts w:ascii="Verdana" w:hAnsi="Verdana"/>
          <w:bCs/>
          <w:lang w:val="en-US" w:eastAsia="ja-JP"/>
        </w:rPr>
      </w:pPr>
      <w:r w:rsidRPr="00921B12">
        <w:rPr>
          <w:rFonts w:ascii="Verdana" w:hAnsi="Verdana"/>
          <w:bCs/>
          <w:lang w:val="en-US" w:eastAsia="ja-JP"/>
        </w:rPr>
        <w:t>(2) CLIMAT reports</w:t>
      </w:r>
    </w:p>
    <w:p w14:paraId="5D337333" w14:textId="1F23099C" w:rsidR="00DC5379" w:rsidRPr="00921B12" w:rsidRDefault="00DC5379" w:rsidP="00DC5379">
      <w:pPr>
        <w:spacing w:afterLines="50" w:after="163"/>
        <w:jc w:val="both"/>
        <w:rPr>
          <w:rFonts w:ascii="Verdana" w:hAnsi="Verdana"/>
          <w:bCs/>
          <w:lang w:val="en-US" w:eastAsia="ja-JP"/>
        </w:rPr>
      </w:pPr>
      <w:r w:rsidRPr="00921B12">
        <w:rPr>
          <w:rFonts w:ascii="Verdana" w:hAnsi="Verdana"/>
          <w:bCs/>
          <w:lang w:val="en-US" w:eastAsia="ja-JP"/>
        </w:rPr>
        <w:t xml:space="preserve">As of </w:t>
      </w:r>
      <w:r w:rsidR="00AF77E9">
        <w:rPr>
          <w:rFonts w:ascii="Verdana" w:hAnsi="Verdana" w:hint="eastAsia"/>
          <w:bCs/>
          <w:lang w:val="en-US" w:eastAsia="ja-JP"/>
        </w:rPr>
        <w:t>March</w:t>
      </w:r>
      <w:r w:rsidRPr="00921B12">
        <w:rPr>
          <w:rFonts w:ascii="Verdana" w:hAnsi="Verdana"/>
          <w:bCs/>
          <w:lang w:val="en-US" w:eastAsia="ja-JP"/>
        </w:rPr>
        <w:t xml:space="preserve"> </w:t>
      </w:r>
      <w:r w:rsidR="001F28D7">
        <w:rPr>
          <w:rFonts w:ascii="Verdana" w:hAnsi="Verdana"/>
          <w:bCs/>
          <w:lang w:val="en-US" w:eastAsia="ja-JP"/>
        </w:rPr>
        <w:t>2019</w:t>
      </w:r>
      <w:r w:rsidRPr="00921B12">
        <w:rPr>
          <w:rFonts w:ascii="Verdana" w:hAnsi="Verdana"/>
          <w:bCs/>
          <w:lang w:val="en-US" w:eastAsia="ja-JP"/>
        </w:rPr>
        <w:t>, 13 Members out of 35 Members who have Regional Basic Climatological Network (RBCN) stations were reporting CLIMAT data in BUFR format: China; India; Mongolia; Saudi Arabia; Pakistan; Japan; Bangladesh; Hong Kong, China; Macao, China, Republic of Korea, Myanmar, Thailand and Lao PDR.</w:t>
      </w:r>
      <w:r w:rsidR="001F28D7">
        <w:rPr>
          <w:rFonts w:ascii="Verdana" w:hAnsi="Verdana"/>
          <w:bCs/>
          <w:lang w:val="en-US" w:eastAsia="ja-JP"/>
        </w:rPr>
        <w:t xml:space="preserve"> Hong Kong and Japan were also reporting </w:t>
      </w:r>
      <w:r w:rsidR="001F28D7" w:rsidRPr="007F34D5">
        <w:rPr>
          <w:rFonts w:ascii="Verdana" w:hAnsi="Verdana" w:hint="eastAsia"/>
          <w:bCs/>
          <w:lang w:eastAsia="ja-JP"/>
        </w:rPr>
        <w:t>daily CLIMAT</w:t>
      </w:r>
      <w:r w:rsidR="001F28D7">
        <w:rPr>
          <w:rFonts w:ascii="Verdana" w:hAnsi="Verdana"/>
          <w:bCs/>
          <w:lang w:eastAsia="ja-JP"/>
        </w:rPr>
        <w:t xml:space="preserve"> reports in BUFR format.</w:t>
      </w:r>
    </w:p>
    <w:p w14:paraId="19D7436C" w14:textId="77777777" w:rsidR="00DC5379" w:rsidRPr="00921B12" w:rsidRDefault="00DC5379" w:rsidP="00DC5379">
      <w:pPr>
        <w:jc w:val="both"/>
        <w:rPr>
          <w:rFonts w:ascii="Verdana" w:hAnsi="Verdana"/>
          <w:bCs/>
          <w:lang w:val="en-US" w:eastAsia="ja-JP"/>
        </w:rPr>
      </w:pPr>
      <w:r w:rsidRPr="00921B12">
        <w:rPr>
          <w:rFonts w:ascii="Verdana" w:hAnsi="Verdana"/>
          <w:bCs/>
          <w:lang w:val="en-US" w:eastAsia="ja-JP"/>
        </w:rPr>
        <w:t>(3) Marine reports</w:t>
      </w:r>
    </w:p>
    <w:p w14:paraId="72423C2E" w14:textId="77A9279F" w:rsidR="00DC5379" w:rsidRPr="00921B12" w:rsidRDefault="00DC5379" w:rsidP="00DC5379">
      <w:pPr>
        <w:spacing w:afterLines="50" w:after="163"/>
        <w:jc w:val="both"/>
        <w:rPr>
          <w:rFonts w:ascii="Verdana" w:hAnsi="Verdana"/>
          <w:bCs/>
          <w:lang w:val="en-US" w:eastAsia="ja-JP"/>
        </w:rPr>
      </w:pPr>
      <w:r w:rsidRPr="00921B12">
        <w:rPr>
          <w:rFonts w:ascii="Verdana" w:hAnsi="Verdana"/>
          <w:bCs/>
          <w:lang w:val="en-US" w:eastAsia="ja-JP"/>
        </w:rPr>
        <w:t xml:space="preserve">As of </w:t>
      </w:r>
      <w:r w:rsidR="00AF77E9">
        <w:rPr>
          <w:rFonts w:ascii="Verdana" w:hAnsi="Verdana"/>
          <w:bCs/>
          <w:lang w:val="en-US" w:eastAsia="ja-JP"/>
        </w:rPr>
        <w:t>March</w:t>
      </w:r>
      <w:r w:rsidRPr="00921B12">
        <w:rPr>
          <w:rFonts w:ascii="Verdana" w:hAnsi="Verdana"/>
          <w:bCs/>
          <w:lang w:val="en-US" w:eastAsia="ja-JP"/>
        </w:rPr>
        <w:t xml:space="preserve"> </w:t>
      </w:r>
      <w:r w:rsidR="001F28D7">
        <w:rPr>
          <w:rFonts w:ascii="Verdana" w:hAnsi="Verdana"/>
          <w:bCs/>
          <w:lang w:val="en-US" w:eastAsia="ja-JP"/>
        </w:rPr>
        <w:t>2019</w:t>
      </w:r>
      <w:r w:rsidRPr="00921B12">
        <w:rPr>
          <w:rFonts w:ascii="Verdana" w:hAnsi="Verdana"/>
          <w:bCs/>
          <w:lang w:val="en-US" w:eastAsia="ja-JP"/>
        </w:rPr>
        <w:t>, India (TESAC), Hong Kong, China (SHIP), Japan (TESAC, TRACKOB, SHIP) and Republic of Korea (TESAC, VOS) were routinely disseminating marine observation data in BUFR format.  Adoption of new templates for TESAC and BATHY is limited.</w:t>
      </w:r>
    </w:p>
    <w:p w14:paraId="720BA885" w14:textId="77777777" w:rsidR="00DC5379" w:rsidRPr="00921B12" w:rsidRDefault="00DC5379" w:rsidP="00DC5379">
      <w:pPr>
        <w:spacing w:afterLines="50" w:after="163"/>
        <w:jc w:val="both"/>
        <w:rPr>
          <w:rFonts w:ascii="Verdana" w:hAnsi="Verdana"/>
          <w:bCs/>
          <w:lang w:eastAsia="ja-JP"/>
        </w:rPr>
      </w:pPr>
    </w:p>
    <w:bookmarkEnd w:id="2"/>
    <w:p w14:paraId="444CE13D" w14:textId="77777777" w:rsidR="00D51173" w:rsidRPr="00DC5379" w:rsidRDefault="00D51173" w:rsidP="00DC5379">
      <w:pPr>
        <w:rPr>
          <w:rFonts w:ascii="Verdana" w:hAnsi="Verdana"/>
          <w:sz w:val="20"/>
          <w:szCs w:val="20"/>
        </w:rPr>
      </w:pPr>
    </w:p>
    <w:sectPr w:rsidR="00D51173" w:rsidRPr="00DC5379"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BB6E3" w14:textId="77777777" w:rsidR="00A9680B" w:rsidRDefault="00A9680B" w:rsidP="004C1690">
      <w:r>
        <w:separator/>
      </w:r>
    </w:p>
  </w:endnote>
  <w:endnote w:type="continuationSeparator" w:id="0">
    <w:p w14:paraId="67461963" w14:textId="77777777" w:rsidR="00A9680B" w:rsidRDefault="00A9680B"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Yu Gothic">
    <w:altName w:val="游ゴシック"/>
    <w:charset w:val="80"/>
    <w:family w:val="modern"/>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D291" w14:textId="77777777" w:rsidR="00A9680B" w:rsidRDefault="00A9680B" w:rsidP="004C1690">
      <w:r>
        <w:separator/>
      </w:r>
    </w:p>
  </w:footnote>
  <w:footnote w:type="continuationSeparator" w:id="0">
    <w:p w14:paraId="2C7DB6C7" w14:textId="77777777" w:rsidR="00A9680B" w:rsidRDefault="00A9680B"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4754A"/>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760D8"/>
    <w:rsid w:val="00183272"/>
    <w:rsid w:val="001934B1"/>
    <w:rsid w:val="001A1400"/>
    <w:rsid w:val="001A1B97"/>
    <w:rsid w:val="001B2641"/>
    <w:rsid w:val="001B4FD3"/>
    <w:rsid w:val="001B6D4A"/>
    <w:rsid w:val="001B74EA"/>
    <w:rsid w:val="001C6D52"/>
    <w:rsid w:val="001D0616"/>
    <w:rsid w:val="001E5BCA"/>
    <w:rsid w:val="001F28D7"/>
    <w:rsid w:val="001F354A"/>
    <w:rsid w:val="002012ED"/>
    <w:rsid w:val="00202193"/>
    <w:rsid w:val="00205D7D"/>
    <w:rsid w:val="00214F1F"/>
    <w:rsid w:val="002151FB"/>
    <w:rsid w:val="00216E6B"/>
    <w:rsid w:val="002220C1"/>
    <w:rsid w:val="0022582B"/>
    <w:rsid w:val="00225E68"/>
    <w:rsid w:val="002305E7"/>
    <w:rsid w:val="00231A50"/>
    <w:rsid w:val="002601CB"/>
    <w:rsid w:val="0028709C"/>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1107"/>
    <w:rsid w:val="0034399D"/>
    <w:rsid w:val="00352878"/>
    <w:rsid w:val="0036139A"/>
    <w:rsid w:val="00363143"/>
    <w:rsid w:val="00366843"/>
    <w:rsid w:val="00374650"/>
    <w:rsid w:val="00385128"/>
    <w:rsid w:val="00386063"/>
    <w:rsid w:val="0039463C"/>
    <w:rsid w:val="003A246E"/>
    <w:rsid w:val="003B0BF2"/>
    <w:rsid w:val="003B3721"/>
    <w:rsid w:val="003B4D67"/>
    <w:rsid w:val="003B6556"/>
    <w:rsid w:val="003C0543"/>
    <w:rsid w:val="003C2D96"/>
    <w:rsid w:val="003C7242"/>
    <w:rsid w:val="003D460D"/>
    <w:rsid w:val="003E54E6"/>
    <w:rsid w:val="00403730"/>
    <w:rsid w:val="0041323D"/>
    <w:rsid w:val="00415F97"/>
    <w:rsid w:val="0041681E"/>
    <w:rsid w:val="0042537C"/>
    <w:rsid w:val="0043708B"/>
    <w:rsid w:val="004467D2"/>
    <w:rsid w:val="00452657"/>
    <w:rsid w:val="00455289"/>
    <w:rsid w:val="00455898"/>
    <w:rsid w:val="0046035B"/>
    <w:rsid w:val="00461911"/>
    <w:rsid w:val="004646B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706F8"/>
    <w:rsid w:val="0068721F"/>
    <w:rsid w:val="006B275B"/>
    <w:rsid w:val="006C0A1F"/>
    <w:rsid w:val="006C339E"/>
    <w:rsid w:val="006C56A1"/>
    <w:rsid w:val="006C7806"/>
    <w:rsid w:val="006C7DBB"/>
    <w:rsid w:val="006D0549"/>
    <w:rsid w:val="006D3E04"/>
    <w:rsid w:val="006D4AA7"/>
    <w:rsid w:val="006E0205"/>
    <w:rsid w:val="006E38F3"/>
    <w:rsid w:val="006E50C0"/>
    <w:rsid w:val="006F3CE0"/>
    <w:rsid w:val="006F7096"/>
    <w:rsid w:val="006F7540"/>
    <w:rsid w:val="007028AF"/>
    <w:rsid w:val="0070557F"/>
    <w:rsid w:val="007121C3"/>
    <w:rsid w:val="00726FD4"/>
    <w:rsid w:val="00731C6C"/>
    <w:rsid w:val="007334CC"/>
    <w:rsid w:val="0073373A"/>
    <w:rsid w:val="00737E2D"/>
    <w:rsid w:val="00737F45"/>
    <w:rsid w:val="007635BE"/>
    <w:rsid w:val="00771765"/>
    <w:rsid w:val="00774097"/>
    <w:rsid w:val="00777294"/>
    <w:rsid w:val="007A602D"/>
    <w:rsid w:val="007B3EF4"/>
    <w:rsid w:val="007B7856"/>
    <w:rsid w:val="007D135B"/>
    <w:rsid w:val="007D3759"/>
    <w:rsid w:val="007D488A"/>
    <w:rsid w:val="007D7EC9"/>
    <w:rsid w:val="007F1D18"/>
    <w:rsid w:val="007F34D5"/>
    <w:rsid w:val="007F571D"/>
    <w:rsid w:val="00806A85"/>
    <w:rsid w:val="00810F6C"/>
    <w:rsid w:val="00822564"/>
    <w:rsid w:val="0084259D"/>
    <w:rsid w:val="008465B6"/>
    <w:rsid w:val="00854CF1"/>
    <w:rsid w:val="0087795A"/>
    <w:rsid w:val="00882178"/>
    <w:rsid w:val="00892549"/>
    <w:rsid w:val="008A4415"/>
    <w:rsid w:val="008A48FF"/>
    <w:rsid w:val="008B027C"/>
    <w:rsid w:val="008E669E"/>
    <w:rsid w:val="008E6C3A"/>
    <w:rsid w:val="00910EDE"/>
    <w:rsid w:val="00911012"/>
    <w:rsid w:val="00916862"/>
    <w:rsid w:val="009251AE"/>
    <w:rsid w:val="009511E7"/>
    <w:rsid w:val="00955292"/>
    <w:rsid w:val="009558BC"/>
    <w:rsid w:val="00965F8E"/>
    <w:rsid w:val="00970B57"/>
    <w:rsid w:val="00976269"/>
    <w:rsid w:val="00976B00"/>
    <w:rsid w:val="00983CED"/>
    <w:rsid w:val="00984C25"/>
    <w:rsid w:val="009950B5"/>
    <w:rsid w:val="009A209F"/>
    <w:rsid w:val="009C4D6F"/>
    <w:rsid w:val="009C731D"/>
    <w:rsid w:val="009D07EC"/>
    <w:rsid w:val="009D6DA6"/>
    <w:rsid w:val="009E1CA9"/>
    <w:rsid w:val="009E725C"/>
    <w:rsid w:val="009F14D6"/>
    <w:rsid w:val="009F245F"/>
    <w:rsid w:val="00A05C6E"/>
    <w:rsid w:val="00A06245"/>
    <w:rsid w:val="00A06569"/>
    <w:rsid w:val="00A11090"/>
    <w:rsid w:val="00A17D50"/>
    <w:rsid w:val="00A259DA"/>
    <w:rsid w:val="00A35997"/>
    <w:rsid w:val="00A64379"/>
    <w:rsid w:val="00A6536B"/>
    <w:rsid w:val="00A70764"/>
    <w:rsid w:val="00A710FD"/>
    <w:rsid w:val="00A755B1"/>
    <w:rsid w:val="00A8078C"/>
    <w:rsid w:val="00A83665"/>
    <w:rsid w:val="00A9680B"/>
    <w:rsid w:val="00AC098E"/>
    <w:rsid w:val="00AC7AE4"/>
    <w:rsid w:val="00AD5FD8"/>
    <w:rsid w:val="00AF060A"/>
    <w:rsid w:val="00AF3CFA"/>
    <w:rsid w:val="00AF77E9"/>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8700F"/>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522"/>
    <w:rsid w:val="00D64CE3"/>
    <w:rsid w:val="00D726C7"/>
    <w:rsid w:val="00D87EBC"/>
    <w:rsid w:val="00D96433"/>
    <w:rsid w:val="00DA14BC"/>
    <w:rsid w:val="00DC3E1A"/>
    <w:rsid w:val="00DC5379"/>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07729"/>
    <w:rsid w:val="00F20B57"/>
    <w:rsid w:val="00F2595D"/>
    <w:rsid w:val="00F322CC"/>
    <w:rsid w:val="00F33FAD"/>
    <w:rsid w:val="00F35A04"/>
    <w:rsid w:val="00F4589C"/>
    <w:rsid w:val="00F45978"/>
    <w:rsid w:val="00F5434C"/>
    <w:rsid w:val="00FA23EF"/>
    <w:rsid w:val="00FC0337"/>
    <w:rsid w:val="00FC41E9"/>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10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uiPriority w:val="59"/>
    <w:rsid w:val="00DC5379"/>
    <w:rPr>
      <w:rFonts w:ascii="MS PGothic" w:eastAsia="MS PGothic" w:hAnsi="Century"/>
      <w:kern w:val="2"/>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07729"/>
    <w:rPr>
      <w:sz w:val="18"/>
      <w:szCs w:val="18"/>
    </w:rPr>
  </w:style>
  <w:style w:type="paragraph" w:styleId="CommentText">
    <w:name w:val="annotation text"/>
    <w:basedOn w:val="Normal"/>
    <w:link w:val="CommentTextChar"/>
    <w:semiHidden/>
    <w:unhideWhenUsed/>
    <w:rsid w:val="00F07729"/>
  </w:style>
  <w:style w:type="character" w:customStyle="1" w:styleId="CommentTextChar">
    <w:name w:val="Comment Text Char"/>
    <w:basedOn w:val="DefaultParagraphFont"/>
    <w:link w:val="CommentText"/>
    <w:semiHidden/>
    <w:rsid w:val="00F07729"/>
    <w:rPr>
      <w:rFonts w:ascii="Arial" w:hAnsi="Arial"/>
      <w:snapToGrid w:val="0"/>
      <w:sz w:val="22"/>
      <w:szCs w:val="22"/>
      <w:lang w:eastAsia="en-US"/>
    </w:rPr>
  </w:style>
  <w:style w:type="paragraph" w:styleId="CommentSubject">
    <w:name w:val="annotation subject"/>
    <w:basedOn w:val="CommentText"/>
    <w:next w:val="CommentText"/>
    <w:link w:val="CommentSubjectChar"/>
    <w:semiHidden/>
    <w:unhideWhenUsed/>
    <w:rsid w:val="00F07729"/>
    <w:rPr>
      <w:b/>
      <w:bCs/>
    </w:rPr>
  </w:style>
  <w:style w:type="character" w:customStyle="1" w:styleId="CommentSubjectChar">
    <w:name w:val="Comment Subject Char"/>
    <w:basedOn w:val="CommentTextChar"/>
    <w:link w:val="CommentSubject"/>
    <w:semiHidden/>
    <w:rsid w:val="00F07729"/>
    <w:rPr>
      <w:rFonts w:ascii="Arial" w:hAnsi="Arial"/>
      <w:b/>
      <w:bCs/>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uiPriority w:val="59"/>
    <w:rsid w:val="00DC5379"/>
    <w:rPr>
      <w:rFonts w:ascii="MS PGothic" w:eastAsia="MS PGothic" w:hAnsi="Century"/>
      <w:kern w:val="2"/>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07729"/>
    <w:rPr>
      <w:sz w:val="18"/>
      <w:szCs w:val="18"/>
    </w:rPr>
  </w:style>
  <w:style w:type="paragraph" w:styleId="CommentText">
    <w:name w:val="annotation text"/>
    <w:basedOn w:val="Normal"/>
    <w:link w:val="CommentTextChar"/>
    <w:semiHidden/>
    <w:unhideWhenUsed/>
    <w:rsid w:val="00F07729"/>
  </w:style>
  <w:style w:type="character" w:customStyle="1" w:styleId="CommentTextChar">
    <w:name w:val="Comment Text Char"/>
    <w:basedOn w:val="DefaultParagraphFont"/>
    <w:link w:val="CommentText"/>
    <w:semiHidden/>
    <w:rsid w:val="00F07729"/>
    <w:rPr>
      <w:rFonts w:ascii="Arial" w:hAnsi="Arial"/>
      <w:snapToGrid w:val="0"/>
      <w:sz w:val="22"/>
      <w:szCs w:val="22"/>
      <w:lang w:eastAsia="en-US"/>
    </w:rPr>
  </w:style>
  <w:style w:type="paragraph" w:styleId="CommentSubject">
    <w:name w:val="annotation subject"/>
    <w:basedOn w:val="CommentText"/>
    <w:next w:val="CommentText"/>
    <w:link w:val="CommentSubjectChar"/>
    <w:semiHidden/>
    <w:unhideWhenUsed/>
    <w:rsid w:val="00F07729"/>
    <w:rPr>
      <w:b/>
      <w:bCs/>
    </w:rPr>
  </w:style>
  <w:style w:type="character" w:customStyle="1" w:styleId="CommentSubjectChar">
    <w:name w:val="Comment Subject Char"/>
    <w:basedOn w:val="CommentTextChar"/>
    <w:link w:val="CommentSubject"/>
    <w:semiHidden/>
    <w:rsid w:val="00F07729"/>
    <w:rPr>
      <w:rFonts w:ascii="Arial" w:hAnsi="Arial"/>
      <w:b/>
      <w:bCs/>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721">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jcmn16\&#22269;&#38555;&#29677;&#20869;&#20849;&#26377;\&#36890;&#22577;&#24335;&#22320;&#28857;&#30058;&#21495;&#38306;&#36899;\TDCF&#35519;&#26619;\&#38598;&#35336;&#32080;&#26524;_in_RAII_2019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cmn16\&#22269;&#38555;&#29677;&#20869;&#20849;&#26377;\&#36890;&#22577;&#24335;&#22320;&#28857;&#30058;&#21495;&#38306;&#36899;\TDCF&#35519;&#26619;\&#38598;&#35336;&#32080;&#26524;_in_RAII_2019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lang="ja-JP" sz="900"/>
            </a:pPr>
            <a:r>
              <a:rPr lang="en-US" sz="900"/>
              <a:t>SYNOP RBSN stations in RA II</a:t>
            </a:r>
            <a:endParaRPr lang="ja-JP" sz="900"/>
          </a:p>
        </c:rich>
      </c:tx>
      <c:layout/>
      <c:overlay val="0"/>
    </c:title>
    <c:autoTitleDeleted val="0"/>
    <c:plotArea>
      <c:layout/>
      <c:barChart>
        <c:barDir val="col"/>
        <c:grouping val="clustered"/>
        <c:varyColors val="0"/>
        <c:ser>
          <c:idx val="0"/>
          <c:order val="0"/>
          <c:tx>
            <c:strRef>
              <c:f>Stations!$B$2</c:f>
              <c:strCache>
                <c:ptCount val="1"/>
                <c:pt idx="0">
                  <c:v>TAC</c:v>
                </c:pt>
              </c:strCache>
            </c:strRef>
          </c:tx>
          <c:invertIfNegative val="0"/>
          <c:cat>
            <c:numRef>
              <c:f>Stations!$A$33:$A$44</c:f>
              <c:numCache>
                <c:formatCode>mmm\-yy</c:formatCode>
                <c:ptCount val="12"/>
                <c:pt idx="0">
                  <c:v>42476</c:v>
                </c:pt>
                <c:pt idx="1">
                  <c:v>42567</c:v>
                </c:pt>
                <c:pt idx="2">
                  <c:v>42659</c:v>
                </c:pt>
                <c:pt idx="3">
                  <c:v>42751</c:v>
                </c:pt>
                <c:pt idx="4">
                  <c:v>42841</c:v>
                </c:pt>
                <c:pt idx="5">
                  <c:v>42917</c:v>
                </c:pt>
                <c:pt idx="6">
                  <c:v>43009</c:v>
                </c:pt>
                <c:pt idx="7">
                  <c:v>43101</c:v>
                </c:pt>
                <c:pt idx="8">
                  <c:v>43191</c:v>
                </c:pt>
                <c:pt idx="9">
                  <c:v>43282</c:v>
                </c:pt>
                <c:pt idx="10">
                  <c:v>43374</c:v>
                </c:pt>
                <c:pt idx="11">
                  <c:v>43484</c:v>
                </c:pt>
              </c:numCache>
            </c:numRef>
          </c:cat>
          <c:val>
            <c:numRef>
              <c:f>Stations!$B$33:$B$44</c:f>
              <c:numCache>
                <c:formatCode>General</c:formatCode>
                <c:ptCount val="12"/>
                <c:pt idx="0">
                  <c:v>1542</c:v>
                </c:pt>
                <c:pt idx="1">
                  <c:v>1536</c:v>
                </c:pt>
                <c:pt idx="2">
                  <c:v>1556</c:v>
                </c:pt>
                <c:pt idx="3">
                  <c:v>1540</c:v>
                </c:pt>
                <c:pt idx="4">
                  <c:v>1545</c:v>
                </c:pt>
                <c:pt idx="5">
                  <c:v>1541</c:v>
                </c:pt>
                <c:pt idx="6">
                  <c:v>1559</c:v>
                </c:pt>
                <c:pt idx="7">
                  <c:v>1543</c:v>
                </c:pt>
                <c:pt idx="8">
                  <c:v>1542</c:v>
                </c:pt>
                <c:pt idx="9">
                  <c:v>1508</c:v>
                </c:pt>
                <c:pt idx="10">
                  <c:v>1544</c:v>
                </c:pt>
                <c:pt idx="11">
                  <c:v>1543</c:v>
                </c:pt>
              </c:numCache>
            </c:numRef>
          </c:val>
          <c:extLst xmlns:c16r2="http://schemas.microsoft.com/office/drawing/2015/06/chart">
            <c:ext xmlns:c16="http://schemas.microsoft.com/office/drawing/2014/chart" uri="{C3380CC4-5D6E-409C-BE32-E72D297353CC}">
              <c16:uniqueId val="{00000000-4C7A-4032-825E-A124FC62FC63}"/>
            </c:ext>
          </c:extLst>
        </c:ser>
        <c:ser>
          <c:idx val="1"/>
          <c:order val="1"/>
          <c:tx>
            <c:strRef>
              <c:f>Stations!$C$2</c:f>
              <c:strCache>
                <c:ptCount val="1"/>
                <c:pt idx="0">
                  <c:v>BUFR</c:v>
                </c:pt>
              </c:strCache>
            </c:strRef>
          </c:tx>
          <c:invertIfNegative val="0"/>
          <c:cat>
            <c:numRef>
              <c:f>Stations!$A$33:$A$44</c:f>
              <c:numCache>
                <c:formatCode>mmm\-yy</c:formatCode>
                <c:ptCount val="12"/>
                <c:pt idx="0">
                  <c:v>42476</c:v>
                </c:pt>
                <c:pt idx="1">
                  <c:v>42567</c:v>
                </c:pt>
                <c:pt idx="2">
                  <c:v>42659</c:v>
                </c:pt>
                <c:pt idx="3">
                  <c:v>42751</c:v>
                </c:pt>
                <c:pt idx="4">
                  <c:v>42841</c:v>
                </c:pt>
                <c:pt idx="5">
                  <c:v>42917</c:v>
                </c:pt>
                <c:pt idx="6">
                  <c:v>43009</c:v>
                </c:pt>
                <c:pt idx="7">
                  <c:v>43101</c:v>
                </c:pt>
                <c:pt idx="8">
                  <c:v>43191</c:v>
                </c:pt>
                <c:pt idx="9">
                  <c:v>43282</c:v>
                </c:pt>
                <c:pt idx="10">
                  <c:v>43374</c:v>
                </c:pt>
                <c:pt idx="11">
                  <c:v>43484</c:v>
                </c:pt>
              </c:numCache>
            </c:numRef>
          </c:cat>
          <c:val>
            <c:numRef>
              <c:f>Stations!$C$33:$C$44</c:f>
              <c:numCache>
                <c:formatCode>General</c:formatCode>
                <c:ptCount val="12"/>
                <c:pt idx="0">
                  <c:v>1261</c:v>
                </c:pt>
                <c:pt idx="1">
                  <c:v>1110</c:v>
                </c:pt>
                <c:pt idx="2">
                  <c:v>1085</c:v>
                </c:pt>
                <c:pt idx="3">
                  <c:v>1153</c:v>
                </c:pt>
                <c:pt idx="4">
                  <c:v>1262</c:v>
                </c:pt>
                <c:pt idx="5">
                  <c:v>1262</c:v>
                </c:pt>
                <c:pt idx="6">
                  <c:v>1262</c:v>
                </c:pt>
                <c:pt idx="7">
                  <c:v>1247</c:v>
                </c:pt>
                <c:pt idx="8">
                  <c:v>1224</c:v>
                </c:pt>
                <c:pt idx="9">
                  <c:v>1319</c:v>
                </c:pt>
                <c:pt idx="10">
                  <c:v>1353</c:v>
                </c:pt>
                <c:pt idx="11">
                  <c:v>1342</c:v>
                </c:pt>
              </c:numCache>
            </c:numRef>
          </c:val>
          <c:extLst xmlns:c16r2="http://schemas.microsoft.com/office/drawing/2015/06/chart">
            <c:ext xmlns:c16="http://schemas.microsoft.com/office/drawing/2014/chart" uri="{C3380CC4-5D6E-409C-BE32-E72D297353CC}">
              <c16:uniqueId val="{00000001-4C7A-4032-825E-A124FC62FC63}"/>
            </c:ext>
          </c:extLst>
        </c:ser>
        <c:dLbls>
          <c:showLegendKey val="0"/>
          <c:showVal val="0"/>
          <c:showCatName val="0"/>
          <c:showSerName val="0"/>
          <c:showPercent val="0"/>
          <c:showBubbleSize val="0"/>
        </c:dLbls>
        <c:gapWidth val="150"/>
        <c:axId val="133929216"/>
        <c:axId val="133935104"/>
      </c:barChart>
      <c:catAx>
        <c:axId val="133929216"/>
        <c:scaling>
          <c:orientation val="minMax"/>
        </c:scaling>
        <c:delete val="0"/>
        <c:axPos val="b"/>
        <c:numFmt formatCode="mmm\-yy" sourceLinked="1"/>
        <c:majorTickMark val="none"/>
        <c:minorTickMark val="none"/>
        <c:tickLblPos val="nextTo"/>
        <c:txPr>
          <a:bodyPr/>
          <a:lstStyle/>
          <a:p>
            <a:pPr>
              <a:defRPr lang="ja-JP" sz="600"/>
            </a:pPr>
            <a:endParaRPr lang="en-US"/>
          </a:p>
        </c:txPr>
        <c:crossAx val="133935104"/>
        <c:crosses val="autoZero"/>
        <c:auto val="0"/>
        <c:lblAlgn val="ctr"/>
        <c:lblOffset val="100"/>
        <c:noMultiLvlLbl val="0"/>
      </c:catAx>
      <c:valAx>
        <c:axId val="133935104"/>
        <c:scaling>
          <c:orientation val="minMax"/>
        </c:scaling>
        <c:delete val="0"/>
        <c:axPos val="l"/>
        <c:majorGridlines/>
        <c:numFmt formatCode="General" sourceLinked="1"/>
        <c:majorTickMark val="none"/>
        <c:minorTickMark val="none"/>
        <c:tickLblPos val="nextTo"/>
        <c:txPr>
          <a:bodyPr/>
          <a:lstStyle/>
          <a:p>
            <a:pPr>
              <a:defRPr lang="ja-JP" sz="600"/>
            </a:pPr>
            <a:endParaRPr lang="en-US"/>
          </a:p>
        </c:txPr>
        <c:crossAx val="133929216"/>
        <c:crosses val="autoZero"/>
        <c:crossBetween val="between"/>
      </c:valAx>
    </c:plotArea>
    <c:legend>
      <c:legendPos val="r"/>
      <c:layout/>
      <c:overlay val="0"/>
      <c:txPr>
        <a:bodyPr/>
        <a:lstStyle/>
        <a:p>
          <a:pPr>
            <a:defRPr lang="ja-JP" sz="600"/>
          </a:pPr>
          <a:endParaRPr lang="en-US"/>
        </a:p>
      </c:txPr>
    </c:legend>
    <c:plotVisOnly val="1"/>
    <c:dispBlanksAs val="gap"/>
    <c:showDLblsOverMax val="0"/>
  </c:chart>
  <c:txPr>
    <a:bodyPr/>
    <a:lstStyle/>
    <a:p>
      <a:pPr>
        <a:defRPr>
          <a:latin typeface="+mn-lt"/>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lang="ja-JP" sz="900"/>
            </a:pPr>
            <a:r>
              <a:rPr lang="en-US" sz="900"/>
              <a:t>TEMP RBSN stations in RA II</a:t>
            </a:r>
            <a:endParaRPr lang="ja-JP" sz="900"/>
          </a:p>
        </c:rich>
      </c:tx>
      <c:layout/>
      <c:overlay val="0"/>
    </c:title>
    <c:autoTitleDeleted val="0"/>
    <c:plotArea>
      <c:layout/>
      <c:barChart>
        <c:barDir val="col"/>
        <c:grouping val="clustered"/>
        <c:varyColors val="0"/>
        <c:ser>
          <c:idx val="0"/>
          <c:order val="0"/>
          <c:tx>
            <c:strRef>
              <c:f>Stations!$F$2</c:f>
              <c:strCache>
                <c:ptCount val="1"/>
                <c:pt idx="0">
                  <c:v>TAC</c:v>
                </c:pt>
              </c:strCache>
            </c:strRef>
          </c:tx>
          <c:invertIfNegative val="0"/>
          <c:cat>
            <c:numRef>
              <c:f>Stations!$A$33:$A$44</c:f>
              <c:numCache>
                <c:formatCode>mmm\-yy</c:formatCode>
                <c:ptCount val="12"/>
                <c:pt idx="0">
                  <c:v>42476</c:v>
                </c:pt>
                <c:pt idx="1">
                  <c:v>42567</c:v>
                </c:pt>
                <c:pt idx="2">
                  <c:v>42659</c:v>
                </c:pt>
                <c:pt idx="3">
                  <c:v>42751</c:v>
                </c:pt>
                <c:pt idx="4">
                  <c:v>42841</c:v>
                </c:pt>
                <c:pt idx="5">
                  <c:v>42917</c:v>
                </c:pt>
                <c:pt idx="6">
                  <c:v>43009</c:v>
                </c:pt>
                <c:pt idx="7">
                  <c:v>43101</c:v>
                </c:pt>
                <c:pt idx="8">
                  <c:v>43191</c:v>
                </c:pt>
                <c:pt idx="9">
                  <c:v>43282</c:v>
                </c:pt>
                <c:pt idx="10">
                  <c:v>43374</c:v>
                </c:pt>
                <c:pt idx="11">
                  <c:v>43484</c:v>
                </c:pt>
              </c:numCache>
            </c:numRef>
          </c:cat>
          <c:val>
            <c:numRef>
              <c:f>Stations!$F$33:$F$44</c:f>
              <c:numCache>
                <c:formatCode>General</c:formatCode>
                <c:ptCount val="12"/>
                <c:pt idx="0">
                  <c:v>261</c:v>
                </c:pt>
                <c:pt idx="1">
                  <c:v>260</c:v>
                </c:pt>
                <c:pt idx="2">
                  <c:v>260</c:v>
                </c:pt>
                <c:pt idx="3">
                  <c:v>261</c:v>
                </c:pt>
                <c:pt idx="4">
                  <c:v>259</c:v>
                </c:pt>
                <c:pt idx="5">
                  <c:v>257</c:v>
                </c:pt>
                <c:pt idx="6">
                  <c:v>246</c:v>
                </c:pt>
                <c:pt idx="7">
                  <c:v>249</c:v>
                </c:pt>
                <c:pt idx="8">
                  <c:v>260</c:v>
                </c:pt>
                <c:pt idx="9">
                  <c:v>250</c:v>
                </c:pt>
                <c:pt idx="10">
                  <c:v>263</c:v>
                </c:pt>
                <c:pt idx="11">
                  <c:v>251</c:v>
                </c:pt>
              </c:numCache>
            </c:numRef>
          </c:val>
          <c:extLst xmlns:c16r2="http://schemas.microsoft.com/office/drawing/2015/06/chart">
            <c:ext xmlns:c16="http://schemas.microsoft.com/office/drawing/2014/chart" uri="{C3380CC4-5D6E-409C-BE32-E72D297353CC}">
              <c16:uniqueId val="{00000000-AC53-480A-B122-49A10AE979A4}"/>
            </c:ext>
          </c:extLst>
        </c:ser>
        <c:ser>
          <c:idx val="1"/>
          <c:order val="1"/>
          <c:tx>
            <c:strRef>
              <c:f>Stations!$G$2</c:f>
              <c:strCache>
                <c:ptCount val="1"/>
                <c:pt idx="0">
                  <c:v>BUFR</c:v>
                </c:pt>
              </c:strCache>
            </c:strRef>
          </c:tx>
          <c:invertIfNegative val="0"/>
          <c:cat>
            <c:numRef>
              <c:f>Stations!$A$33:$A$44</c:f>
              <c:numCache>
                <c:formatCode>mmm\-yy</c:formatCode>
                <c:ptCount val="12"/>
                <c:pt idx="0">
                  <c:v>42476</c:v>
                </c:pt>
                <c:pt idx="1">
                  <c:v>42567</c:v>
                </c:pt>
                <c:pt idx="2">
                  <c:v>42659</c:v>
                </c:pt>
                <c:pt idx="3">
                  <c:v>42751</c:v>
                </c:pt>
                <c:pt idx="4">
                  <c:v>42841</c:v>
                </c:pt>
                <c:pt idx="5">
                  <c:v>42917</c:v>
                </c:pt>
                <c:pt idx="6">
                  <c:v>43009</c:v>
                </c:pt>
                <c:pt idx="7">
                  <c:v>43101</c:v>
                </c:pt>
                <c:pt idx="8">
                  <c:v>43191</c:v>
                </c:pt>
                <c:pt idx="9">
                  <c:v>43282</c:v>
                </c:pt>
                <c:pt idx="10">
                  <c:v>43374</c:v>
                </c:pt>
                <c:pt idx="11">
                  <c:v>43484</c:v>
                </c:pt>
              </c:numCache>
            </c:numRef>
          </c:cat>
          <c:val>
            <c:numRef>
              <c:f>Stations!$G$31:$G$42</c:f>
              <c:numCache>
                <c:formatCode>General</c:formatCode>
                <c:ptCount val="12"/>
                <c:pt idx="0">
                  <c:v>158</c:v>
                </c:pt>
                <c:pt idx="1">
                  <c:v>150</c:v>
                </c:pt>
                <c:pt idx="2">
                  <c:v>157</c:v>
                </c:pt>
                <c:pt idx="3">
                  <c:v>156</c:v>
                </c:pt>
                <c:pt idx="4">
                  <c:v>149</c:v>
                </c:pt>
                <c:pt idx="5">
                  <c:v>157</c:v>
                </c:pt>
                <c:pt idx="6">
                  <c:v>156</c:v>
                </c:pt>
                <c:pt idx="7">
                  <c:v>155</c:v>
                </c:pt>
                <c:pt idx="8">
                  <c:v>144</c:v>
                </c:pt>
                <c:pt idx="9">
                  <c:v>145</c:v>
                </c:pt>
                <c:pt idx="10">
                  <c:v>155</c:v>
                </c:pt>
                <c:pt idx="11">
                  <c:v>150</c:v>
                </c:pt>
              </c:numCache>
            </c:numRef>
          </c:val>
          <c:extLst xmlns:c16r2="http://schemas.microsoft.com/office/drawing/2015/06/chart">
            <c:ext xmlns:c16="http://schemas.microsoft.com/office/drawing/2014/chart" uri="{C3380CC4-5D6E-409C-BE32-E72D297353CC}">
              <c16:uniqueId val="{00000001-AC53-480A-B122-49A10AE979A4}"/>
            </c:ext>
          </c:extLst>
        </c:ser>
        <c:dLbls>
          <c:showLegendKey val="0"/>
          <c:showVal val="0"/>
          <c:showCatName val="0"/>
          <c:showSerName val="0"/>
          <c:showPercent val="0"/>
          <c:showBubbleSize val="0"/>
        </c:dLbls>
        <c:gapWidth val="150"/>
        <c:axId val="137303552"/>
        <c:axId val="137305088"/>
      </c:barChart>
      <c:catAx>
        <c:axId val="137303552"/>
        <c:scaling>
          <c:orientation val="minMax"/>
        </c:scaling>
        <c:delete val="0"/>
        <c:axPos val="b"/>
        <c:numFmt formatCode="mmm\-yy" sourceLinked="1"/>
        <c:majorTickMark val="none"/>
        <c:minorTickMark val="none"/>
        <c:tickLblPos val="nextTo"/>
        <c:txPr>
          <a:bodyPr/>
          <a:lstStyle/>
          <a:p>
            <a:pPr>
              <a:defRPr lang="ja-JP" sz="600"/>
            </a:pPr>
            <a:endParaRPr lang="en-US"/>
          </a:p>
        </c:txPr>
        <c:crossAx val="137305088"/>
        <c:crosses val="autoZero"/>
        <c:auto val="0"/>
        <c:lblAlgn val="ctr"/>
        <c:lblOffset val="100"/>
        <c:noMultiLvlLbl val="0"/>
      </c:catAx>
      <c:valAx>
        <c:axId val="137305088"/>
        <c:scaling>
          <c:orientation val="minMax"/>
        </c:scaling>
        <c:delete val="0"/>
        <c:axPos val="l"/>
        <c:majorGridlines/>
        <c:numFmt formatCode="General" sourceLinked="1"/>
        <c:majorTickMark val="none"/>
        <c:minorTickMark val="none"/>
        <c:tickLblPos val="nextTo"/>
        <c:txPr>
          <a:bodyPr/>
          <a:lstStyle/>
          <a:p>
            <a:pPr>
              <a:defRPr lang="ja-JP" sz="600"/>
            </a:pPr>
            <a:endParaRPr lang="en-US"/>
          </a:p>
        </c:txPr>
        <c:crossAx val="137303552"/>
        <c:crosses val="autoZero"/>
        <c:crossBetween val="between"/>
      </c:valAx>
    </c:plotArea>
    <c:legend>
      <c:legendPos val="r"/>
      <c:layout/>
      <c:overlay val="0"/>
      <c:txPr>
        <a:bodyPr/>
        <a:lstStyle/>
        <a:p>
          <a:pPr>
            <a:defRPr lang="ja-JP" sz="600"/>
          </a:pPr>
          <a:endParaRPr lang="en-US"/>
        </a:p>
      </c:txPr>
    </c:legend>
    <c:plotVisOnly val="1"/>
    <c:dispBlanksAs val="gap"/>
    <c:showDLblsOverMax val="0"/>
  </c:chart>
  <c:txPr>
    <a:bodyPr/>
    <a:lstStyle/>
    <a:p>
      <a:pPr>
        <a:defRPr>
          <a:latin typeface="+mn-lt"/>
          <a:cs typeface="Arial"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F30175" w:rsidP="00F30175">
          <w:pPr>
            <w:pStyle w:val="C07E1BF94763419EAF9E88B2FD3B43EB45"/>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F30175" w:rsidP="00F30175">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Yu Gothic">
    <w:altName w:val="游ゴシック"/>
    <w:charset w:val="80"/>
    <w:family w:val="modern"/>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3C7D1D"/>
    <w:rsid w:val="004A6AA6"/>
    <w:rsid w:val="00531E1E"/>
    <w:rsid w:val="00594E66"/>
    <w:rsid w:val="006924AB"/>
    <w:rsid w:val="00876B2D"/>
    <w:rsid w:val="009774CC"/>
    <w:rsid w:val="00B117D0"/>
    <w:rsid w:val="00B20B76"/>
    <w:rsid w:val="00C40F99"/>
    <w:rsid w:val="00E3730F"/>
    <w:rsid w:val="00F30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175"/>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F30175"/>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F30175"/>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F30175"/>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F30175"/>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F30175"/>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F30175"/>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F30175"/>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F30175"/>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F30175"/>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F30175"/>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F30175"/>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F30175"/>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175"/>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F30175"/>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F30175"/>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F30175"/>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F30175"/>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F30175"/>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F30175"/>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F30175"/>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F30175"/>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F30175"/>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F30175"/>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F30175"/>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F30175"/>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BEAB-FD56-4CD1-8C2C-EF5A3178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5372</Characters>
  <Application>Microsoft Office Word</Application>
  <DocSecurity>4</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2019-03-28T09:05:00Z</dcterms:created>
  <dcterms:modified xsi:type="dcterms:W3CDTF">2019-03-28T09:05:00Z</dcterms:modified>
</cp:coreProperties>
</file>