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44E1C61A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76006764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332742F0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085D1358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5A55089C" w14:textId="77777777"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6DD05C77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672A6659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9792741" w14:textId="77777777"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0A37501D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7A0DB851" w14:textId="30B3BBBA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2B1E0C">
              <w:rPr>
                <w:rFonts w:ascii="Verdana" w:hAnsi="Verdana"/>
                <w:sz w:val="20"/>
                <w:szCs w:val="20"/>
              </w:rPr>
              <w:t>2.5(5)</w:t>
            </w:r>
          </w:p>
          <w:p w14:paraId="3B4395E2" w14:textId="3CEDDD4A" w:rsidR="005554A5" w:rsidRPr="00F35A04" w:rsidRDefault="002B1E0C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10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77F0">
                  <w:rPr>
                    <w:rFonts w:ascii="Verdana" w:hAnsi="Verdana"/>
                    <w:sz w:val="20"/>
                    <w:szCs w:val="20"/>
                  </w:rPr>
                  <w:t>10.04.2019</w:t>
                </w:r>
              </w:sdtContent>
            </w:sdt>
          </w:p>
          <w:p w14:paraId="62C86418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5DAB6C7B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42ECCA33" w14:textId="2BFEA0FA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2B1E0C">
              <w:rPr>
                <w:rFonts w:ascii="Verdana" w:hAnsi="Verdana"/>
                <w:sz w:val="20"/>
                <w:szCs w:val="20"/>
              </w:rPr>
              <w:t>2.5</w:t>
            </w:r>
          </w:p>
          <w:p w14:paraId="02EB378F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213EDB39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6A05A809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5A39BBE3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41C8F396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14090F87" w14:textId="452C39F9" w:rsidR="009F245F" w:rsidRPr="00F35A04" w:rsidRDefault="002B1E0C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F85B6C">
            <w:rPr>
              <w:rStyle w:val="Style8"/>
            </w:rPr>
            <w:t>MANUAL ON CODES: TABLE-DRIVEN CODE FORMS</w:t>
          </w:r>
        </w:sdtContent>
      </w:sdt>
    </w:p>
    <w:bookmarkStart w:id="0" w:name="Text2"/>
    <w:p w14:paraId="04A07AE3" w14:textId="6E61D18E" w:rsidR="00984C25" w:rsidRPr="006569B7" w:rsidRDefault="002B1E0C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F85B6C">
            <w:rPr>
              <w:rFonts w:ascii="Verdana" w:hAnsi="Verdana" w:cs="Arial"/>
              <w:sz w:val="18"/>
              <w:szCs w:val="18"/>
            </w:rPr>
            <w:t>Common Code tables</w:t>
          </w:r>
        </w:sdtContent>
      </w:sdt>
    </w:p>
    <w:p w14:paraId="72A3D3EC" w14:textId="77777777"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14:paraId="2D06C6CE" w14:textId="31AA4B6F" w:rsidR="009F245F" w:rsidRPr="00F35A04" w:rsidRDefault="2EF2F518" w:rsidP="2EF2F518">
      <w:pPr>
        <w:ind w:left="1208" w:right="1389"/>
        <w:jc w:val="center"/>
        <w:rPr>
          <w:rStyle w:val="Style7"/>
        </w:rPr>
      </w:pPr>
      <w:r w:rsidRPr="2EF2F518">
        <w:rPr>
          <w:rStyle w:val="Style7"/>
        </w:rPr>
        <w:t>Amendment to Common Table C-14</w:t>
      </w:r>
    </w:p>
    <w:p w14:paraId="68211B03" w14:textId="7B05AA3B" w:rsidR="009F245F" w:rsidRPr="00F35A04" w:rsidRDefault="2EF2F518" w:rsidP="2EF2F518">
      <w:pPr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2EF2F518">
        <w:rPr>
          <w:rFonts w:ascii="Verdana" w:hAnsi="Verdana"/>
          <w:i/>
          <w:iCs/>
          <w:sz w:val="20"/>
          <w:szCs w:val="20"/>
        </w:rPr>
        <w:t>Submitte</w:t>
      </w:r>
      <w:r w:rsidR="00F33EC4">
        <w:rPr>
          <w:rFonts w:ascii="Verdana" w:hAnsi="Verdana"/>
          <w:i/>
          <w:iCs/>
          <w:sz w:val="20"/>
          <w:szCs w:val="20"/>
        </w:rPr>
        <w:t xml:space="preserve">d by </w:t>
      </w:r>
      <w:bookmarkStart w:id="1" w:name="_GoBack"/>
      <w:proofErr w:type="spellStart"/>
      <w:r w:rsidR="00F33EC4">
        <w:rPr>
          <w:rFonts w:ascii="Verdana" w:hAnsi="Verdana"/>
          <w:i/>
          <w:iCs/>
          <w:sz w:val="20"/>
          <w:szCs w:val="20"/>
        </w:rPr>
        <w:t>Sébastien</w:t>
      </w:r>
      <w:proofErr w:type="spellEnd"/>
      <w:r w:rsidR="00F33EC4">
        <w:rPr>
          <w:rFonts w:ascii="Verdana" w:hAnsi="Verdana"/>
          <w:i/>
          <w:iCs/>
          <w:sz w:val="20"/>
          <w:szCs w:val="20"/>
        </w:rPr>
        <w:t xml:space="preserve"> Villaume</w:t>
      </w:r>
      <w:bookmarkEnd w:id="1"/>
      <w:r w:rsidR="00F33EC4">
        <w:rPr>
          <w:rFonts w:ascii="Verdana" w:hAnsi="Verdana"/>
          <w:i/>
          <w:iCs/>
          <w:sz w:val="20"/>
          <w:szCs w:val="20"/>
        </w:rPr>
        <w:t xml:space="preserve"> (ECMWF</w:t>
      </w:r>
      <w:r w:rsidRPr="2EF2F518">
        <w:rPr>
          <w:rFonts w:ascii="Verdana" w:hAnsi="Verdana"/>
          <w:i/>
          <w:iCs/>
          <w:sz w:val="20"/>
          <w:szCs w:val="20"/>
        </w:rPr>
        <w:t>)</w:t>
      </w:r>
    </w:p>
    <w:p w14:paraId="0D0B940D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2659C616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0E27B00A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09597418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60061E4C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112DBF00" w14:textId="34E879ED" w:rsidR="009F245F" w:rsidRPr="00F35A04" w:rsidRDefault="00F33EC4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</w:t>
      </w:r>
      <w:r w:rsidR="005E54DA">
        <w:rPr>
          <w:rFonts w:ascii="Verdana" w:hAnsi="Verdana"/>
          <w:sz w:val="20"/>
          <w:szCs w:val="20"/>
        </w:rPr>
        <w:t>proposes</w:t>
      </w:r>
      <w:r>
        <w:rPr>
          <w:rFonts w:ascii="Verdana" w:hAnsi="Verdana"/>
          <w:sz w:val="20"/>
          <w:szCs w:val="20"/>
        </w:rPr>
        <w:t xml:space="preserve"> to remove a range of entries in Common Code Table C-14.</w:t>
      </w:r>
    </w:p>
    <w:p w14:paraId="44EAFD9C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039ABE7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B94D5A5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1BEEFD1C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3DEEC669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51424EDF" w14:textId="541C5C84" w:rsidR="00F33EC4" w:rsidRDefault="00F33EC4" w:rsidP="00F33EC4">
      <w:pPr>
        <w:pStyle w:val="BodyText"/>
        <w:ind w:firstLine="567"/>
        <w:rPr>
          <w:rFonts w:ascii="Verdana" w:hAnsi="Verdana"/>
          <w:sz w:val="20"/>
          <w:szCs w:val="20"/>
        </w:rPr>
      </w:pPr>
      <w:r w:rsidRPr="6E34B20C">
        <w:rPr>
          <w:rFonts w:ascii="Verdana" w:hAnsi="Verdana"/>
          <w:sz w:val="20"/>
          <w:szCs w:val="20"/>
        </w:rPr>
        <w:t>The team is req</w:t>
      </w:r>
      <w:r w:rsidR="00C109FF">
        <w:rPr>
          <w:rFonts w:ascii="Verdana" w:hAnsi="Verdana"/>
          <w:sz w:val="20"/>
          <w:szCs w:val="20"/>
        </w:rPr>
        <w:t xml:space="preserve">uested to approve the </w:t>
      </w:r>
      <w:r w:rsidRPr="6E34B20C">
        <w:rPr>
          <w:rFonts w:ascii="Verdana" w:hAnsi="Verdana"/>
          <w:sz w:val="20"/>
          <w:szCs w:val="20"/>
        </w:rPr>
        <w:t>changes listed below for inclusion within the next update to the WMO Manual on Codes.</w:t>
      </w:r>
    </w:p>
    <w:p w14:paraId="049F31CB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62486C05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4101652C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18EEA631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4B99056E" w14:textId="0AEE6C67" w:rsidR="009F245F" w:rsidRDefault="009F245F" w:rsidP="009F245F">
      <w:pPr>
        <w:rPr>
          <w:rFonts w:ascii="Verdana" w:hAnsi="Verdana"/>
          <w:sz w:val="20"/>
          <w:szCs w:val="20"/>
        </w:rPr>
      </w:pPr>
    </w:p>
    <w:p w14:paraId="66506B04" w14:textId="2EC8250F" w:rsidR="00D43C17" w:rsidRDefault="00D719E8" w:rsidP="00711F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a common practice, when creating new Code Tables for GRIB, to reserve a range of entries for local</w:t>
      </w:r>
      <w:r w:rsidR="00D43C17">
        <w:rPr>
          <w:rFonts w:ascii="Verdana" w:hAnsi="Verdana"/>
          <w:sz w:val="20"/>
          <w:szCs w:val="20"/>
        </w:rPr>
        <w:t>/experimental use</w:t>
      </w:r>
      <w:r w:rsidR="00F92048">
        <w:rPr>
          <w:rFonts w:ascii="Verdana" w:hAnsi="Verdana"/>
          <w:sz w:val="20"/>
          <w:szCs w:val="20"/>
        </w:rPr>
        <w:t>, typically 192-254 for 2 octets</w:t>
      </w:r>
      <w:r w:rsidR="00D43C17">
        <w:rPr>
          <w:rFonts w:ascii="Verdana" w:hAnsi="Verdana"/>
          <w:sz w:val="20"/>
          <w:szCs w:val="20"/>
        </w:rPr>
        <w:t>.</w:t>
      </w:r>
    </w:p>
    <w:p w14:paraId="4CDF5392" w14:textId="01A9EB7B" w:rsidR="00D43C17" w:rsidRDefault="00D43C17" w:rsidP="00711F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ECMWF, we typically use the local range for experimental purpose, i.e. producing new parameters that are not to be exchanged/disseminated</w:t>
      </w:r>
      <w:r w:rsidR="00527ACC">
        <w:rPr>
          <w:rFonts w:ascii="Verdana" w:hAnsi="Verdana"/>
          <w:sz w:val="20"/>
          <w:szCs w:val="20"/>
        </w:rPr>
        <w:t xml:space="preserve"> yet</w:t>
      </w:r>
      <w:r>
        <w:rPr>
          <w:rFonts w:ascii="Verdana" w:hAnsi="Verdana"/>
          <w:sz w:val="20"/>
          <w:szCs w:val="20"/>
        </w:rPr>
        <w:t>. These new parameters are eventually</w:t>
      </w:r>
      <w:r w:rsidR="00527ACC">
        <w:rPr>
          <w:rFonts w:ascii="Verdana" w:hAnsi="Verdana"/>
          <w:sz w:val="20"/>
          <w:szCs w:val="20"/>
        </w:rPr>
        <w:t xml:space="preserve"> requested at the </w:t>
      </w:r>
      <w:r w:rsidR="00F92048">
        <w:rPr>
          <w:rFonts w:ascii="Verdana" w:hAnsi="Verdana"/>
          <w:sz w:val="20"/>
          <w:szCs w:val="20"/>
        </w:rPr>
        <w:t>next IPET</w:t>
      </w:r>
      <w:r w:rsidR="00527ACC">
        <w:rPr>
          <w:rFonts w:ascii="Verdana" w:hAnsi="Verdana"/>
          <w:sz w:val="20"/>
          <w:szCs w:val="20"/>
        </w:rPr>
        <w:t>-CM</w:t>
      </w:r>
      <w:r>
        <w:rPr>
          <w:rFonts w:ascii="Verdana" w:hAnsi="Verdana"/>
          <w:sz w:val="20"/>
          <w:szCs w:val="20"/>
        </w:rPr>
        <w:t xml:space="preserve"> meetings </w:t>
      </w:r>
      <w:r w:rsidR="00527ACC">
        <w:rPr>
          <w:rFonts w:ascii="Verdana" w:hAnsi="Verdana"/>
          <w:sz w:val="20"/>
          <w:szCs w:val="20"/>
        </w:rPr>
        <w:t xml:space="preserve">once tested and validated </w:t>
      </w:r>
      <w:r>
        <w:rPr>
          <w:rFonts w:ascii="Verdana" w:hAnsi="Verdana"/>
          <w:sz w:val="20"/>
          <w:szCs w:val="20"/>
        </w:rPr>
        <w:t xml:space="preserve">and </w:t>
      </w:r>
      <w:r w:rsidR="00527ACC">
        <w:rPr>
          <w:rFonts w:ascii="Verdana" w:hAnsi="Verdana"/>
          <w:sz w:val="20"/>
          <w:szCs w:val="20"/>
        </w:rPr>
        <w:t>are given</w:t>
      </w:r>
      <w:r>
        <w:rPr>
          <w:rFonts w:ascii="Verdana" w:hAnsi="Verdana"/>
          <w:sz w:val="20"/>
          <w:szCs w:val="20"/>
        </w:rPr>
        <w:t xml:space="preserve"> a proper code in </w:t>
      </w:r>
      <w:r w:rsidR="00527ACC">
        <w:rPr>
          <w:rFonts w:ascii="Verdana" w:hAnsi="Verdana"/>
          <w:sz w:val="20"/>
          <w:szCs w:val="20"/>
        </w:rPr>
        <w:t>the official range of the relevant table</w:t>
      </w:r>
      <w:r>
        <w:rPr>
          <w:rFonts w:ascii="Verdana" w:hAnsi="Verdana"/>
          <w:sz w:val="20"/>
          <w:szCs w:val="20"/>
        </w:rPr>
        <w:t>.</w:t>
      </w:r>
      <w:r w:rsidR="00527ACC">
        <w:rPr>
          <w:rFonts w:ascii="Verdana" w:hAnsi="Verdana"/>
          <w:sz w:val="20"/>
          <w:szCs w:val="20"/>
        </w:rPr>
        <w:t xml:space="preserve"> In the context of testing new implementation of the atmospheric composition model, we need to have the possibility to define new chemical or physical constituents in Common Code Table C-14. </w:t>
      </w:r>
    </w:p>
    <w:p w14:paraId="3635CD15" w14:textId="14E1AC79" w:rsidR="009F245F" w:rsidRPr="00F35A04" w:rsidRDefault="00D719E8" w:rsidP="00711F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F33EC4">
        <w:rPr>
          <w:rFonts w:ascii="Verdana" w:hAnsi="Verdana"/>
          <w:sz w:val="20"/>
          <w:szCs w:val="20"/>
        </w:rPr>
        <w:t>he Common Code T</w:t>
      </w:r>
      <w:r w:rsidR="00517BBD">
        <w:rPr>
          <w:rFonts w:ascii="Verdana" w:hAnsi="Verdana"/>
          <w:sz w:val="20"/>
          <w:szCs w:val="20"/>
        </w:rPr>
        <w:t>able</w:t>
      </w:r>
      <w:r w:rsidR="00476CBA">
        <w:rPr>
          <w:rFonts w:ascii="Verdana" w:hAnsi="Verdana"/>
          <w:sz w:val="20"/>
          <w:szCs w:val="20"/>
        </w:rPr>
        <w:t>s</w:t>
      </w:r>
      <w:r w:rsidR="00517BBD">
        <w:rPr>
          <w:rFonts w:ascii="Verdana" w:hAnsi="Verdana"/>
          <w:sz w:val="20"/>
          <w:szCs w:val="20"/>
        </w:rPr>
        <w:t xml:space="preserve"> are shared by</w:t>
      </w:r>
      <w:r w:rsidR="00F33EC4">
        <w:rPr>
          <w:rFonts w:ascii="Verdana" w:hAnsi="Verdana"/>
          <w:sz w:val="20"/>
          <w:szCs w:val="20"/>
        </w:rPr>
        <w:t xml:space="preserve"> </w:t>
      </w:r>
      <w:r w:rsidR="00476CBA">
        <w:rPr>
          <w:rFonts w:ascii="Verdana" w:hAnsi="Verdana"/>
          <w:sz w:val="20"/>
          <w:szCs w:val="20"/>
        </w:rPr>
        <w:t xml:space="preserve">all </w:t>
      </w:r>
      <w:r w:rsidR="00F33EC4">
        <w:rPr>
          <w:rFonts w:ascii="Verdana" w:hAnsi="Verdana"/>
          <w:sz w:val="20"/>
          <w:szCs w:val="20"/>
        </w:rPr>
        <w:t>WMO</w:t>
      </w:r>
      <w:r w:rsidR="00476CBA">
        <w:rPr>
          <w:rFonts w:ascii="Verdana" w:hAnsi="Verdana"/>
          <w:sz w:val="20"/>
          <w:szCs w:val="20"/>
        </w:rPr>
        <w:t xml:space="preserve"> </w:t>
      </w:r>
      <w:r w:rsidR="00517BBD">
        <w:rPr>
          <w:rFonts w:ascii="Verdana" w:hAnsi="Verdana"/>
          <w:sz w:val="20"/>
          <w:szCs w:val="20"/>
        </w:rPr>
        <w:t>data formats</w:t>
      </w:r>
      <w:r w:rsidR="00476CBA">
        <w:rPr>
          <w:rFonts w:ascii="Verdana" w:hAnsi="Verdana"/>
          <w:sz w:val="20"/>
          <w:szCs w:val="20"/>
        </w:rPr>
        <w:t xml:space="preserve"> (GRIB, BUFR, and CREX</w:t>
      </w:r>
      <w:r>
        <w:rPr>
          <w:rFonts w:ascii="Verdana" w:hAnsi="Verdana"/>
          <w:sz w:val="20"/>
          <w:szCs w:val="20"/>
        </w:rPr>
        <w:t>)</w:t>
      </w:r>
      <w:r w:rsidR="00527ACC">
        <w:rPr>
          <w:rFonts w:ascii="Verdana" w:hAnsi="Verdana"/>
          <w:sz w:val="20"/>
          <w:szCs w:val="20"/>
        </w:rPr>
        <w:t xml:space="preserve"> and because it is not a common practice to have local range in other format than GRIB, these tables typically don’t have a local range</w:t>
      </w:r>
      <w:r w:rsidR="00517BBD">
        <w:rPr>
          <w:rFonts w:ascii="Verdana" w:hAnsi="Verdana"/>
          <w:sz w:val="20"/>
          <w:szCs w:val="20"/>
        </w:rPr>
        <w:t>.</w:t>
      </w:r>
    </w:p>
    <w:p w14:paraId="1299C43A" w14:textId="091AEC71" w:rsidR="009F245F" w:rsidRDefault="009F245F" w:rsidP="00711F8F">
      <w:pPr>
        <w:jc w:val="both"/>
        <w:rPr>
          <w:rFonts w:ascii="Verdana" w:hAnsi="Verdana"/>
          <w:sz w:val="20"/>
          <w:szCs w:val="20"/>
        </w:rPr>
      </w:pPr>
    </w:p>
    <w:p w14:paraId="3EEC8EC6" w14:textId="5949A5CE" w:rsidR="008A77F0" w:rsidRPr="00F35A04" w:rsidRDefault="005E54DA" w:rsidP="00711F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Considering that Common Code Table C-14 </w:t>
      </w:r>
      <w:r w:rsidR="00711F8F">
        <w:rPr>
          <w:rFonts w:ascii="Verdana" w:hAnsi="Verdana"/>
          <w:sz w:val="20"/>
          <w:szCs w:val="20"/>
        </w:rPr>
        <w:t>is only used for GRIB edition 2</w:t>
      </w:r>
      <w:r>
        <w:rPr>
          <w:rFonts w:ascii="Verdana" w:hAnsi="Verdana"/>
          <w:sz w:val="20"/>
          <w:szCs w:val="20"/>
        </w:rPr>
        <w:t xml:space="preserve">, and taking into account that the table has a full range of 65535 entries and </w:t>
      </w:r>
      <w:r w:rsidR="008A77F0">
        <w:rPr>
          <w:rFonts w:ascii="Verdana" w:hAnsi="Verdana"/>
          <w:sz w:val="20"/>
          <w:szCs w:val="20"/>
        </w:rPr>
        <w:t xml:space="preserve">that </w:t>
      </w:r>
      <w:r>
        <w:rPr>
          <w:rFonts w:ascii="Verdana" w:hAnsi="Verdana"/>
          <w:sz w:val="20"/>
          <w:szCs w:val="20"/>
        </w:rPr>
        <w:t>less than half of them are in use, our proposal is to reserve the range 63000-65534 for experimental use.</w:t>
      </w:r>
    </w:p>
    <w:p w14:paraId="4DDBEF00" w14:textId="77777777"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14:paraId="2387C7B5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3461D779" w14:textId="77777777"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14:paraId="1A2572FB" w14:textId="572E5B47" w:rsidR="2AF79D1D" w:rsidRDefault="2AF79D1D" w:rsidP="2AF79D1D">
      <w:pPr>
        <w:jc w:val="both"/>
        <w:rPr>
          <w:rFonts w:ascii="Verdana" w:eastAsia="Verdana" w:hAnsi="Verdana" w:cs="Verdana"/>
          <w:sz w:val="24"/>
          <w:szCs w:val="24"/>
          <w:lang w:val="en-US"/>
        </w:rPr>
      </w:pPr>
      <w:r w:rsidRPr="2AF79D1D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Common Code Table C-14 – Atmospheric chemical or physical constituent types</w:t>
      </w:r>
    </w:p>
    <w:p w14:paraId="1043E5A9" w14:textId="2EAF19FA" w:rsidR="2AF79D1D" w:rsidRDefault="2AF79D1D" w:rsidP="2AF79D1D">
      <w:pPr>
        <w:jc w:val="both"/>
        <w:rPr>
          <w:rFonts w:ascii="Verdana" w:eastAsia="Verdana" w:hAnsi="Verdana" w:cs="Verdana"/>
          <w:sz w:val="24"/>
          <w:szCs w:val="24"/>
          <w:lang w:val="en-US"/>
        </w:rPr>
      </w:pPr>
    </w:p>
    <w:p w14:paraId="42714535" w14:textId="088ED7AC" w:rsidR="2AF79D1D" w:rsidRDefault="2AF79D1D" w:rsidP="2AF79D1D">
      <w:pPr>
        <w:jc w:val="both"/>
        <w:rPr>
          <w:rFonts w:ascii="Verdana" w:eastAsia="Verdana" w:hAnsi="Verdana" w:cs="Verdana"/>
          <w:sz w:val="24"/>
          <w:szCs w:val="24"/>
          <w:lang w:val="en-US"/>
        </w:rPr>
      </w:pPr>
      <w:r w:rsidRPr="2AF79D1D">
        <w:rPr>
          <w:rFonts w:ascii="Verdana" w:eastAsia="Verdana" w:hAnsi="Verdana" w:cs="Verdana"/>
          <w:b/>
          <w:bCs/>
          <w:sz w:val="24"/>
          <w:szCs w:val="24"/>
          <w:lang w:val="en-US"/>
        </w:rPr>
        <w:t xml:space="preserve">ADD </w:t>
      </w:r>
      <w:r w:rsidRPr="2AF79D1D">
        <w:rPr>
          <w:rFonts w:ascii="Verdana" w:eastAsia="Verdana" w:hAnsi="Verdana" w:cs="Verdana"/>
          <w:sz w:val="24"/>
          <w:szCs w:val="24"/>
          <w:lang w:val="en-US"/>
        </w:rPr>
        <w:t>the entry (in red)</w:t>
      </w:r>
    </w:p>
    <w:p w14:paraId="1FC359E3" w14:textId="43E1D22F" w:rsidR="2AF79D1D" w:rsidRDefault="2AF79D1D" w:rsidP="2AF79D1D">
      <w:pPr>
        <w:jc w:val="both"/>
        <w:rPr>
          <w:rFonts w:ascii="Verdana" w:eastAsia="Verdana" w:hAnsi="Verdana" w:cs="Verdana"/>
          <w:lang w:val="en-US"/>
        </w:rPr>
      </w:pPr>
      <w:r w:rsidRPr="2AF79D1D">
        <w:rPr>
          <w:rFonts w:ascii="Verdana" w:eastAsia="Verdana" w:hAnsi="Verdana" w:cs="Verdana"/>
          <w:b/>
          <w:bCs/>
          <w:color w:val="000000" w:themeColor="text1"/>
          <w:lang w:val="en-US"/>
        </w:rPr>
        <w:t>EDIT</w:t>
      </w:r>
      <w:r w:rsidRPr="2AF79D1D">
        <w:rPr>
          <w:rFonts w:ascii="Verdana" w:eastAsia="Verdana" w:hAnsi="Verdana" w:cs="Verdana"/>
          <w:color w:val="000000" w:themeColor="text1"/>
          <w:lang w:val="en-US"/>
        </w:rPr>
        <w:t xml:space="preserve"> the entry (in blue)</w:t>
      </w:r>
    </w:p>
    <w:p w14:paraId="279B54B8" w14:textId="32F6D675" w:rsidR="2AF79D1D" w:rsidRDefault="2AF79D1D" w:rsidP="2AF79D1D">
      <w:pPr>
        <w:jc w:val="both"/>
        <w:rPr>
          <w:rFonts w:eastAsia="Arial" w:cs="Arial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2AF79D1D" w14:paraId="33CD0A43" w14:textId="77777777" w:rsidTr="2AF79D1D">
        <w:tc>
          <w:tcPr>
            <w:tcW w:w="3213" w:type="dxa"/>
          </w:tcPr>
          <w:p w14:paraId="1CE2DDAA" w14:textId="25FE93B8" w:rsidR="2AF79D1D" w:rsidRDefault="2AF79D1D" w:rsidP="2AF79D1D">
            <w:pPr>
              <w:jc w:val="center"/>
              <w:rPr>
                <w:rFonts w:eastAsia="Arial" w:cs="Arial"/>
              </w:rPr>
            </w:pPr>
            <w:r w:rsidRPr="2AF79D1D">
              <w:rPr>
                <w:rFonts w:eastAsia="Arial" w:cs="Arial"/>
                <w:b/>
                <w:bCs/>
                <w:color w:val="000000" w:themeColor="text1"/>
              </w:rPr>
              <w:t>Code</w:t>
            </w:r>
          </w:p>
        </w:tc>
        <w:tc>
          <w:tcPr>
            <w:tcW w:w="3213" w:type="dxa"/>
          </w:tcPr>
          <w:p w14:paraId="555EA1D9" w14:textId="014C485E" w:rsidR="2AF79D1D" w:rsidRDefault="2AF79D1D" w:rsidP="2AF79D1D">
            <w:pPr>
              <w:rPr>
                <w:rFonts w:eastAsia="Arial" w:cs="Arial"/>
              </w:rPr>
            </w:pPr>
            <w:r w:rsidRPr="2AF79D1D">
              <w:rPr>
                <w:rFonts w:eastAsia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3213" w:type="dxa"/>
          </w:tcPr>
          <w:p w14:paraId="57FE1223" w14:textId="41712F35" w:rsidR="2AF79D1D" w:rsidRDefault="2AF79D1D" w:rsidP="2AF79D1D">
            <w:pPr>
              <w:rPr>
                <w:rFonts w:eastAsia="Arial" w:cs="Arial"/>
              </w:rPr>
            </w:pPr>
            <w:r w:rsidRPr="2AF79D1D">
              <w:rPr>
                <w:rFonts w:eastAsia="Arial" w:cs="Arial"/>
                <w:b/>
                <w:bCs/>
                <w:color w:val="000000" w:themeColor="text1"/>
              </w:rPr>
              <w:t>Formula</w:t>
            </w:r>
          </w:p>
        </w:tc>
      </w:tr>
      <w:tr w:rsidR="2AF79D1D" w14:paraId="4AE7DAC8" w14:textId="77777777" w:rsidTr="2AF79D1D">
        <w:tc>
          <w:tcPr>
            <w:tcW w:w="3213" w:type="dxa"/>
          </w:tcPr>
          <w:p w14:paraId="4465C5BD" w14:textId="50751EFD" w:rsidR="2AF79D1D" w:rsidRDefault="2AF79D1D" w:rsidP="2AF79D1D">
            <w:pPr>
              <w:jc w:val="center"/>
              <w:rPr>
                <w:rFonts w:eastAsia="Arial" w:cs="Arial"/>
              </w:rPr>
            </w:pPr>
            <w:r w:rsidRPr="2AF79D1D">
              <w:rPr>
                <w:rFonts w:eastAsia="Arial" w:cs="Arial"/>
                <w:b/>
                <w:bCs/>
              </w:rPr>
              <w:t>62301-</w:t>
            </w:r>
            <w:r w:rsidRPr="2AF79D1D">
              <w:rPr>
                <w:rFonts w:eastAsia="Arial" w:cs="Arial"/>
                <w:b/>
                <w:bCs/>
                <w:color w:val="0070C0"/>
              </w:rPr>
              <w:t>62999</w:t>
            </w:r>
          </w:p>
        </w:tc>
        <w:tc>
          <w:tcPr>
            <w:tcW w:w="3213" w:type="dxa"/>
          </w:tcPr>
          <w:p w14:paraId="457B225E" w14:textId="46B6ED12" w:rsidR="2AF79D1D" w:rsidRDefault="2AF79D1D" w:rsidP="2AF79D1D">
            <w:pPr>
              <w:rPr>
                <w:rFonts w:eastAsia="Arial" w:cs="Arial"/>
              </w:rPr>
            </w:pPr>
            <w:r w:rsidRPr="2AF79D1D">
              <w:rPr>
                <w:rFonts w:eastAsia="Arial" w:cs="Arial"/>
              </w:rPr>
              <w:t>Reserved</w:t>
            </w:r>
          </w:p>
        </w:tc>
        <w:tc>
          <w:tcPr>
            <w:tcW w:w="3213" w:type="dxa"/>
          </w:tcPr>
          <w:p w14:paraId="4F081194" w14:textId="66294FE1" w:rsidR="2AF79D1D" w:rsidRDefault="2AF79D1D" w:rsidP="2AF79D1D">
            <w:pPr>
              <w:rPr>
                <w:rFonts w:eastAsia="Arial" w:cs="Arial"/>
                <w:vertAlign w:val="superscript"/>
              </w:rPr>
            </w:pPr>
          </w:p>
        </w:tc>
      </w:tr>
      <w:tr w:rsidR="2AF79D1D" w14:paraId="42EE112B" w14:textId="77777777" w:rsidTr="2AF79D1D">
        <w:tc>
          <w:tcPr>
            <w:tcW w:w="3213" w:type="dxa"/>
          </w:tcPr>
          <w:p w14:paraId="48ACEFB9" w14:textId="261E5510" w:rsidR="2AF79D1D" w:rsidRDefault="2AF79D1D" w:rsidP="2AF79D1D">
            <w:pPr>
              <w:jc w:val="center"/>
              <w:rPr>
                <w:rFonts w:eastAsia="Arial" w:cs="Arial"/>
                <w:b/>
                <w:bCs/>
                <w:color w:val="FF0000"/>
              </w:rPr>
            </w:pPr>
            <w:r w:rsidRPr="2AF79D1D">
              <w:rPr>
                <w:rFonts w:eastAsia="Arial" w:cs="Arial"/>
                <w:b/>
                <w:bCs/>
                <w:color w:val="FF0000"/>
              </w:rPr>
              <w:t>63000-65534</w:t>
            </w:r>
          </w:p>
        </w:tc>
        <w:tc>
          <w:tcPr>
            <w:tcW w:w="3213" w:type="dxa"/>
          </w:tcPr>
          <w:p w14:paraId="34CA1014" w14:textId="794A34C8" w:rsidR="2AF79D1D" w:rsidRDefault="000162F4" w:rsidP="2AF79D1D">
            <w:pPr>
              <w:rPr>
                <w:rFonts w:eastAsia="Arial" w:cs="Arial"/>
                <w:color w:val="FF0000"/>
              </w:rPr>
            </w:pPr>
            <w:r>
              <w:rPr>
                <w:rFonts w:eastAsia="Arial" w:cs="Arial"/>
                <w:color w:val="FF0000"/>
              </w:rPr>
              <w:t>For experimental use</w:t>
            </w:r>
          </w:p>
        </w:tc>
        <w:tc>
          <w:tcPr>
            <w:tcW w:w="3213" w:type="dxa"/>
          </w:tcPr>
          <w:p w14:paraId="0AFFA906" w14:textId="3C35A41A" w:rsidR="2AF79D1D" w:rsidRDefault="2AF79D1D" w:rsidP="2AF79D1D">
            <w:pPr>
              <w:rPr>
                <w:rFonts w:eastAsia="Arial" w:cs="Arial"/>
                <w:vertAlign w:val="superscript"/>
              </w:rPr>
            </w:pPr>
          </w:p>
        </w:tc>
      </w:tr>
      <w:tr w:rsidR="2AF79D1D" w14:paraId="78FB1342" w14:textId="77777777" w:rsidTr="2AF79D1D">
        <w:tc>
          <w:tcPr>
            <w:tcW w:w="3213" w:type="dxa"/>
          </w:tcPr>
          <w:p w14:paraId="109FC77E" w14:textId="2C68B017" w:rsidR="2AF79D1D" w:rsidRDefault="2AF79D1D" w:rsidP="2AF79D1D">
            <w:pPr>
              <w:jc w:val="center"/>
              <w:rPr>
                <w:rFonts w:eastAsia="Arial" w:cs="Arial"/>
              </w:rPr>
            </w:pPr>
            <w:r w:rsidRPr="2AF79D1D">
              <w:rPr>
                <w:rFonts w:eastAsia="Arial" w:cs="Arial"/>
                <w:b/>
                <w:bCs/>
              </w:rPr>
              <w:t>65535</w:t>
            </w:r>
          </w:p>
        </w:tc>
        <w:tc>
          <w:tcPr>
            <w:tcW w:w="3213" w:type="dxa"/>
          </w:tcPr>
          <w:p w14:paraId="0D19B32B" w14:textId="493475FA" w:rsidR="2AF79D1D" w:rsidRDefault="2AF79D1D" w:rsidP="2AF79D1D">
            <w:pPr>
              <w:rPr>
                <w:rFonts w:eastAsia="Arial" w:cs="Arial"/>
              </w:rPr>
            </w:pPr>
            <w:r w:rsidRPr="2AF79D1D">
              <w:rPr>
                <w:rFonts w:eastAsia="Arial" w:cs="Arial"/>
              </w:rPr>
              <w:t>Missing</w:t>
            </w:r>
          </w:p>
        </w:tc>
        <w:tc>
          <w:tcPr>
            <w:tcW w:w="3213" w:type="dxa"/>
          </w:tcPr>
          <w:p w14:paraId="6D78F28C" w14:textId="46DD57A5" w:rsidR="2AF79D1D" w:rsidRDefault="2AF79D1D" w:rsidP="2AF79D1D">
            <w:pPr>
              <w:rPr>
                <w:rFonts w:eastAsia="Arial" w:cs="Arial"/>
                <w:color w:val="0070C0"/>
              </w:rPr>
            </w:pPr>
          </w:p>
        </w:tc>
      </w:tr>
    </w:tbl>
    <w:p w14:paraId="5F280C2E" w14:textId="6EA951AB" w:rsidR="2AF79D1D" w:rsidRDefault="2AF79D1D" w:rsidP="2AF79D1D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2AF79D1D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2D8B6" w14:textId="77777777" w:rsidR="004C1690" w:rsidRDefault="004C1690" w:rsidP="004C1690">
      <w:r>
        <w:separator/>
      </w:r>
    </w:p>
  </w:endnote>
  <w:endnote w:type="continuationSeparator" w:id="0">
    <w:p w14:paraId="0FB78278" w14:textId="77777777"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9945" w14:textId="77777777" w:rsidR="004C1690" w:rsidRDefault="004C1690" w:rsidP="004C1690">
      <w:r>
        <w:separator/>
      </w:r>
    </w:p>
  </w:footnote>
  <w:footnote w:type="continuationSeparator" w:id="0">
    <w:p w14:paraId="0562CB0E" w14:textId="77777777"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62F4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55503"/>
    <w:rsid w:val="002601CB"/>
    <w:rsid w:val="00287AE7"/>
    <w:rsid w:val="00291039"/>
    <w:rsid w:val="002921A7"/>
    <w:rsid w:val="00292AB7"/>
    <w:rsid w:val="002A2002"/>
    <w:rsid w:val="002A7D7D"/>
    <w:rsid w:val="002B1E0C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76CBA"/>
    <w:rsid w:val="00481C7A"/>
    <w:rsid w:val="00484AEF"/>
    <w:rsid w:val="00491001"/>
    <w:rsid w:val="004C1690"/>
    <w:rsid w:val="004F715C"/>
    <w:rsid w:val="004F78C7"/>
    <w:rsid w:val="005009B7"/>
    <w:rsid w:val="00517BBD"/>
    <w:rsid w:val="0052330A"/>
    <w:rsid w:val="00527ACC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5E54DA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1F8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A77F0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09F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14F5"/>
    <w:rsid w:val="00D42900"/>
    <w:rsid w:val="00D43C17"/>
    <w:rsid w:val="00D47603"/>
    <w:rsid w:val="00D478AD"/>
    <w:rsid w:val="00D51173"/>
    <w:rsid w:val="00D564D5"/>
    <w:rsid w:val="00D571DE"/>
    <w:rsid w:val="00D632E9"/>
    <w:rsid w:val="00D64CE3"/>
    <w:rsid w:val="00D719E8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EC4"/>
    <w:rsid w:val="00F33FAD"/>
    <w:rsid w:val="00F35A04"/>
    <w:rsid w:val="00F4589C"/>
    <w:rsid w:val="00F45978"/>
    <w:rsid w:val="00F5434C"/>
    <w:rsid w:val="00F85B6C"/>
    <w:rsid w:val="00F92048"/>
    <w:rsid w:val="00FA23EF"/>
    <w:rsid w:val="00FC0337"/>
    <w:rsid w:val="00FC7FE8"/>
    <w:rsid w:val="00FD21BA"/>
    <w:rsid w:val="00FD66E9"/>
    <w:rsid w:val="00FE0DD5"/>
    <w:rsid w:val="00FF2B64"/>
    <w:rsid w:val="00FF4EA8"/>
    <w:rsid w:val="2AF79D1D"/>
    <w:rsid w:val="2EF2F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AEF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F33EC4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F33EC4"/>
    <w:rPr>
      <w:rFonts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9A2A63" w:rsidP="009A2A63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9A2A63" w:rsidP="009A2A63">
          <w:pPr>
            <w:pStyle w:val="7CBF56C9F24C4BC0803C208A3907438441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9A2A63" w:rsidP="009A2A63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9A2A63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A63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9A2A63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9A2A63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A63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9A2A63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9A2A63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9A2A6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30A1-AB8D-4512-8A03-FDA5292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2019-04-10T13:50:00Z</dcterms:created>
  <dcterms:modified xsi:type="dcterms:W3CDTF">2019-04-10T13:50:00Z</dcterms:modified>
</cp:coreProperties>
</file>