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BF4E15">
        <w:trPr>
          <w:jc w:val="center"/>
        </w:trPr>
        <w:tc>
          <w:tcPr>
            <w:tcW w:w="6160" w:type="dxa"/>
            <w:shd w:val="clear" w:color="auto" w:fill="auto"/>
          </w:tcPr>
          <w:p w:rsidR="003F5C91" w:rsidRDefault="00253256" w:rsidP="003F5C91">
            <w:pPr>
              <w:jc w:val="center"/>
              <w:rPr>
                <w:rFonts w:ascii="Verdana" w:hAnsi="Verdana" w:cs="Arial"/>
                <w:bCs/>
                <w:snapToGrid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3F5C91" w:rsidRDefault="00253256" w:rsidP="003F5C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3F5C91" w:rsidRDefault="00253256" w:rsidP="003F5C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3F5C91" w:rsidRDefault="00904596" w:rsidP="003F5C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253256">
              <w:rPr>
                <w:rFonts w:ascii="Verdana" w:hAnsi="Verdana" w:cs="Arial"/>
                <w:sz w:val="20"/>
                <w:szCs w:val="20"/>
              </w:rPr>
              <w:t xml:space="preserve"> MEETING OF</w:t>
            </w:r>
          </w:p>
          <w:p w:rsidR="003F5C91" w:rsidRDefault="00253256" w:rsidP="003F5C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3F5C91" w:rsidRDefault="00860EFB" w:rsidP="003F5C9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F5C91" w:rsidRDefault="00904596" w:rsidP="00904596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MARRAKECH, MOROCCO</w:t>
            </w:r>
            <w:r w:rsidR="00253256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 – 19 APRIL</w:t>
            </w:r>
            <w:r w:rsidR="00253256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3F5C91" w:rsidRDefault="00860EFB" w:rsidP="003F5C91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3F5C91" w:rsidRPr="0085608C" w:rsidRDefault="00253256" w:rsidP="003F5C91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5608C">
              <w:rPr>
                <w:rFonts w:ascii="Verdana" w:hAnsi="Verdana" w:cs="Arial"/>
                <w:sz w:val="20"/>
                <w:szCs w:val="20"/>
                <w:lang w:val="fr-FR"/>
              </w:rPr>
              <w:t>IPET-CM-I</w:t>
            </w:r>
            <w:r w:rsidR="00904596">
              <w:rPr>
                <w:rFonts w:ascii="Verdana" w:hAnsi="Verdana" w:cs="Arial"/>
                <w:sz w:val="20"/>
                <w:szCs w:val="20"/>
                <w:lang w:val="fr-FR"/>
              </w:rPr>
              <w:t>I</w:t>
            </w:r>
            <w:r w:rsidRPr="0085608C">
              <w:rPr>
                <w:rFonts w:ascii="Verdana" w:hAnsi="Verdana" w:cs="Arial"/>
                <w:sz w:val="20"/>
                <w:szCs w:val="20"/>
                <w:lang w:val="fr-FR"/>
              </w:rPr>
              <w:t xml:space="preserve">I / </w:t>
            </w:r>
            <w:r w:rsidRPr="0085608C">
              <w:rPr>
                <w:rFonts w:ascii="Verdana" w:hAnsi="Verdana"/>
                <w:sz w:val="20"/>
                <w:szCs w:val="20"/>
                <w:lang w:val="fr-FR"/>
              </w:rPr>
              <w:t xml:space="preserve">Doc. </w:t>
            </w:r>
            <w:r w:rsidR="00904596">
              <w:rPr>
                <w:rFonts w:ascii="Verdana" w:hAnsi="Verdana"/>
                <w:sz w:val="20"/>
                <w:szCs w:val="20"/>
                <w:lang w:val="fr-FR"/>
              </w:rPr>
              <w:t>2.5 (3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)</w:t>
            </w:r>
          </w:p>
          <w:p w:rsidR="003F5C91" w:rsidRDefault="00253256" w:rsidP="003F5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0459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/04/201</w:t>
            </w:r>
            <w:r w:rsidR="00904596">
              <w:rPr>
                <w:rFonts w:ascii="Verdana" w:hAnsi="Verdana"/>
                <w:sz w:val="20"/>
                <w:szCs w:val="20"/>
              </w:rPr>
              <w:t>9</w:t>
            </w:r>
          </w:p>
          <w:p w:rsidR="003F5C91" w:rsidRDefault="00253256" w:rsidP="003F5C9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3F5C91" w:rsidRDefault="00860EFB" w:rsidP="003F5C91">
            <w:pPr>
              <w:rPr>
                <w:rFonts w:ascii="Verdana" w:hAnsi="Verdana"/>
                <w:sz w:val="20"/>
                <w:szCs w:val="20"/>
              </w:rPr>
            </w:pPr>
          </w:p>
          <w:p w:rsidR="003F5C91" w:rsidRDefault="00253256" w:rsidP="003F5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 2.5</w:t>
            </w:r>
          </w:p>
          <w:p w:rsidR="003F5C91" w:rsidRDefault="00860EFB" w:rsidP="003F5C91">
            <w:pPr>
              <w:rPr>
                <w:rFonts w:ascii="Verdana" w:hAnsi="Verdana"/>
                <w:sz w:val="20"/>
                <w:szCs w:val="20"/>
              </w:rPr>
            </w:pPr>
          </w:p>
          <w:p w:rsidR="003F5C91" w:rsidRDefault="00253256" w:rsidP="003F5C91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056724" w:rsidRPr="00F35A04" w:rsidRDefault="00860EFB" w:rsidP="00056724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056724" w:rsidRPr="00F35A04" w:rsidRDefault="00860EFB" w:rsidP="00056724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056724" w:rsidRPr="00F35A04" w:rsidRDefault="00860EFB" w:rsidP="00056724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056724" w:rsidRPr="00F35A04" w:rsidRDefault="00253256" w:rsidP="0005672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ommon Code Tables"/>
            </w:textInput>
          </w:ffData>
        </w:fldChar>
      </w:r>
      <w:bookmarkStart w:id="0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Common Code Tables</w:t>
      </w:r>
      <w:r>
        <w:rPr>
          <w:rFonts w:ascii="Verdana" w:hAnsi="Verdana"/>
          <w:sz w:val="20"/>
          <w:szCs w:val="20"/>
        </w:rPr>
        <w:fldChar w:fldCharType="end"/>
      </w:r>
      <w:bookmarkEnd w:id="0"/>
    </w:p>
    <w:p w:rsidR="00056724" w:rsidRPr="00F35A04" w:rsidRDefault="00253256" w:rsidP="00056724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Proposal for new entries in Common Code Tables C5 and C8"/>
            </w:textInput>
          </w:ffData>
        </w:fldChar>
      </w:r>
      <w:bookmarkStart w:id="1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Proposal for new entries in Common Code Tables C5 and C8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056724" w:rsidRPr="00F35A04" w:rsidRDefault="00253256" w:rsidP="00056724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90459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Dr Simon Elliott (EUMETSAT)"/>
            </w:textInput>
          </w:ffData>
        </w:fldChar>
      </w:r>
      <w:bookmarkStart w:id="2" w:name="Text3"/>
      <w:r w:rsidR="00904596">
        <w:rPr>
          <w:rFonts w:ascii="Verdana" w:hAnsi="Verdana"/>
          <w:i/>
          <w:sz w:val="20"/>
          <w:szCs w:val="20"/>
        </w:rPr>
        <w:instrText xml:space="preserve"> FORMTEXT </w:instrText>
      </w:r>
      <w:r w:rsidR="00904596">
        <w:rPr>
          <w:rFonts w:ascii="Verdana" w:hAnsi="Verdana"/>
          <w:i/>
          <w:sz w:val="20"/>
          <w:szCs w:val="20"/>
        </w:rPr>
      </w:r>
      <w:r w:rsidR="00904596">
        <w:rPr>
          <w:rFonts w:ascii="Verdana" w:hAnsi="Verdana"/>
          <w:i/>
          <w:sz w:val="20"/>
          <w:szCs w:val="20"/>
        </w:rPr>
        <w:fldChar w:fldCharType="separate"/>
      </w:r>
      <w:r w:rsidR="00904596">
        <w:rPr>
          <w:rFonts w:ascii="Verdana" w:hAnsi="Verdana"/>
          <w:i/>
          <w:noProof/>
          <w:sz w:val="20"/>
          <w:szCs w:val="20"/>
        </w:rPr>
        <w:t xml:space="preserve">Dr </w:t>
      </w:r>
      <w:bookmarkStart w:id="3" w:name="_GoBack"/>
      <w:r w:rsidR="00904596">
        <w:rPr>
          <w:rFonts w:ascii="Verdana" w:hAnsi="Verdana"/>
          <w:i/>
          <w:noProof/>
          <w:sz w:val="20"/>
          <w:szCs w:val="20"/>
        </w:rPr>
        <w:t>Simon Elliott</w:t>
      </w:r>
      <w:bookmarkEnd w:id="3"/>
      <w:r w:rsidR="00904596">
        <w:rPr>
          <w:rFonts w:ascii="Verdana" w:hAnsi="Verdana"/>
          <w:i/>
          <w:noProof/>
          <w:sz w:val="20"/>
          <w:szCs w:val="20"/>
        </w:rPr>
        <w:t xml:space="preserve"> (EUMETSAT)</w:t>
      </w:r>
      <w:r w:rsidR="00904596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056724" w:rsidRPr="00F35A04" w:rsidRDefault="00860EFB" w:rsidP="00056724">
      <w:pPr>
        <w:jc w:val="center"/>
        <w:rPr>
          <w:rFonts w:ascii="Verdana" w:hAnsi="Verdana"/>
          <w:sz w:val="20"/>
          <w:szCs w:val="20"/>
        </w:rPr>
      </w:pPr>
    </w:p>
    <w:p w:rsidR="00056724" w:rsidRPr="00F35A04" w:rsidRDefault="00253256" w:rsidP="0005672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056724" w:rsidRPr="00F35A04" w:rsidRDefault="00860EFB" w:rsidP="0005672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056724" w:rsidRPr="00F35A04" w:rsidRDefault="00253256" w:rsidP="0005672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056724" w:rsidRPr="00F35A04" w:rsidRDefault="00860EFB" w:rsidP="00056724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056724" w:rsidRPr="00F35A04" w:rsidRDefault="00253256" w:rsidP="00056724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proposes new entries to Common Code Tables C5 and C8 in order to represent satellites and instruments planned for launch during 201</w:t>
      </w:r>
      <w:r w:rsidR="00904596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</w:t>
      </w:r>
    </w:p>
    <w:p w:rsidR="00056724" w:rsidRPr="00F35A04" w:rsidRDefault="00860EFB" w:rsidP="00056724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056724" w:rsidRPr="00F35A04" w:rsidRDefault="00253256" w:rsidP="0005672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056724" w:rsidRPr="00F35A04" w:rsidRDefault="00860EFB" w:rsidP="00056724">
      <w:pPr>
        <w:jc w:val="center"/>
        <w:rPr>
          <w:rFonts w:ascii="Verdana" w:hAnsi="Verdana"/>
          <w:sz w:val="20"/>
          <w:szCs w:val="20"/>
        </w:rPr>
      </w:pPr>
    </w:p>
    <w:p w:rsidR="00056724" w:rsidRPr="00F35A04" w:rsidRDefault="00253256" w:rsidP="0005672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056724" w:rsidRPr="00F35A04" w:rsidRDefault="00860EFB" w:rsidP="00056724">
      <w:pPr>
        <w:rPr>
          <w:rFonts w:ascii="Verdana" w:hAnsi="Verdana"/>
          <w:sz w:val="20"/>
          <w:szCs w:val="20"/>
        </w:rPr>
      </w:pPr>
    </w:p>
    <w:p w:rsidR="00056724" w:rsidRPr="00F35A04" w:rsidRDefault="00253256" w:rsidP="00056724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approve the contents for inclusion within the next update to the WMO Manual on Codes.</w:t>
      </w:r>
    </w:p>
    <w:p w:rsidR="00056724" w:rsidRPr="00F35A04" w:rsidRDefault="00860EFB" w:rsidP="00056724">
      <w:pPr>
        <w:pStyle w:val="BodyText"/>
        <w:rPr>
          <w:rFonts w:ascii="Verdana" w:hAnsi="Verdana"/>
          <w:sz w:val="20"/>
          <w:szCs w:val="20"/>
        </w:rPr>
      </w:pPr>
    </w:p>
    <w:p w:rsidR="00056724" w:rsidRPr="00F35A04" w:rsidRDefault="00860EFB" w:rsidP="00056724">
      <w:pPr>
        <w:spacing w:after="40"/>
        <w:jc w:val="both"/>
        <w:rPr>
          <w:rFonts w:ascii="Verdana" w:hAnsi="Verdana"/>
          <w:sz w:val="20"/>
          <w:szCs w:val="20"/>
        </w:rPr>
      </w:pPr>
    </w:p>
    <w:p w:rsidR="00056724" w:rsidRPr="00F35A04" w:rsidRDefault="00860EFB" w:rsidP="00056724">
      <w:pPr>
        <w:spacing w:after="40"/>
        <w:jc w:val="both"/>
        <w:rPr>
          <w:rFonts w:ascii="Verdana" w:hAnsi="Verdana"/>
          <w:sz w:val="20"/>
          <w:szCs w:val="20"/>
        </w:rPr>
      </w:pPr>
    </w:p>
    <w:p w:rsidR="00056724" w:rsidRPr="00F35A04" w:rsidRDefault="00253256" w:rsidP="00056724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056724" w:rsidRDefault="00860EFB" w:rsidP="00056724">
      <w:pPr>
        <w:rPr>
          <w:rFonts w:ascii="Verdana" w:hAnsi="Verdana"/>
          <w:sz w:val="20"/>
          <w:szCs w:val="20"/>
        </w:rPr>
      </w:pPr>
    </w:p>
    <w:p w:rsidR="00056724" w:rsidRDefault="00253256" w:rsidP="00035D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number of key meteorological satellite launches are foreseen in </w:t>
      </w:r>
      <w:r w:rsidR="00274F73">
        <w:rPr>
          <w:rFonts w:ascii="Verdana" w:hAnsi="Verdana"/>
          <w:sz w:val="20"/>
          <w:szCs w:val="20"/>
        </w:rPr>
        <w:t>the coming months</w:t>
      </w:r>
      <w:r>
        <w:rPr>
          <w:rFonts w:ascii="Verdana" w:hAnsi="Verdana"/>
          <w:sz w:val="20"/>
          <w:szCs w:val="20"/>
        </w:rPr>
        <w:t>. In order to allow the unambiguous representation of data from these missions, additional entries are required in Common Code Tables C5 and C8.</w:t>
      </w:r>
    </w:p>
    <w:p w:rsidR="003F3F8C" w:rsidRDefault="00860EFB" w:rsidP="00035D7F">
      <w:pPr>
        <w:rPr>
          <w:rFonts w:ascii="Verdana" w:hAnsi="Verdana"/>
          <w:sz w:val="20"/>
          <w:szCs w:val="20"/>
        </w:rPr>
      </w:pPr>
    </w:p>
    <w:p w:rsidR="003F3F8C" w:rsidRDefault="00253256" w:rsidP="00035D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proposed entries have been shared with the CGMS Task Force on Satellite Data and Codes and found to be acceptable.</w:t>
      </w:r>
    </w:p>
    <w:p w:rsidR="00035D7F" w:rsidRPr="00F35A04" w:rsidRDefault="00860EFB" w:rsidP="00035D7F">
      <w:pPr>
        <w:rPr>
          <w:rFonts w:ascii="Verdana" w:hAnsi="Verdana"/>
          <w:sz w:val="20"/>
          <w:szCs w:val="20"/>
        </w:rPr>
      </w:pPr>
    </w:p>
    <w:p w:rsidR="00056724" w:rsidRDefault="00253256" w:rsidP="00056724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056724" w:rsidRDefault="00253256" w:rsidP="00056724">
      <w:pPr>
        <w:rPr>
          <w:rFonts w:ascii="Verdana" w:hAnsi="Verdana"/>
          <w:b/>
          <w:i/>
          <w:sz w:val="20"/>
          <w:szCs w:val="20"/>
        </w:rPr>
      </w:pPr>
      <w:r w:rsidRPr="00CD55D0">
        <w:rPr>
          <w:rFonts w:ascii="Verdana" w:hAnsi="Verdana"/>
          <w:b/>
          <w:i/>
          <w:sz w:val="20"/>
          <w:szCs w:val="20"/>
        </w:rPr>
        <w:t>“Amend”, “add”, “delete” are the keywords</w:t>
      </w:r>
    </w:p>
    <w:p w:rsidR="00056724" w:rsidRDefault="00860EFB" w:rsidP="00056724">
      <w:pPr>
        <w:rPr>
          <w:rFonts w:ascii="Verdana" w:hAnsi="Verdana"/>
          <w:b/>
          <w:i/>
          <w:sz w:val="20"/>
          <w:szCs w:val="20"/>
        </w:rPr>
      </w:pPr>
    </w:p>
    <w:p w:rsidR="007C49DD" w:rsidRDefault="00253256" w:rsidP="007C49DD">
      <w:pPr>
        <w:rPr>
          <w:rFonts w:ascii="Verdana" w:hAnsi="Verdana"/>
          <w:sz w:val="20"/>
          <w:szCs w:val="20"/>
        </w:rPr>
      </w:pPr>
      <w:r w:rsidRPr="00751C9D"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elements to Common Code Table C5 </w:t>
      </w:r>
      <w:r w:rsidRPr="0085608C">
        <w:rPr>
          <w:rFonts w:ascii="Verdana" w:hAnsi="Verdana"/>
          <w:sz w:val="20"/>
          <w:szCs w:val="20"/>
        </w:rPr>
        <w:t>Satellite identifier</w:t>
      </w:r>
      <w:r>
        <w:rPr>
          <w:rFonts w:ascii="Verdana" w:hAnsi="Verdana"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835"/>
        <w:gridCol w:w="2551"/>
      </w:tblGrid>
      <w:tr w:rsidR="00BF4E15" w:rsidTr="00274F73">
        <w:trPr>
          <w:trHeight w:val="578"/>
        </w:trPr>
        <w:tc>
          <w:tcPr>
            <w:tcW w:w="1843" w:type="dxa"/>
            <w:shd w:val="pct10" w:color="auto" w:fill="auto"/>
          </w:tcPr>
          <w:p w:rsidR="003E4A33" w:rsidRPr="0085608C" w:rsidRDefault="00253256" w:rsidP="0085608C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 figure for I</w:t>
            </w:r>
            <w:r w:rsidRPr="003E4A33">
              <w:rPr>
                <w:b/>
                <w:i/>
                <w:sz w:val="18"/>
                <w:szCs w:val="18"/>
                <w:vertAlign w:val="subscript"/>
              </w:rPr>
              <w:t>6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3E4A33">
              <w:rPr>
                <w:b/>
                <w:i/>
                <w:sz w:val="18"/>
                <w:szCs w:val="18"/>
                <w:vertAlign w:val="subscript"/>
              </w:rPr>
              <w:t>6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3E4A33">
              <w:rPr>
                <w:b/>
                <w:i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552" w:type="dxa"/>
            <w:shd w:val="pct10" w:color="auto" w:fill="auto"/>
          </w:tcPr>
          <w:p w:rsidR="003E4A33" w:rsidRPr="0085608C" w:rsidRDefault="00253256" w:rsidP="0085608C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 figure for BUFR (Code table 0 01 007)</w:t>
            </w:r>
          </w:p>
        </w:tc>
        <w:tc>
          <w:tcPr>
            <w:tcW w:w="2835" w:type="dxa"/>
            <w:shd w:val="pct10" w:color="auto" w:fill="auto"/>
          </w:tcPr>
          <w:p w:rsidR="003E4A33" w:rsidRPr="0085608C" w:rsidRDefault="00253256" w:rsidP="0085608C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 figure for GRIB Edition 2</w:t>
            </w:r>
          </w:p>
        </w:tc>
        <w:tc>
          <w:tcPr>
            <w:tcW w:w="2551" w:type="dxa"/>
            <w:shd w:val="pct10" w:color="auto" w:fill="auto"/>
          </w:tcPr>
          <w:p w:rsidR="003E4A33" w:rsidRPr="0085608C" w:rsidRDefault="00860EFB" w:rsidP="0085608C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F4E15" w:rsidTr="003E4A33">
        <w:tc>
          <w:tcPr>
            <w:tcW w:w="1843" w:type="dxa"/>
            <w:tcBorders>
              <w:bottom w:val="single" w:sz="2" w:space="0" w:color="D9D9D9"/>
            </w:tcBorders>
            <w:shd w:val="clear" w:color="auto" w:fill="auto"/>
          </w:tcPr>
          <w:p w:rsidR="003E4A33" w:rsidRPr="0085608C" w:rsidRDefault="00274F73" w:rsidP="00274F73">
            <w:pPr>
              <w:tabs>
                <w:tab w:val="left" w:pos="660"/>
                <w:tab w:val="left" w:pos="720"/>
                <w:tab w:val="center" w:pos="813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52" w:type="dxa"/>
            <w:tcBorders>
              <w:bottom w:val="single" w:sz="2" w:space="0" w:color="D9D9D9"/>
            </w:tcBorders>
            <w:shd w:val="clear" w:color="auto" w:fill="auto"/>
          </w:tcPr>
          <w:p w:rsidR="003E4A33" w:rsidRPr="0085608C" w:rsidRDefault="00274F73" w:rsidP="003E4A33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835" w:type="dxa"/>
            <w:tcBorders>
              <w:bottom w:val="single" w:sz="2" w:space="0" w:color="D9D9D9"/>
            </w:tcBorders>
            <w:shd w:val="clear" w:color="auto" w:fill="auto"/>
          </w:tcPr>
          <w:p w:rsidR="003E4A33" w:rsidRPr="0085608C" w:rsidRDefault="00274F73" w:rsidP="003E4A33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51" w:type="dxa"/>
            <w:tcBorders>
              <w:bottom w:val="single" w:sz="2" w:space="0" w:color="D9D9D9"/>
            </w:tcBorders>
          </w:tcPr>
          <w:p w:rsidR="003E4A33" w:rsidRPr="0085608C" w:rsidRDefault="00274F73" w:rsidP="003E4A3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Sentinel-6A</w:t>
            </w:r>
          </w:p>
        </w:tc>
      </w:tr>
      <w:tr w:rsidR="00BF4E15" w:rsidTr="003E4A33">
        <w:tc>
          <w:tcPr>
            <w:tcW w:w="1843" w:type="dxa"/>
            <w:shd w:val="clear" w:color="auto" w:fill="auto"/>
          </w:tcPr>
          <w:p w:rsidR="003E4A33" w:rsidRPr="0085608C" w:rsidRDefault="00274F73" w:rsidP="003E4A33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3E4A33" w:rsidRPr="0085608C" w:rsidRDefault="00274F73" w:rsidP="003E4A33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3E4A33" w:rsidRPr="0085608C" w:rsidRDefault="00274F73" w:rsidP="003E4A33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551" w:type="dxa"/>
          </w:tcPr>
          <w:p w:rsidR="003E4A33" w:rsidRPr="0085608C" w:rsidRDefault="00274F73" w:rsidP="003E4A3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Sentinel-6B</w:t>
            </w:r>
          </w:p>
        </w:tc>
      </w:tr>
    </w:tbl>
    <w:p w:rsidR="007C49DD" w:rsidRDefault="00860EFB" w:rsidP="00056724">
      <w:pPr>
        <w:rPr>
          <w:rFonts w:ascii="Verdana" w:hAnsi="Verdana"/>
          <w:b/>
          <w:i/>
          <w:sz w:val="20"/>
          <w:szCs w:val="20"/>
        </w:rPr>
      </w:pPr>
    </w:p>
    <w:p w:rsidR="00056724" w:rsidRDefault="00253256" w:rsidP="00056724">
      <w:pPr>
        <w:rPr>
          <w:rFonts w:ascii="Verdana" w:hAnsi="Verdana"/>
          <w:sz w:val="20"/>
          <w:szCs w:val="20"/>
        </w:rPr>
      </w:pPr>
      <w:r w:rsidRPr="00751C9D"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elements to Common Code Table C8 </w:t>
      </w:r>
      <w:r w:rsidRPr="0085608C">
        <w:rPr>
          <w:rFonts w:ascii="Verdana" w:hAnsi="Verdana"/>
          <w:sz w:val="20"/>
          <w:szCs w:val="20"/>
        </w:rPr>
        <w:t>Satellite instruments</w:t>
      </w:r>
      <w:r>
        <w:rPr>
          <w:rFonts w:ascii="Verdana" w:hAnsi="Verdana"/>
          <w:sz w:val="20"/>
          <w:szCs w:val="20"/>
        </w:rPr>
        <w:t>:</w:t>
      </w:r>
    </w:p>
    <w:tbl>
      <w:tblPr>
        <w:tblW w:w="978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87"/>
        <w:gridCol w:w="1873"/>
        <w:gridCol w:w="1701"/>
        <w:gridCol w:w="4080"/>
      </w:tblGrid>
      <w:tr w:rsidR="00BF4E15" w:rsidTr="00274F73">
        <w:trPr>
          <w:trHeight w:val="572"/>
        </w:trPr>
        <w:tc>
          <w:tcPr>
            <w:tcW w:w="740" w:type="dxa"/>
            <w:shd w:val="pct10" w:color="auto" w:fill="auto"/>
          </w:tcPr>
          <w:p w:rsidR="003E4A33" w:rsidRPr="0085608C" w:rsidRDefault="00253256" w:rsidP="00274F73">
            <w:pPr>
              <w:spacing w:before="40"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Code</w:t>
            </w:r>
          </w:p>
        </w:tc>
        <w:tc>
          <w:tcPr>
            <w:tcW w:w="1387" w:type="dxa"/>
            <w:shd w:val="pct10" w:color="auto" w:fill="auto"/>
          </w:tcPr>
          <w:p w:rsidR="003E4A33" w:rsidRPr="0085608C" w:rsidRDefault="00253256" w:rsidP="00274F73">
            <w:pPr>
              <w:spacing w:before="40"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Agency</w:t>
            </w:r>
          </w:p>
        </w:tc>
        <w:tc>
          <w:tcPr>
            <w:tcW w:w="1873" w:type="dxa"/>
            <w:shd w:val="pct10" w:color="auto" w:fill="auto"/>
          </w:tcPr>
          <w:p w:rsidR="003E4A33" w:rsidRPr="0085608C" w:rsidRDefault="00253256" w:rsidP="00274F73">
            <w:pPr>
              <w:spacing w:before="40"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1701" w:type="dxa"/>
            <w:shd w:val="pct10" w:color="auto" w:fill="auto"/>
          </w:tcPr>
          <w:p w:rsidR="003E4A33" w:rsidRPr="0085608C" w:rsidRDefault="00253256" w:rsidP="00274F73">
            <w:pPr>
              <w:spacing w:before="40"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Instrument short name</w:t>
            </w:r>
          </w:p>
        </w:tc>
        <w:tc>
          <w:tcPr>
            <w:tcW w:w="4080" w:type="dxa"/>
            <w:shd w:val="pct10" w:color="auto" w:fill="auto"/>
          </w:tcPr>
          <w:p w:rsidR="003E4A33" w:rsidRPr="0085608C" w:rsidRDefault="00253256" w:rsidP="00274F73">
            <w:pPr>
              <w:spacing w:before="40"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Instrument long name</w:t>
            </w:r>
          </w:p>
        </w:tc>
      </w:tr>
      <w:tr w:rsidR="00BF4E15" w:rsidTr="00274F73">
        <w:trPr>
          <w:trHeight w:val="574"/>
        </w:trPr>
        <w:tc>
          <w:tcPr>
            <w:tcW w:w="740" w:type="dxa"/>
            <w:tcBorders>
              <w:bottom w:val="single" w:sz="2" w:space="0" w:color="D9D9D9"/>
            </w:tcBorders>
            <w:shd w:val="clear" w:color="auto" w:fill="auto"/>
          </w:tcPr>
          <w:p w:rsidR="003E4A33" w:rsidRPr="0085608C" w:rsidRDefault="00274F73" w:rsidP="0085608C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87" w:type="dxa"/>
            <w:tcBorders>
              <w:bottom w:val="single" w:sz="2" w:space="0" w:color="D9D9D9"/>
            </w:tcBorders>
            <w:shd w:val="clear" w:color="auto" w:fill="auto"/>
          </w:tcPr>
          <w:p w:rsidR="003E4A33" w:rsidRPr="0085608C" w:rsidRDefault="00274F73" w:rsidP="0085608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ESA / EUMETSAT</w:t>
            </w:r>
          </w:p>
        </w:tc>
        <w:tc>
          <w:tcPr>
            <w:tcW w:w="1873" w:type="dxa"/>
            <w:tcBorders>
              <w:bottom w:val="single" w:sz="2" w:space="0" w:color="D9D9D9"/>
            </w:tcBorders>
          </w:tcPr>
          <w:p w:rsidR="003E4A33" w:rsidRPr="0085608C" w:rsidRDefault="00274F73" w:rsidP="0085608C">
            <w:pPr>
              <w:spacing w:before="40" w:after="40"/>
              <w:rPr>
                <w:sz w:val="20"/>
              </w:rPr>
            </w:pPr>
            <w:r w:rsidRPr="00274F73">
              <w:rPr>
                <w:sz w:val="20"/>
              </w:rPr>
              <w:t>Radar altimeter</w:t>
            </w:r>
          </w:p>
        </w:tc>
        <w:tc>
          <w:tcPr>
            <w:tcW w:w="1701" w:type="dxa"/>
            <w:tcBorders>
              <w:bottom w:val="single" w:sz="2" w:space="0" w:color="D9D9D9"/>
            </w:tcBorders>
            <w:shd w:val="clear" w:color="auto" w:fill="auto"/>
          </w:tcPr>
          <w:p w:rsidR="003E4A33" w:rsidRPr="0085608C" w:rsidRDefault="00274F73" w:rsidP="0085608C">
            <w:pPr>
              <w:spacing w:before="40" w:after="40"/>
              <w:rPr>
                <w:sz w:val="20"/>
              </w:rPr>
            </w:pPr>
            <w:r w:rsidRPr="00274F73">
              <w:rPr>
                <w:sz w:val="20"/>
              </w:rPr>
              <w:t>POSEIDON-4</w:t>
            </w:r>
          </w:p>
        </w:tc>
        <w:tc>
          <w:tcPr>
            <w:tcW w:w="4080" w:type="dxa"/>
            <w:tcBorders>
              <w:bottom w:val="single" w:sz="2" w:space="0" w:color="D9D9D9"/>
            </w:tcBorders>
            <w:shd w:val="clear" w:color="auto" w:fill="auto"/>
          </w:tcPr>
          <w:p w:rsidR="003E4A33" w:rsidRPr="0085608C" w:rsidRDefault="00274F73" w:rsidP="0085608C">
            <w:pPr>
              <w:spacing w:before="40" w:after="40"/>
              <w:rPr>
                <w:sz w:val="20"/>
              </w:rPr>
            </w:pPr>
            <w:r w:rsidRPr="00274F73">
              <w:rPr>
                <w:sz w:val="20"/>
              </w:rPr>
              <w:t>High precision altimetry, dual frequency (C- and Ku-band) pulse-width limited radar altimeter, synthetic-aperture processing, interleaved Low Rate and High Rate</w:t>
            </w:r>
          </w:p>
        </w:tc>
      </w:tr>
    </w:tbl>
    <w:p w:rsidR="00056724" w:rsidRDefault="00860EFB" w:rsidP="00056724">
      <w:pPr>
        <w:rPr>
          <w:rFonts w:ascii="Verdana" w:hAnsi="Verdana"/>
          <w:sz w:val="20"/>
          <w:szCs w:val="20"/>
        </w:rPr>
      </w:pPr>
    </w:p>
    <w:sectPr w:rsidR="00056724" w:rsidSect="00056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41" w:rsidRDefault="00253256">
      <w:r>
        <w:separator/>
      </w:r>
    </w:p>
  </w:endnote>
  <w:endnote w:type="continuationSeparator" w:id="0">
    <w:p w:rsidR="002A3641" w:rsidRDefault="0025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24" w:rsidRDefault="00860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24" w:rsidRDefault="00860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24" w:rsidRDefault="0086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41" w:rsidRDefault="00253256">
      <w:r>
        <w:separator/>
      </w:r>
    </w:p>
  </w:footnote>
  <w:footnote w:type="continuationSeparator" w:id="0">
    <w:p w:rsidR="002A3641" w:rsidRDefault="0025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24" w:rsidRDefault="00860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24" w:rsidRDefault="00860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24" w:rsidRDefault="00860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F6106AB"/>
    <w:multiLevelType w:val="hybridMultilevel"/>
    <w:tmpl w:val="77BE0E80"/>
    <w:lvl w:ilvl="0" w:tplc="DB1C6174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28165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63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2E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89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21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6B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82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6B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4FEE"/>
    <w:multiLevelType w:val="hybridMultilevel"/>
    <w:tmpl w:val="3FECA6CA"/>
    <w:lvl w:ilvl="0" w:tplc="E9168B2E">
      <w:start w:val="1"/>
      <w:numFmt w:val="decimal"/>
      <w:lvlText w:val="%1."/>
      <w:lvlJc w:val="left"/>
      <w:pPr>
        <w:ind w:left="720" w:hanging="360"/>
      </w:pPr>
    </w:lvl>
    <w:lvl w:ilvl="1" w:tplc="E61439FC" w:tentative="1">
      <w:start w:val="1"/>
      <w:numFmt w:val="lowerLetter"/>
      <w:lvlText w:val="%2."/>
      <w:lvlJc w:val="left"/>
      <w:pPr>
        <w:ind w:left="1440" w:hanging="360"/>
      </w:pPr>
    </w:lvl>
    <w:lvl w:ilvl="2" w:tplc="C3FC417E" w:tentative="1">
      <w:start w:val="1"/>
      <w:numFmt w:val="lowerRoman"/>
      <w:lvlText w:val="%3."/>
      <w:lvlJc w:val="right"/>
      <w:pPr>
        <w:ind w:left="2160" w:hanging="180"/>
      </w:pPr>
    </w:lvl>
    <w:lvl w:ilvl="3" w:tplc="E54AD414" w:tentative="1">
      <w:start w:val="1"/>
      <w:numFmt w:val="decimal"/>
      <w:lvlText w:val="%4."/>
      <w:lvlJc w:val="left"/>
      <w:pPr>
        <w:ind w:left="2880" w:hanging="360"/>
      </w:pPr>
    </w:lvl>
    <w:lvl w:ilvl="4" w:tplc="BA7C9F7E" w:tentative="1">
      <w:start w:val="1"/>
      <w:numFmt w:val="lowerLetter"/>
      <w:lvlText w:val="%5."/>
      <w:lvlJc w:val="left"/>
      <w:pPr>
        <w:ind w:left="3600" w:hanging="360"/>
      </w:pPr>
    </w:lvl>
    <w:lvl w:ilvl="5" w:tplc="421ED65C" w:tentative="1">
      <w:start w:val="1"/>
      <w:numFmt w:val="lowerRoman"/>
      <w:lvlText w:val="%6."/>
      <w:lvlJc w:val="right"/>
      <w:pPr>
        <w:ind w:left="4320" w:hanging="180"/>
      </w:pPr>
    </w:lvl>
    <w:lvl w:ilvl="6" w:tplc="1988B474" w:tentative="1">
      <w:start w:val="1"/>
      <w:numFmt w:val="decimal"/>
      <w:lvlText w:val="%7."/>
      <w:lvlJc w:val="left"/>
      <w:pPr>
        <w:ind w:left="5040" w:hanging="360"/>
      </w:pPr>
    </w:lvl>
    <w:lvl w:ilvl="7" w:tplc="79DC7F10" w:tentative="1">
      <w:start w:val="1"/>
      <w:numFmt w:val="lowerLetter"/>
      <w:lvlText w:val="%8."/>
      <w:lvlJc w:val="left"/>
      <w:pPr>
        <w:ind w:left="5760" w:hanging="360"/>
      </w:pPr>
    </w:lvl>
    <w:lvl w:ilvl="8" w:tplc="EFE81E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5"/>
    <w:rsid w:val="00253256"/>
    <w:rsid w:val="00274F73"/>
    <w:rsid w:val="002A3641"/>
    <w:rsid w:val="0070792A"/>
    <w:rsid w:val="00860EFB"/>
    <w:rsid w:val="00904596"/>
    <w:rsid w:val="00B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DD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A9A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A9A"/>
    <w:rPr>
      <w:rFonts w:ascii="Arial" w:hAnsi="Arial"/>
      <w:snapToGrid w:val="0"/>
      <w:sz w:val="22"/>
      <w:szCs w:val="22"/>
      <w:lang w:eastAsia="en-US"/>
    </w:rPr>
  </w:style>
  <w:style w:type="paragraph" w:customStyle="1" w:styleId="Default">
    <w:name w:val="Default"/>
    <w:rsid w:val="008247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894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442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94420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4420"/>
    <w:rPr>
      <w:b/>
      <w:bCs/>
    </w:rPr>
  </w:style>
  <w:style w:type="character" w:customStyle="1" w:styleId="CommentSubjectChar">
    <w:name w:val="Comment Subject Char"/>
    <w:link w:val="CommentSubject"/>
    <w:semiHidden/>
    <w:rsid w:val="00894420"/>
    <w:rPr>
      <w:rFonts w:ascii="Arial" w:hAnsi="Arial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94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94420"/>
    <w:rPr>
      <w:rFonts w:ascii="Segoe UI" w:hAnsi="Segoe UI" w:cs="Segoe UI"/>
      <w:snapToGrid w:val="0"/>
      <w:sz w:val="18"/>
      <w:szCs w:val="18"/>
      <w:lang w:eastAsia="en-US"/>
    </w:rPr>
  </w:style>
  <w:style w:type="character" w:styleId="PlaceholderText">
    <w:name w:val="Placeholder Text"/>
    <w:uiPriority w:val="99"/>
    <w:semiHidden/>
    <w:rsid w:val="003F5C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DD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A9A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A9A"/>
    <w:rPr>
      <w:rFonts w:ascii="Arial" w:hAnsi="Arial"/>
      <w:snapToGrid w:val="0"/>
      <w:sz w:val="22"/>
      <w:szCs w:val="22"/>
      <w:lang w:eastAsia="en-US"/>
    </w:rPr>
  </w:style>
  <w:style w:type="paragraph" w:customStyle="1" w:styleId="Default">
    <w:name w:val="Default"/>
    <w:rsid w:val="008247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894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442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94420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4420"/>
    <w:rPr>
      <w:b/>
      <w:bCs/>
    </w:rPr>
  </w:style>
  <w:style w:type="character" w:customStyle="1" w:styleId="CommentSubjectChar">
    <w:name w:val="Comment Subject Char"/>
    <w:link w:val="CommentSubject"/>
    <w:semiHidden/>
    <w:rsid w:val="00894420"/>
    <w:rPr>
      <w:rFonts w:ascii="Arial" w:hAnsi="Arial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94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94420"/>
    <w:rPr>
      <w:rFonts w:ascii="Segoe UI" w:hAnsi="Segoe UI" w:cs="Segoe UI"/>
      <w:snapToGrid w:val="0"/>
      <w:sz w:val="18"/>
      <w:szCs w:val="18"/>
      <w:lang w:eastAsia="en-US"/>
    </w:rPr>
  </w:style>
  <w:style w:type="character" w:styleId="PlaceholderText">
    <w:name w:val="Placeholder Text"/>
    <w:uiPriority w:val="99"/>
    <w:semiHidden/>
    <w:rsid w:val="003F5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CE6A-7490-4EF6-89FE-2B7281A9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2019-04-10T10:59:00Z</dcterms:created>
  <dcterms:modified xsi:type="dcterms:W3CDTF">2019-04-10T10:59:00Z</dcterms:modified>
</cp:coreProperties>
</file>