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41681E" w:rsidP="005554A5">
            <w:pPr>
              <w:jc w:val="center"/>
              <w:rPr>
                <w:rFonts w:ascii="Verdana" w:hAnsi="Verdana" w:cs="Arial"/>
                <w:sz w:val="20"/>
                <w:szCs w:val="20"/>
              </w:rPr>
            </w:pPr>
            <w:r>
              <w:rPr>
                <w:rFonts w:ascii="Verdana" w:hAnsi="Verdana" w:cs="Arial"/>
                <w:sz w:val="20"/>
                <w:szCs w:val="20"/>
              </w:rPr>
              <w:t>THIRD</w:t>
            </w:r>
            <w:r w:rsidR="0087795A">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41681E" w:rsidP="0041681E">
            <w:pPr>
              <w:widowControl w:val="0"/>
              <w:snapToGrid w:val="0"/>
              <w:jc w:val="center"/>
              <w:rPr>
                <w:rFonts w:ascii="Verdana" w:hAnsi="Verdana"/>
                <w:sz w:val="20"/>
                <w:szCs w:val="20"/>
              </w:rPr>
            </w:pPr>
            <w:r>
              <w:rPr>
                <w:rFonts w:ascii="Verdana" w:hAnsi="Verdana" w:cs="Arial"/>
                <w:sz w:val="20"/>
                <w:szCs w:val="20"/>
              </w:rPr>
              <w:t>MARRAKECH</w:t>
            </w:r>
            <w:r w:rsidR="0015739E" w:rsidRPr="00F35A04">
              <w:rPr>
                <w:rFonts w:ascii="Verdana" w:hAnsi="Verdana" w:cs="Arial"/>
                <w:sz w:val="20"/>
                <w:szCs w:val="20"/>
              </w:rPr>
              <w:t xml:space="preserve">, </w:t>
            </w:r>
            <w:r>
              <w:rPr>
                <w:rFonts w:ascii="Verdana" w:hAnsi="Verdana" w:cs="Arial"/>
                <w:sz w:val="20"/>
                <w:szCs w:val="20"/>
              </w:rPr>
              <w:t>MOROCCO</w:t>
            </w:r>
            <w:r w:rsidR="005554A5" w:rsidRPr="00F35A04">
              <w:rPr>
                <w:rFonts w:ascii="Verdana" w:hAnsi="Verdana" w:cs="Arial"/>
                <w:sz w:val="20"/>
                <w:szCs w:val="20"/>
              </w:rPr>
              <w:t xml:space="preserve">, </w:t>
            </w:r>
            <w:r>
              <w:rPr>
                <w:rFonts w:ascii="Verdana" w:hAnsi="Verdana" w:cs="Arial"/>
                <w:sz w:val="20"/>
                <w:szCs w:val="20"/>
              </w:rPr>
              <w:t>15</w:t>
            </w:r>
            <w:r w:rsidR="00D51173">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ED2390">
              <w:rPr>
                <w:rFonts w:ascii="Verdana" w:hAnsi="Verdana" w:cs="Arial"/>
                <w:sz w:val="20"/>
                <w:szCs w:val="20"/>
              </w:rPr>
              <w:t>1</w:t>
            </w:r>
            <w:r>
              <w:rPr>
                <w:rFonts w:ascii="Verdana" w:hAnsi="Verdana" w:cs="Arial"/>
                <w:sz w:val="20"/>
                <w:szCs w:val="20"/>
              </w:rPr>
              <w:t>9</w:t>
            </w:r>
            <w:r w:rsidR="005554A5" w:rsidRPr="00F35A04">
              <w:rPr>
                <w:rFonts w:ascii="Verdana" w:hAnsi="Verdana" w:cs="Arial"/>
                <w:sz w:val="20"/>
                <w:szCs w:val="20"/>
              </w:rPr>
              <w:t xml:space="preserve"> </w:t>
            </w:r>
            <w:r>
              <w:rPr>
                <w:rFonts w:ascii="Verdana" w:hAnsi="Verdana" w:cs="Arial"/>
                <w:sz w:val="20"/>
                <w:szCs w:val="20"/>
              </w:rPr>
              <w:t>APRIL</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9</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ED2390">
              <w:rPr>
                <w:rFonts w:ascii="Verdana" w:hAnsi="Verdana" w:cs="Arial"/>
                <w:sz w:val="20"/>
                <w:szCs w:val="20"/>
                <w:lang w:val="en-US"/>
              </w:rPr>
              <w:t>I</w:t>
            </w:r>
            <w:r w:rsidR="0041681E">
              <w:rPr>
                <w:rFonts w:ascii="Verdana" w:hAnsi="Verdana" w:cs="Arial"/>
                <w:sz w:val="20"/>
                <w:szCs w:val="20"/>
                <w:lang w:val="en-US"/>
              </w:rPr>
              <w:t>I</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B2422D">
              <w:rPr>
                <w:rFonts w:ascii="Verdana" w:hAnsi="Verdana"/>
                <w:sz w:val="20"/>
                <w:szCs w:val="20"/>
              </w:rPr>
              <w:t>2.4(</w:t>
            </w:r>
            <w:r w:rsidR="006867DD">
              <w:rPr>
                <w:rFonts w:ascii="Verdana" w:hAnsi="Verdana"/>
                <w:sz w:val="20"/>
                <w:szCs w:val="20"/>
              </w:rPr>
              <w:t>3</w:t>
            </w:r>
            <w:bookmarkStart w:id="0" w:name="_GoBack"/>
            <w:bookmarkEnd w:id="0"/>
            <w:r w:rsidR="00B2422D">
              <w:rPr>
                <w:rFonts w:ascii="Verdana" w:hAnsi="Verdana"/>
                <w:sz w:val="20"/>
                <w:szCs w:val="20"/>
              </w:rPr>
              <w:t>)</w:t>
            </w:r>
          </w:p>
          <w:p w:rsidR="005554A5" w:rsidRPr="00F35A04" w:rsidRDefault="006867DD" w:rsidP="005554A5">
            <w:pPr>
              <w:rPr>
                <w:rFonts w:ascii="Verdana" w:hAnsi="Verdana"/>
                <w:sz w:val="20"/>
                <w:szCs w:val="20"/>
              </w:rPr>
            </w:pPr>
            <w:sdt>
              <w:sdtPr>
                <w:rPr>
                  <w:rFonts w:ascii="Verdana" w:hAnsi="Verdana"/>
                  <w:sz w:val="20"/>
                  <w:szCs w:val="20"/>
                </w:rPr>
                <w:id w:val="969945950"/>
                <w:placeholder>
                  <w:docPart w:val="4CD9C67CAF7A41C8ABBF4A1B36E706D4"/>
                </w:placeholder>
                <w:date w:fullDate="2019-04-10T00:00:00Z">
                  <w:dateFormat w:val="dd.MM.yyyy"/>
                  <w:lid w:val="en-GB"/>
                  <w:storeMappedDataAs w:val="dateTime"/>
                  <w:calendar w:val="gregorian"/>
                </w:date>
              </w:sdtPr>
              <w:sdtEndPr/>
              <w:sdtContent>
                <w:r w:rsidR="00B2422D">
                  <w:rPr>
                    <w:rFonts w:ascii="Verdana" w:hAnsi="Verdana"/>
                    <w:sz w:val="20"/>
                    <w:szCs w:val="20"/>
                  </w:rPr>
                  <w:t>10.04.2019</w:t>
                </w:r>
              </w:sdtContent>
            </w:sdt>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B2422D">
              <w:rPr>
                <w:rFonts w:ascii="Verdana" w:hAnsi="Verdana"/>
                <w:sz w:val="20"/>
                <w:szCs w:val="20"/>
              </w:rPr>
              <w:t>2.4</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6867DD" w:rsidP="00572376">
      <w:pPr>
        <w:snapToGrid w:val="0"/>
        <w:ind w:left="425" w:right="425"/>
        <w:jc w:val="center"/>
        <w:rPr>
          <w:rFonts w:ascii="Verdana" w:hAnsi="Verdana"/>
          <w:sz w:val="20"/>
          <w:szCs w:val="20"/>
        </w:rPr>
      </w:pPr>
      <w:sdt>
        <w:sdtPr>
          <w:rPr>
            <w:rStyle w:val="Style8"/>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2"/>
            <w:b/>
          </w:rPr>
        </w:sdtEndPr>
        <w:sdtContent>
          <w:r w:rsidR="00B2422D">
            <w:rPr>
              <w:rStyle w:val="Style8"/>
            </w:rPr>
            <w:t>MANUAL ON CODES: TABLE-DRIVEN CODE FORMS</w:t>
          </w:r>
        </w:sdtContent>
      </w:sdt>
    </w:p>
    <w:bookmarkStart w:id="1" w:name="Text2"/>
    <w:p w:rsidR="00984C25" w:rsidRPr="006569B7" w:rsidRDefault="006867DD" w:rsidP="00A755B1">
      <w:pPr>
        <w:snapToGrid w:val="0"/>
        <w:spacing w:before="120"/>
        <w:ind w:left="1418" w:right="1418"/>
        <w:jc w:val="center"/>
        <w:rPr>
          <w:rFonts w:ascii="Verdana" w:hAnsi="Verdana" w:cs="Arial"/>
          <w:sz w:val="20"/>
          <w:szCs w:val="20"/>
        </w:rPr>
      </w:pPr>
      <w:sdt>
        <w:sdtPr>
          <w:rPr>
            <w:rFonts w:ascii="Verdana" w:hAnsi="Verdana" w:cs="Arial"/>
            <w:sz w:val="18"/>
            <w:szCs w:val="18"/>
          </w:rPr>
          <w:id w:val="-532109885"/>
          <w:placeholder>
            <w:docPart w:val="7CBF56C9F24C4BC0803C208A39074384"/>
          </w:placeholder>
          <w:comboBox>
            <w:listItem w:displayText=" " w:value=" "/>
            <w:listItem w:displayText="FM 92 GRIB" w:value="FM 92 GRIB"/>
            <w:listItem w:displayText="FM 94 BUFR/FM 95 CREX" w:value="FM 94 BUFR/FM 95 CREX"/>
            <w:listItem w:displayText="Common Code tables" w:value="Common Code tables"/>
            <w:listItem w:displayText="New editions of Table-Driven Code Forms" w:value="New editions of Table-Driven Code Forms"/>
            <w:listItem w:displayText="Conclusion of past proposals on GRIB (in lieu of PFC)" w:value="Conclusion of past proposals on GRIB (in lieu of PFC)"/>
            <w:listItem w:displayText="Conclusion of past proposals on BUFR/CREX (in lieu of PFC)" w:value="Conclusion of past proposals on BUFR/CREX (in lieu of PFC)"/>
            <w:listItem w:displayText="Conclusion of past proposals on Common Code tables (in lieu of PFC)" w:value="Conclusion of past proposals on Common Code tables (in lieu of PFC)"/>
            <w:listItem w:displayText="Reports on status of migration" w:value="Reports on status of migration"/>
          </w:comboBox>
        </w:sdtPr>
        <w:sdtEndPr/>
        <w:sdtContent>
          <w:r w:rsidR="00B2422D">
            <w:rPr>
              <w:rFonts w:ascii="Verdana" w:hAnsi="Verdana" w:cs="Arial"/>
              <w:sz w:val="18"/>
              <w:szCs w:val="18"/>
            </w:rPr>
            <w:t>FM 94 BUFR/FM 95 CREX</w:t>
          </w:r>
        </w:sdtContent>
      </w:sdt>
    </w:p>
    <w:p w:rsidR="008E6C3A" w:rsidRDefault="008E6C3A" w:rsidP="008E6C3A">
      <w:pPr>
        <w:ind w:left="1208" w:right="1389"/>
        <w:jc w:val="center"/>
        <w:rPr>
          <w:rFonts w:ascii="Verdana" w:hAnsi="Verdana" w:cs="Arial"/>
          <w:b/>
          <w:sz w:val="20"/>
          <w:szCs w:val="20"/>
        </w:rPr>
      </w:pPr>
    </w:p>
    <w:bookmarkEnd w:id="1"/>
    <w:p w:rsidR="00B2422D" w:rsidRPr="00F35A04" w:rsidRDefault="00B2422D" w:rsidP="00B2422D">
      <w:pPr>
        <w:ind w:left="1208" w:right="1389"/>
        <w:jc w:val="center"/>
        <w:rPr>
          <w:rFonts w:ascii="Verdana" w:hAnsi="Verdana" w:cs="Arial"/>
          <w:b/>
          <w:sz w:val="20"/>
          <w:szCs w:val="20"/>
        </w:rPr>
      </w:pPr>
      <w:r>
        <w:rPr>
          <w:rFonts w:ascii="Verdana" w:hAnsi="Verdana"/>
          <w:b/>
        </w:rPr>
        <w:t xml:space="preserve">Reporting CryoSat-2 NOP observations using element </w:t>
      </w:r>
      <w:r w:rsidRPr="00F531D1">
        <w:rPr>
          <w:rFonts w:ascii="Verdana" w:hAnsi="Verdana"/>
          <w:b/>
        </w:rPr>
        <w:t>0</w:t>
      </w:r>
      <w:r>
        <w:rPr>
          <w:rFonts w:ascii="Verdana" w:hAnsi="Verdana"/>
          <w:b/>
        </w:rPr>
        <w:t>-</w:t>
      </w:r>
      <w:r w:rsidRPr="00F531D1">
        <w:rPr>
          <w:rFonts w:ascii="Verdana" w:hAnsi="Verdana"/>
          <w:b/>
        </w:rPr>
        <w:t>25</w:t>
      </w:r>
      <w:r>
        <w:rPr>
          <w:rFonts w:ascii="Verdana" w:hAnsi="Verdana"/>
          <w:b/>
        </w:rPr>
        <w:t>-</w:t>
      </w:r>
      <w:r w:rsidRPr="00F531D1">
        <w:rPr>
          <w:rFonts w:ascii="Verdana" w:hAnsi="Verdana"/>
          <w:b/>
        </w:rPr>
        <w:t>190 following</w:t>
      </w:r>
      <w:r>
        <w:rPr>
          <w:rFonts w:ascii="Verdana" w:hAnsi="Verdana"/>
          <w:b/>
        </w:rPr>
        <w:t xml:space="preserve"> BUFR</w:t>
      </w:r>
      <w:r w:rsidRPr="00F531D1">
        <w:rPr>
          <w:rFonts w:ascii="Verdana" w:hAnsi="Verdana"/>
          <w:b/>
        </w:rPr>
        <w:t xml:space="preserve"> </w:t>
      </w:r>
      <w:r>
        <w:rPr>
          <w:rFonts w:ascii="Verdana" w:hAnsi="Verdana"/>
          <w:b/>
        </w:rPr>
        <w:t>s</w:t>
      </w:r>
      <w:r w:rsidRPr="00F531D1">
        <w:rPr>
          <w:rFonts w:ascii="Verdana" w:hAnsi="Verdana"/>
          <w:b/>
        </w:rPr>
        <w:t>equence 3-12-071</w:t>
      </w:r>
    </w:p>
    <w:p w:rsidR="009F245F" w:rsidRPr="00F35A04" w:rsidRDefault="009F245F" w:rsidP="008E6C3A">
      <w:pPr>
        <w:ind w:left="1208" w:right="1389"/>
        <w:jc w:val="center"/>
        <w:rPr>
          <w:rFonts w:ascii="Verdana" w:hAnsi="Verdana" w:cs="Arial"/>
          <w:b/>
          <w:sz w:val="20"/>
          <w:szCs w:val="20"/>
        </w:rPr>
      </w:pPr>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proofErr w:type="spellStart"/>
      <w:r w:rsidR="00B2422D">
        <w:rPr>
          <w:rFonts w:ascii="Verdana" w:hAnsi="Verdana"/>
          <w:i/>
          <w:sz w:val="20"/>
          <w:szCs w:val="20"/>
        </w:rPr>
        <w:t>Marijana</w:t>
      </w:r>
      <w:proofErr w:type="spellEnd"/>
      <w:r w:rsidR="00B2422D">
        <w:rPr>
          <w:rFonts w:ascii="Verdana" w:hAnsi="Verdana"/>
          <w:i/>
          <w:sz w:val="20"/>
          <w:szCs w:val="20"/>
        </w:rPr>
        <w:t xml:space="preserve"> </w:t>
      </w:r>
      <w:proofErr w:type="spellStart"/>
      <w:r w:rsidR="00B2422D">
        <w:rPr>
          <w:rFonts w:ascii="Verdana" w:hAnsi="Verdana"/>
          <w:i/>
          <w:sz w:val="20"/>
          <w:szCs w:val="20"/>
        </w:rPr>
        <w:t>Crepulja</w:t>
      </w:r>
      <w:proofErr w:type="spellEnd"/>
      <w:r w:rsidR="00B2422D">
        <w:rPr>
          <w:rFonts w:ascii="Verdana" w:hAnsi="Verdana"/>
          <w:i/>
          <w:sz w:val="20"/>
          <w:szCs w:val="20"/>
        </w:rPr>
        <w:t xml:space="preserve"> (ECMWF), Saleh </w:t>
      </w:r>
      <w:proofErr w:type="spellStart"/>
      <w:r w:rsidR="00B2422D">
        <w:rPr>
          <w:rFonts w:ascii="Verdana" w:hAnsi="Verdana"/>
          <w:i/>
          <w:sz w:val="20"/>
          <w:szCs w:val="20"/>
        </w:rPr>
        <w:t>Abdalla</w:t>
      </w:r>
      <w:proofErr w:type="spellEnd"/>
      <w:r w:rsidR="00B2422D">
        <w:rPr>
          <w:rFonts w:ascii="Verdana" w:hAnsi="Verdana"/>
          <w:i/>
          <w:sz w:val="20"/>
          <w:szCs w:val="20"/>
        </w:rPr>
        <w:t xml:space="preserve"> (ECMWF)</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B2422D" w:rsidRPr="00F35A04" w:rsidRDefault="00B2422D" w:rsidP="00B2422D">
      <w:pPr>
        <w:pStyle w:val="BodyText"/>
        <w:ind w:left="567" w:right="567" w:firstLine="567"/>
        <w:rPr>
          <w:rFonts w:ascii="Verdana" w:hAnsi="Verdana"/>
          <w:sz w:val="20"/>
          <w:szCs w:val="20"/>
        </w:rPr>
      </w:pPr>
      <w:bookmarkStart w:id="2" w:name="_Hlk5287851"/>
      <w:r>
        <w:rPr>
          <w:rFonts w:ascii="Verdana" w:hAnsi="Verdana"/>
          <w:sz w:val="20"/>
          <w:szCs w:val="20"/>
        </w:rPr>
        <w:t>Use of the BUFR element 0 25 190</w:t>
      </w:r>
      <w:r w:rsidRPr="00557CED">
        <w:rPr>
          <w:rFonts w:ascii="Verdana" w:hAnsi="Verdana"/>
          <w:sz w:val="20"/>
          <w:szCs w:val="20"/>
        </w:rPr>
        <w:t xml:space="preserve"> </w:t>
      </w:r>
      <w:r>
        <w:rPr>
          <w:rFonts w:ascii="Verdana" w:hAnsi="Verdana"/>
          <w:sz w:val="20"/>
          <w:szCs w:val="20"/>
        </w:rPr>
        <w:t>following BUFR sequence 3-12-071</w:t>
      </w:r>
      <w:r w:rsidRPr="00557CED">
        <w:rPr>
          <w:rFonts w:ascii="Verdana" w:hAnsi="Verdana"/>
          <w:sz w:val="20"/>
          <w:szCs w:val="20"/>
        </w:rPr>
        <w:t xml:space="preserve"> </w:t>
      </w:r>
      <w:bookmarkEnd w:id="2"/>
      <w:r w:rsidRPr="00557CED">
        <w:rPr>
          <w:rFonts w:ascii="Verdana" w:hAnsi="Verdana"/>
          <w:sz w:val="20"/>
          <w:szCs w:val="20"/>
        </w:rPr>
        <w:t xml:space="preserve">with the aim </w:t>
      </w:r>
      <w:r w:rsidR="00A028D3">
        <w:rPr>
          <w:rFonts w:ascii="Verdana" w:hAnsi="Verdana"/>
          <w:sz w:val="20"/>
          <w:szCs w:val="20"/>
        </w:rPr>
        <w:t xml:space="preserve">to report properly </w:t>
      </w:r>
      <w:r>
        <w:rPr>
          <w:rFonts w:ascii="Verdana" w:hAnsi="Verdana"/>
          <w:sz w:val="20"/>
          <w:szCs w:val="20"/>
        </w:rPr>
        <w:t xml:space="preserve">all </w:t>
      </w:r>
      <w:r w:rsidRPr="00557CED">
        <w:rPr>
          <w:rFonts w:ascii="Verdana" w:hAnsi="Verdana"/>
          <w:sz w:val="20"/>
          <w:szCs w:val="20"/>
        </w:rPr>
        <w:t xml:space="preserve">observations from </w:t>
      </w:r>
      <w:r>
        <w:rPr>
          <w:rFonts w:ascii="Verdana" w:hAnsi="Verdana"/>
          <w:sz w:val="20"/>
          <w:szCs w:val="20"/>
        </w:rPr>
        <w:t>CryoSat-2 Ocean Processor Near-Real Time Ocean Products (NOP) which include observations obtained in the three operating modes (which involve different altimeter echo processing): LRM, SAR and SARIN</w:t>
      </w:r>
      <w:r w:rsidRPr="00557CED">
        <w:rPr>
          <w:rFonts w:ascii="Verdana" w:hAnsi="Verdana"/>
          <w:sz w:val="20"/>
          <w:szCs w:val="20"/>
        </w:rPr>
        <w:t>.</w:t>
      </w:r>
    </w:p>
    <w:p w:rsidR="009F245F" w:rsidRPr="00F35A04" w:rsidRDefault="009F245F" w:rsidP="00EC3262">
      <w:pPr>
        <w:pStyle w:val="BodyText"/>
        <w:ind w:left="567" w:right="567" w:firstLine="567"/>
        <w:rPr>
          <w:rFonts w:ascii="Verdana" w:hAnsi="Verdana"/>
          <w:sz w:val="20"/>
          <w:szCs w:val="20"/>
        </w:rPr>
      </w:pP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B2422D" w:rsidRDefault="00B2422D" w:rsidP="00B2422D">
      <w:pPr>
        <w:pStyle w:val="BodyText"/>
        <w:ind w:firstLine="567"/>
        <w:rPr>
          <w:rFonts w:ascii="Verdana" w:hAnsi="Verdana"/>
          <w:sz w:val="20"/>
          <w:szCs w:val="20"/>
        </w:rPr>
      </w:pPr>
      <w:r>
        <w:rPr>
          <w:rFonts w:ascii="Verdana" w:hAnsi="Verdana"/>
          <w:sz w:val="20"/>
          <w:szCs w:val="20"/>
        </w:rPr>
        <w:t xml:space="preserve">The team is kindly invited to accept </w:t>
      </w:r>
      <w:r w:rsidRPr="00557CED">
        <w:rPr>
          <w:rFonts w:ascii="Verdana" w:hAnsi="Verdana"/>
          <w:sz w:val="20"/>
          <w:szCs w:val="20"/>
        </w:rPr>
        <w:t>the use of</w:t>
      </w:r>
      <w:r>
        <w:rPr>
          <w:rFonts w:ascii="Verdana" w:hAnsi="Verdana"/>
          <w:sz w:val="20"/>
          <w:szCs w:val="20"/>
        </w:rPr>
        <w:t xml:space="preserve"> BUFR element</w:t>
      </w:r>
      <w:r w:rsidRPr="00557CED">
        <w:rPr>
          <w:rFonts w:ascii="Verdana" w:hAnsi="Verdana"/>
          <w:sz w:val="20"/>
          <w:szCs w:val="20"/>
        </w:rPr>
        <w:t xml:space="preserve"> </w:t>
      </w:r>
      <w:bookmarkStart w:id="3" w:name="_Hlk5195701"/>
      <w:bookmarkStart w:id="4" w:name="_Hlk5198224"/>
      <w:r w:rsidRPr="00557CED">
        <w:rPr>
          <w:rFonts w:ascii="Verdana" w:hAnsi="Verdana"/>
          <w:sz w:val="20"/>
          <w:szCs w:val="20"/>
        </w:rPr>
        <w:t>Altimeter echo processing mode</w:t>
      </w:r>
      <w:bookmarkEnd w:id="3"/>
      <w:bookmarkEnd w:id="4"/>
      <w:r>
        <w:rPr>
          <w:rFonts w:ascii="Verdana" w:hAnsi="Verdana"/>
          <w:sz w:val="20"/>
          <w:szCs w:val="20"/>
        </w:rPr>
        <w:t xml:space="preserve"> 0-25-190 following the BUFR sequence 3-12-071 to enable reporting all new CryoSat-2 NOP observations from the three CryoSat-2 operating modes LRM, SAR and SARIN and consider </w:t>
      </w:r>
      <w:r w:rsidRPr="002A423B">
        <w:rPr>
          <w:rFonts w:ascii="Verdana" w:hAnsi="Verdana"/>
          <w:sz w:val="20"/>
          <w:szCs w:val="20"/>
        </w:rPr>
        <w:t xml:space="preserve">introduction of a note in </w:t>
      </w:r>
      <w:r>
        <w:rPr>
          <w:rFonts w:ascii="Verdana" w:hAnsi="Verdana"/>
          <w:sz w:val="20"/>
          <w:szCs w:val="20"/>
        </w:rPr>
        <w:t>Manual on Codes to</w:t>
      </w:r>
      <w:r w:rsidRPr="002A423B">
        <w:rPr>
          <w:rFonts w:ascii="Verdana" w:hAnsi="Verdana"/>
          <w:sz w:val="20"/>
          <w:szCs w:val="20"/>
        </w:rPr>
        <w:t xml:space="preserve"> allow this practice</w:t>
      </w:r>
      <w:r>
        <w:rPr>
          <w:rFonts w:ascii="Verdana" w:hAnsi="Verdana"/>
          <w:sz w:val="20"/>
          <w:szCs w:val="20"/>
        </w:rPr>
        <w:t>.</w:t>
      </w:r>
    </w:p>
    <w:p w:rsidR="009F245F" w:rsidRDefault="009F245F" w:rsidP="00EC3262">
      <w:pPr>
        <w:pStyle w:val="BodyText"/>
        <w:ind w:firstLine="567"/>
        <w:rPr>
          <w:rFonts w:ascii="Verdana" w:hAnsi="Verdana"/>
          <w:sz w:val="20"/>
          <w:szCs w:val="20"/>
        </w:rPr>
      </w:pPr>
    </w:p>
    <w:p w:rsidR="00EC3262" w:rsidRPr="00F35A04" w:rsidRDefault="00EC3262"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9F245F" w:rsidP="009F245F">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rsidR="009F245F" w:rsidRPr="00F35A04" w:rsidRDefault="009F245F" w:rsidP="00EC3262">
      <w:pPr>
        <w:ind w:left="879" w:hanging="658"/>
        <w:rPr>
          <w:rFonts w:ascii="Verdana" w:hAnsi="Verdana"/>
          <w:sz w:val="20"/>
          <w:szCs w:val="20"/>
        </w:rPr>
      </w:pPr>
      <w:r w:rsidRPr="00F35A04">
        <w:rPr>
          <w:rFonts w:ascii="Verdana" w:hAnsi="Verdana"/>
          <w:sz w:val="20"/>
          <w:szCs w:val="20"/>
        </w:rPr>
        <w:t xml:space="preserve">   </w:t>
      </w:r>
      <w:r w:rsidR="00374650" w:rsidRPr="00F35A04">
        <w:rPr>
          <w:rFonts w:ascii="Verdana" w:hAnsi="Verdana"/>
          <w:sz w:val="20"/>
          <w:szCs w:val="20"/>
        </w:rPr>
        <w:t>1.</w:t>
      </w:r>
      <w:r w:rsidRPr="00F35A04">
        <w:rPr>
          <w:rFonts w:ascii="Verdana" w:hAnsi="Verdana"/>
          <w:sz w:val="20"/>
          <w:szCs w:val="20"/>
        </w:rPr>
        <w:tab/>
      </w:r>
      <w:sdt>
        <w:sdtPr>
          <w:rPr>
            <w:rFonts w:ascii="Verdana" w:hAnsi="Verdana"/>
            <w:sz w:val="20"/>
            <w:szCs w:val="20"/>
          </w:rPr>
          <w:id w:val="616021895"/>
          <w:placeholder>
            <w:docPart w:val="DFD479EB54D947E8A3198A5E6DA35F94"/>
          </w:placeholder>
          <w:temporary/>
          <w:showingPlcHdr/>
        </w:sdtPr>
        <w:sdtEndPr/>
        <w:sdtContent>
          <w:r w:rsidR="00EC3262">
            <w:rPr>
              <w:rStyle w:val="PlaceholderText"/>
            </w:rPr>
            <w:t>(Title of annex)</w:t>
          </w:r>
        </w:sdtContent>
      </w:sdt>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t>DISCUSSIONS</w:t>
      </w:r>
    </w:p>
    <w:p w:rsidR="009F245F" w:rsidRPr="00F35A04" w:rsidRDefault="009F245F" w:rsidP="009F245F">
      <w:pPr>
        <w:rPr>
          <w:rFonts w:ascii="Verdana" w:hAnsi="Verdana"/>
          <w:sz w:val="20"/>
          <w:szCs w:val="20"/>
        </w:rPr>
      </w:pPr>
    </w:p>
    <w:p w:rsidR="00807A2D" w:rsidRDefault="00807A2D" w:rsidP="00807A2D">
      <w:pPr>
        <w:jc w:val="both"/>
        <w:rPr>
          <w:rFonts w:ascii="Verdana" w:hAnsi="Verdana"/>
          <w:sz w:val="20"/>
          <w:szCs w:val="20"/>
        </w:rPr>
      </w:pPr>
      <w:bookmarkStart w:id="5" w:name="Text7"/>
      <w:r w:rsidRPr="00D724B8">
        <w:rPr>
          <w:rFonts w:ascii="Verdana" w:hAnsi="Verdana"/>
          <w:sz w:val="20"/>
          <w:szCs w:val="20"/>
        </w:rPr>
        <w:t>ECMWF is preparing for the operational processing of</w:t>
      </w:r>
      <w:r>
        <w:rPr>
          <w:rFonts w:ascii="Verdana" w:hAnsi="Verdana"/>
          <w:sz w:val="20"/>
          <w:szCs w:val="20"/>
        </w:rPr>
        <w:t xml:space="preserve"> </w:t>
      </w:r>
      <w:bookmarkStart w:id="6" w:name="_Hlk5196674"/>
      <w:r>
        <w:rPr>
          <w:rFonts w:ascii="Verdana" w:hAnsi="Verdana"/>
          <w:sz w:val="20"/>
          <w:szCs w:val="20"/>
        </w:rPr>
        <w:t>CryoSat-2 NOP observations</w:t>
      </w:r>
      <w:bookmarkEnd w:id="6"/>
      <w:r>
        <w:rPr>
          <w:rFonts w:ascii="Verdana" w:hAnsi="Verdana"/>
          <w:sz w:val="20"/>
          <w:szCs w:val="20"/>
        </w:rPr>
        <w:t xml:space="preserve">. Currently, CryoSat-2 Fast Delivery Marine (FDM) product which is a subset of the </w:t>
      </w:r>
      <w:r w:rsidRPr="00854E2C">
        <w:rPr>
          <w:rFonts w:ascii="Verdana" w:hAnsi="Verdana"/>
          <w:sz w:val="20"/>
          <w:szCs w:val="20"/>
        </w:rPr>
        <w:t>Low-Resolution Mode</w:t>
      </w:r>
      <w:r>
        <w:rPr>
          <w:rFonts w:ascii="Verdana" w:hAnsi="Verdana"/>
          <w:sz w:val="20"/>
          <w:szCs w:val="20"/>
        </w:rPr>
        <w:t xml:space="preserve"> (LRM) data that is available in near real time (NRT). Therefore, there was no need to distinguish the altimeter echo processing mode as all of the reported observations were from the LRM.</w:t>
      </w:r>
    </w:p>
    <w:p w:rsidR="00807A2D" w:rsidRDefault="00807A2D" w:rsidP="00807A2D">
      <w:pPr>
        <w:jc w:val="both"/>
        <w:rPr>
          <w:rFonts w:ascii="Verdana" w:hAnsi="Verdana"/>
          <w:sz w:val="20"/>
          <w:szCs w:val="20"/>
        </w:rPr>
      </w:pPr>
    </w:p>
    <w:p w:rsidR="00807A2D" w:rsidRDefault="00807A2D" w:rsidP="00807A2D">
      <w:pPr>
        <w:jc w:val="both"/>
        <w:rPr>
          <w:rFonts w:ascii="Verdana" w:hAnsi="Verdana"/>
          <w:sz w:val="20"/>
          <w:szCs w:val="20"/>
        </w:rPr>
      </w:pPr>
      <w:r>
        <w:rPr>
          <w:rFonts w:ascii="Verdana" w:hAnsi="Verdana"/>
          <w:sz w:val="20"/>
          <w:szCs w:val="20"/>
        </w:rPr>
        <w:t>ESA is replacing all NRT data including FDM by the Near-Real Time Ocean Products (NOP) which includes observations produced from the three modes of operation: LRM, SAR and SARI</w:t>
      </w:r>
      <w:r w:rsidR="00237753">
        <w:rPr>
          <w:rFonts w:ascii="Verdana" w:hAnsi="Verdana"/>
          <w:sz w:val="20"/>
          <w:szCs w:val="20"/>
        </w:rPr>
        <w:t>N</w:t>
      </w:r>
      <w:r>
        <w:rPr>
          <w:rFonts w:ascii="Verdana" w:hAnsi="Verdana"/>
          <w:sz w:val="20"/>
          <w:szCs w:val="20"/>
        </w:rPr>
        <w:t>. Each mode provides observations with different error characteristics. Therefore, there is a need to distinguish the operating mode (or echo processing mode) in order to assimilate the observations properly using their correct error characteristics.</w:t>
      </w:r>
    </w:p>
    <w:p w:rsidR="00807A2D" w:rsidRDefault="00807A2D" w:rsidP="00807A2D">
      <w:pPr>
        <w:jc w:val="both"/>
        <w:rPr>
          <w:rFonts w:ascii="Verdana" w:hAnsi="Verdana"/>
          <w:sz w:val="20"/>
          <w:szCs w:val="20"/>
        </w:rPr>
      </w:pPr>
    </w:p>
    <w:p w:rsidR="00807A2D" w:rsidRDefault="00807A2D" w:rsidP="00807A2D">
      <w:pPr>
        <w:jc w:val="both"/>
        <w:rPr>
          <w:rFonts w:ascii="Verdana" w:hAnsi="Verdana"/>
          <w:sz w:val="20"/>
          <w:szCs w:val="20"/>
        </w:rPr>
      </w:pPr>
      <w:r w:rsidRPr="008B2E6D">
        <w:rPr>
          <w:rFonts w:ascii="Verdana" w:hAnsi="Verdana"/>
          <w:sz w:val="20"/>
          <w:szCs w:val="20"/>
        </w:rPr>
        <w:t xml:space="preserve">In the context of this activity ECMWF </w:t>
      </w:r>
      <w:r>
        <w:rPr>
          <w:rFonts w:ascii="Verdana" w:hAnsi="Verdana"/>
          <w:sz w:val="20"/>
          <w:szCs w:val="20"/>
        </w:rPr>
        <w:t>collaborates</w:t>
      </w:r>
      <w:r w:rsidRPr="008B2E6D">
        <w:rPr>
          <w:rFonts w:ascii="Verdana" w:hAnsi="Verdana"/>
          <w:sz w:val="20"/>
          <w:szCs w:val="20"/>
        </w:rPr>
        <w:t xml:space="preserve"> with ESA </w:t>
      </w:r>
      <w:r>
        <w:rPr>
          <w:rFonts w:ascii="Verdana" w:hAnsi="Verdana"/>
          <w:sz w:val="20"/>
          <w:szCs w:val="20"/>
        </w:rPr>
        <w:t>on providing data in BUFR which is</w:t>
      </w:r>
      <w:r w:rsidRPr="008B2E6D">
        <w:rPr>
          <w:rFonts w:ascii="Verdana" w:hAnsi="Verdana"/>
          <w:sz w:val="20"/>
          <w:szCs w:val="20"/>
        </w:rPr>
        <w:t xml:space="preserve"> of interest for the data assimilation in NWP models and exchanging</w:t>
      </w:r>
      <w:r w:rsidRPr="008B2E6D">
        <w:t xml:space="preserve"> </w:t>
      </w:r>
      <w:r w:rsidR="00D6102B">
        <w:rPr>
          <w:rFonts w:ascii="Verdana" w:hAnsi="Verdana"/>
          <w:sz w:val="20"/>
          <w:szCs w:val="20"/>
        </w:rPr>
        <w:t>CryoSa</w:t>
      </w:r>
      <w:r>
        <w:rPr>
          <w:rFonts w:ascii="Verdana" w:hAnsi="Verdana"/>
          <w:sz w:val="20"/>
          <w:szCs w:val="20"/>
        </w:rPr>
        <w:t>t-2 NOP data</w:t>
      </w:r>
      <w:r w:rsidRPr="008B2E6D">
        <w:rPr>
          <w:rFonts w:ascii="Verdana" w:hAnsi="Verdana"/>
          <w:sz w:val="20"/>
          <w:szCs w:val="20"/>
        </w:rPr>
        <w:t xml:space="preserve"> activities</w:t>
      </w:r>
      <w:r>
        <w:rPr>
          <w:rFonts w:ascii="Verdana" w:hAnsi="Verdana"/>
          <w:sz w:val="20"/>
          <w:szCs w:val="20"/>
        </w:rPr>
        <w:t>.</w:t>
      </w:r>
    </w:p>
    <w:p w:rsidR="00807A2D" w:rsidRDefault="00807A2D" w:rsidP="00807A2D">
      <w:pPr>
        <w:jc w:val="both"/>
        <w:rPr>
          <w:rFonts w:ascii="Verdana" w:hAnsi="Verdana"/>
          <w:sz w:val="20"/>
          <w:szCs w:val="20"/>
        </w:rPr>
      </w:pPr>
    </w:p>
    <w:p w:rsidR="009F245F" w:rsidRPr="00F35A04" w:rsidRDefault="00807A2D" w:rsidP="00807A2D">
      <w:pPr>
        <w:jc w:val="both"/>
        <w:rPr>
          <w:rFonts w:ascii="Verdana" w:hAnsi="Verdana"/>
          <w:sz w:val="20"/>
          <w:szCs w:val="20"/>
        </w:rPr>
      </w:pPr>
      <w:r>
        <w:rPr>
          <w:rFonts w:ascii="Verdana" w:hAnsi="Verdana"/>
          <w:sz w:val="20"/>
          <w:szCs w:val="20"/>
        </w:rPr>
        <w:t xml:space="preserve">BUFR sequence </w:t>
      </w:r>
      <w:r w:rsidRPr="00144F16">
        <w:rPr>
          <w:rFonts w:ascii="Verdana" w:hAnsi="Verdana"/>
          <w:sz w:val="20"/>
          <w:szCs w:val="20"/>
        </w:rPr>
        <w:t>3-12-071</w:t>
      </w:r>
      <w:r>
        <w:rPr>
          <w:rFonts w:ascii="Verdana" w:hAnsi="Verdana"/>
          <w:sz w:val="20"/>
          <w:szCs w:val="20"/>
        </w:rPr>
        <w:t xml:space="preserve"> (</w:t>
      </w:r>
      <w:r w:rsidRPr="00144F16">
        <w:rPr>
          <w:rFonts w:ascii="Verdana" w:hAnsi="Verdana"/>
          <w:sz w:val="20"/>
          <w:szCs w:val="20"/>
        </w:rPr>
        <w:t>CryoSat</w:t>
      </w:r>
      <w:r>
        <w:rPr>
          <w:rFonts w:ascii="Verdana" w:hAnsi="Verdana"/>
          <w:sz w:val="20"/>
          <w:szCs w:val="20"/>
        </w:rPr>
        <w:t>-</w:t>
      </w:r>
      <w:r w:rsidRPr="00144F16">
        <w:rPr>
          <w:rFonts w:ascii="Verdana" w:hAnsi="Verdana"/>
          <w:sz w:val="20"/>
          <w:szCs w:val="20"/>
        </w:rPr>
        <w:t>2 SIRAL altimeter)</w:t>
      </w:r>
      <w:r>
        <w:rPr>
          <w:rFonts w:ascii="Verdana" w:hAnsi="Verdana"/>
          <w:sz w:val="20"/>
          <w:szCs w:val="20"/>
        </w:rPr>
        <w:t xml:space="preserve"> is used for reporting </w:t>
      </w:r>
      <w:r w:rsidR="00D6102B">
        <w:rPr>
          <w:rFonts w:ascii="Verdana" w:hAnsi="Verdana"/>
          <w:sz w:val="20"/>
          <w:szCs w:val="20"/>
        </w:rPr>
        <w:t xml:space="preserve">CryoSat-2 </w:t>
      </w:r>
      <w:r>
        <w:rPr>
          <w:rFonts w:ascii="Verdana" w:hAnsi="Verdana"/>
          <w:sz w:val="20"/>
          <w:szCs w:val="20"/>
        </w:rPr>
        <w:t>NOP data. The BUFR element 0-25-190 is needed to be used to aid distinguishing the data from different operational modes.</w:t>
      </w:r>
      <w:bookmarkEnd w:id="5"/>
    </w:p>
    <w:p w:rsidR="009F245F" w:rsidRPr="00F35A04" w:rsidRDefault="009F245F" w:rsidP="009F245F">
      <w:pPr>
        <w:rPr>
          <w:rFonts w:ascii="Verdana" w:hAnsi="Verdana"/>
          <w:sz w:val="20"/>
          <w:szCs w:val="20"/>
        </w:rPr>
      </w:pPr>
    </w:p>
    <w:p w:rsidR="00202193" w:rsidRPr="00F35A04" w:rsidRDefault="00202193" w:rsidP="009F245F">
      <w:pPr>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t>PROPOSAL</w:t>
      </w:r>
    </w:p>
    <w:p w:rsidR="00647501" w:rsidRDefault="00647501">
      <w:pPr>
        <w:jc w:val="both"/>
        <w:rPr>
          <w:rFonts w:ascii="Verdana" w:hAnsi="Verdana"/>
          <w:sz w:val="20"/>
          <w:szCs w:val="20"/>
          <w:lang w:val="en-US"/>
        </w:rPr>
      </w:pPr>
    </w:p>
    <w:p w:rsidR="00807A2D" w:rsidRDefault="00807A2D" w:rsidP="00807A2D">
      <w:pPr>
        <w:jc w:val="both"/>
        <w:rPr>
          <w:rFonts w:ascii="Verdana" w:hAnsi="Verdana"/>
          <w:sz w:val="20"/>
          <w:szCs w:val="20"/>
        </w:rPr>
      </w:pPr>
      <w:r>
        <w:rPr>
          <w:rFonts w:ascii="Verdana" w:hAnsi="Verdana"/>
          <w:sz w:val="20"/>
          <w:szCs w:val="20"/>
        </w:rPr>
        <w:t xml:space="preserve">Observations from CryoSat-2 NOP to be reported using BUFR sequence 3-12-071 following BUFR descriptor 0-25-190 as below:  </w:t>
      </w:r>
    </w:p>
    <w:p w:rsidR="00D51173" w:rsidRDefault="00D51173">
      <w:pPr>
        <w:jc w:val="both"/>
        <w:rPr>
          <w:rFonts w:ascii="Verdana" w:hAnsi="Verdana"/>
          <w:sz w:val="20"/>
          <w:szCs w:val="20"/>
          <w:lang w:val="en-US"/>
        </w:rPr>
      </w:pPr>
    </w:p>
    <w:p w:rsidR="00807A2D" w:rsidRDefault="00807A2D">
      <w:pPr>
        <w:jc w:val="both"/>
        <w:rPr>
          <w:rFonts w:ascii="Verdana" w:hAnsi="Verdana"/>
          <w:sz w:val="20"/>
          <w:szCs w:val="20"/>
          <w:lang w:val="en-US"/>
        </w:rPr>
      </w:pPr>
    </w:p>
    <w:tbl>
      <w:tblPr>
        <w:tblW w:w="92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1" w:type="dxa"/>
          <w:right w:w="85" w:type="dxa"/>
        </w:tblCellMar>
        <w:tblLook w:val="01E0" w:firstRow="1" w:lastRow="1" w:firstColumn="1" w:lastColumn="1" w:noHBand="0" w:noVBand="0"/>
      </w:tblPr>
      <w:tblGrid>
        <w:gridCol w:w="1372"/>
        <w:gridCol w:w="1372"/>
        <w:gridCol w:w="4464"/>
        <w:gridCol w:w="2002"/>
      </w:tblGrid>
      <w:tr w:rsidR="00807A2D" w:rsidTr="00AE67B7">
        <w:trPr>
          <w:trHeight w:val="364"/>
        </w:trPr>
        <w:tc>
          <w:tcPr>
            <w:tcW w:w="1372" w:type="dxa"/>
            <w:vAlign w:val="center"/>
            <w:hideMark/>
          </w:tcPr>
          <w:p w:rsidR="00807A2D" w:rsidRDefault="00807A2D" w:rsidP="00AE67B7">
            <w:pPr>
              <w:widowControl w:val="0"/>
              <w:tabs>
                <w:tab w:val="center" w:pos="476"/>
              </w:tabs>
              <w:autoSpaceDE w:val="0"/>
              <w:autoSpaceDN w:val="0"/>
              <w:adjustRightInd w:val="0"/>
              <w:spacing w:before="60"/>
              <w:jc w:val="center"/>
              <w:rPr>
                <w:rFonts w:cs="Arial"/>
                <w:snapToGrid/>
                <w:sz w:val="18"/>
                <w:szCs w:val="18"/>
                <w:lang w:eastAsia="ja-JP"/>
              </w:rPr>
            </w:pPr>
            <w:r>
              <w:rPr>
                <w:rFonts w:cs="Arial"/>
                <w:sz w:val="16"/>
                <w:szCs w:val="16"/>
              </w:rPr>
              <w:t>TABLE</w:t>
            </w:r>
          </w:p>
          <w:p w:rsidR="00807A2D" w:rsidRDefault="00807A2D" w:rsidP="00AE67B7">
            <w:pPr>
              <w:widowControl w:val="0"/>
              <w:tabs>
                <w:tab w:val="center" w:pos="476"/>
              </w:tabs>
              <w:autoSpaceDE w:val="0"/>
              <w:autoSpaceDN w:val="0"/>
              <w:adjustRightInd w:val="0"/>
              <w:spacing w:after="60"/>
              <w:jc w:val="center"/>
              <w:rPr>
                <w:rFonts w:cs="Arial"/>
                <w:sz w:val="18"/>
                <w:szCs w:val="18"/>
              </w:rPr>
            </w:pPr>
            <w:r>
              <w:rPr>
                <w:rFonts w:cs="Arial"/>
                <w:sz w:val="16"/>
                <w:szCs w:val="16"/>
              </w:rPr>
              <w:t>REFERENCE</w:t>
            </w:r>
          </w:p>
        </w:tc>
        <w:tc>
          <w:tcPr>
            <w:tcW w:w="1372" w:type="dxa"/>
            <w:vMerge w:val="restart"/>
            <w:vAlign w:val="center"/>
            <w:hideMark/>
          </w:tcPr>
          <w:p w:rsidR="00807A2D" w:rsidRDefault="00807A2D" w:rsidP="00AE67B7">
            <w:pPr>
              <w:widowControl w:val="0"/>
              <w:tabs>
                <w:tab w:val="center" w:pos="476"/>
              </w:tabs>
              <w:autoSpaceDE w:val="0"/>
              <w:autoSpaceDN w:val="0"/>
              <w:adjustRightInd w:val="0"/>
              <w:jc w:val="center"/>
              <w:rPr>
                <w:rFonts w:cs="Arial"/>
                <w:sz w:val="18"/>
                <w:szCs w:val="18"/>
              </w:rPr>
            </w:pPr>
            <w:r>
              <w:rPr>
                <w:rFonts w:cs="Arial"/>
                <w:sz w:val="16"/>
                <w:szCs w:val="16"/>
              </w:rPr>
              <w:t>TABLE</w:t>
            </w:r>
          </w:p>
          <w:p w:rsidR="00807A2D" w:rsidRDefault="00807A2D" w:rsidP="00AE67B7">
            <w:pPr>
              <w:widowControl w:val="0"/>
              <w:tabs>
                <w:tab w:val="center" w:pos="476"/>
              </w:tabs>
              <w:autoSpaceDE w:val="0"/>
              <w:autoSpaceDN w:val="0"/>
              <w:adjustRightInd w:val="0"/>
              <w:jc w:val="center"/>
              <w:rPr>
                <w:rFonts w:cs="Arial"/>
                <w:sz w:val="18"/>
                <w:szCs w:val="18"/>
              </w:rPr>
            </w:pPr>
            <w:r>
              <w:rPr>
                <w:rFonts w:cs="Arial"/>
                <w:sz w:val="16"/>
                <w:szCs w:val="16"/>
              </w:rPr>
              <w:t>REFERENCES</w:t>
            </w:r>
          </w:p>
        </w:tc>
        <w:tc>
          <w:tcPr>
            <w:tcW w:w="4464" w:type="dxa"/>
            <w:vMerge w:val="restart"/>
            <w:vAlign w:val="center"/>
            <w:hideMark/>
          </w:tcPr>
          <w:p w:rsidR="00807A2D" w:rsidRDefault="00807A2D" w:rsidP="00AE67B7">
            <w:pPr>
              <w:widowControl w:val="0"/>
              <w:tabs>
                <w:tab w:val="center" w:pos="476"/>
              </w:tabs>
              <w:autoSpaceDE w:val="0"/>
              <w:autoSpaceDN w:val="0"/>
              <w:adjustRightInd w:val="0"/>
              <w:jc w:val="center"/>
              <w:rPr>
                <w:rFonts w:cs="Arial"/>
                <w:sz w:val="18"/>
                <w:szCs w:val="18"/>
              </w:rPr>
            </w:pPr>
            <w:r>
              <w:rPr>
                <w:rFonts w:cs="Arial"/>
                <w:sz w:val="18"/>
                <w:szCs w:val="18"/>
              </w:rPr>
              <w:t>ELEMENT NAME</w:t>
            </w:r>
          </w:p>
        </w:tc>
        <w:tc>
          <w:tcPr>
            <w:tcW w:w="2002" w:type="dxa"/>
            <w:vMerge w:val="restart"/>
            <w:vAlign w:val="center"/>
            <w:hideMark/>
          </w:tcPr>
          <w:p w:rsidR="00807A2D" w:rsidRDefault="00807A2D" w:rsidP="00AE67B7">
            <w:pPr>
              <w:widowControl w:val="0"/>
              <w:tabs>
                <w:tab w:val="center" w:pos="476"/>
              </w:tabs>
              <w:autoSpaceDE w:val="0"/>
              <w:autoSpaceDN w:val="0"/>
              <w:adjustRightInd w:val="0"/>
              <w:jc w:val="center"/>
              <w:rPr>
                <w:rFonts w:cs="Arial"/>
                <w:sz w:val="18"/>
                <w:szCs w:val="18"/>
              </w:rPr>
            </w:pPr>
            <w:r>
              <w:rPr>
                <w:rFonts w:cs="Arial"/>
                <w:sz w:val="16"/>
                <w:szCs w:val="16"/>
              </w:rPr>
              <w:t>ELEMENT DESCRIPTION</w:t>
            </w:r>
          </w:p>
        </w:tc>
      </w:tr>
      <w:tr w:rsidR="00807A2D" w:rsidTr="00AE67B7">
        <w:tc>
          <w:tcPr>
            <w:tcW w:w="1372" w:type="dxa"/>
            <w:hideMark/>
          </w:tcPr>
          <w:p w:rsidR="00807A2D" w:rsidRDefault="00807A2D" w:rsidP="00AE67B7">
            <w:pPr>
              <w:widowControl w:val="0"/>
              <w:tabs>
                <w:tab w:val="center" w:pos="476"/>
              </w:tabs>
              <w:autoSpaceDE w:val="0"/>
              <w:autoSpaceDN w:val="0"/>
              <w:adjustRightInd w:val="0"/>
              <w:spacing w:before="60" w:after="60"/>
              <w:jc w:val="center"/>
              <w:rPr>
                <w:rFonts w:cs="Arial"/>
                <w:sz w:val="18"/>
                <w:szCs w:val="18"/>
              </w:rPr>
            </w:pPr>
            <w:r>
              <w:rPr>
                <w:rFonts w:cs="Arial"/>
                <w:sz w:val="16"/>
                <w:szCs w:val="16"/>
              </w:rPr>
              <w:t>F  X    Y</w:t>
            </w:r>
          </w:p>
        </w:tc>
        <w:tc>
          <w:tcPr>
            <w:tcW w:w="1372" w:type="dxa"/>
            <w:vMerge/>
            <w:vAlign w:val="center"/>
            <w:hideMark/>
          </w:tcPr>
          <w:p w:rsidR="00807A2D" w:rsidRDefault="00807A2D" w:rsidP="00AE67B7">
            <w:pPr>
              <w:rPr>
                <w:rFonts w:cs="Arial"/>
                <w:sz w:val="18"/>
                <w:szCs w:val="18"/>
                <w:lang w:eastAsia="ja-JP"/>
              </w:rPr>
            </w:pPr>
          </w:p>
        </w:tc>
        <w:tc>
          <w:tcPr>
            <w:tcW w:w="4464" w:type="dxa"/>
            <w:vMerge/>
            <w:vAlign w:val="center"/>
            <w:hideMark/>
          </w:tcPr>
          <w:p w:rsidR="00807A2D" w:rsidRDefault="00807A2D" w:rsidP="00AE67B7">
            <w:pPr>
              <w:rPr>
                <w:rFonts w:cs="Arial"/>
                <w:sz w:val="18"/>
                <w:szCs w:val="18"/>
                <w:lang w:eastAsia="ja-JP"/>
              </w:rPr>
            </w:pPr>
          </w:p>
        </w:tc>
        <w:tc>
          <w:tcPr>
            <w:tcW w:w="2002" w:type="dxa"/>
            <w:vMerge/>
            <w:vAlign w:val="center"/>
            <w:hideMark/>
          </w:tcPr>
          <w:p w:rsidR="00807A2D" w:rsidRDefault="00807A2D" w:rsidP="00AE67B7">
            <w:pPr>
              <w:rPr>
                <w:rFonts w:cs="Arial"/>
                <w:sz w:val="18"/>
                <w:szCs w:val="18"/>
                <w:lang w:eastAsia="ja-JP"/>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tcPr>
          <w:p w:rsidR="00807A2D" w:rsidRDefault="00807A2D" w:rsidP="00AE67B7">
            <w:pPr>
              <w:widowControl w:val="0"/>
              <w:autoSpaceDE w:val="0"/>
              <w:autoSpaceDN w:val="0"/>
              <w:adjustRightInd w:val="0"/>
              <w:jc w:val="center"/>
              <w:rPr>
                <w:rFonts w:cs="Arial"/>
                <w:sz w:val="18"/>
                <w:szCs w:val="18"/>
              </w:rPr>
            </w:pPr>
          </w:p>
        </w:tc>
        <w:tc>
          <w:tcPr>
            <w:tcW w:w="4464" w:type="dxa"/>
            <w:hideMark/>
          </w:tcPr>
          <w:p w:rsidR="00807A2D" w:rsidRDefault="00807A2D" w:rsidP="00AE67B7">
            <w:pPr>
              <w:widowControl w:val="0"/>
              <w:autoSpaceDE w:val="0"/>
              <w:autoSpaceDN w:val="0"/>
              <w:adjustRightInd w:val="0"/>
              <w:rPr>
                <w:rFonts w:cs="Arial"/>
                <w:sz w:val="18"/>
                <w:szCs w:val="18"/>
              </w:rPr>
            </w:pPr>
            <w:r>
              <w:rPr>
                <w:rFonts w:cs="Arial"/>
                <w:sz w:val="18"/>
                <w:szCs w:val="18"/>
              </w:rPr>
              <w:t>(CryoSat-2 SIRAL altimeter)</w:t>
            </w:r>
          </w:p>
        </w:tc>
        <w:tc>
          <w:tcPr>
            <w:tcW w:w="2002" w:type="dxa"/>
          </w:tcPr>
          <w:p w:rsidR="00807A2D" w:rsidRDefault="00807A2D" w:rsidP="00AE67B7">
            <w:pPr>
              <w:widowControl w:val="0"/>
              <w:autoSpaceDE w:val="0"/>
              <w:autoSpaceDN w:val="0"/>
              <w:adjustRightInd w:val="0"/>
              <w:rPr>
                <w:rFonts w:cs="Arial"/>
                <w:sz w:val="18"/>
                <w:szCs w:val="18"/>
              </w:rPr>
            </w:pPr>
          </w:p>
        </w:tc>
      </w:tr>
      <w:tr w:rsidR="00807A2D" w:rsidTr="00AE67B7">
        <w:tc>
          <w:tcPr>
            <w:tcW w:w="1372" w:type="dxa"/>
            <w:hideMark/>
          </w:tcPr>
          <w:p w:rsidR="00807A2D" w:rsidRDefault="00807A2D" w:rsidP="00AE67B7">
            <w:pPr>
              <w:jc w:val="center"/>
              <w:rPr>
                <w:rFonts w:cs="Arial"/>
                <w:sz w:val="18"/>
                <w:szCs w:val="18"/>
              </w:rPr>
            </w:pPr>
            <w:r>
              <w:rPr>
                <w:rFonts w:cs="Arial"/>
                <w:sz w:val="18"/>
                <w:szCs w:val="18"/>
              </w:rPr>
              <w:t>3 12 071</w:t>
            </w:r>
          </w:p>
        </w:tc>
        <w:tc>
          <w:tcPr>
            <w:tcW w:w="1372" w:type="dxa"/>
            <w:hideMark/>
          </w:tcPr>
          <w:p w:rsidR="00807A2D" w:rsidRDefault="00807A2D" w:rsidP="00AE67B7">
            <w:pPr>
              <w:jc w:val="center"/>
              <w:rPr>
                <w:rFonts w:cs="Arial"/>
                <w:sz w:val="18"/>
                <w:szCs w:val="18"/>
              </w:rPr>
            </w:pPr>
            <w:r>
              <w:rPr>
                <w:rFonts w:cs="Arial"/>
                <w:sz w:val="18"/>
                <w:szCs w:val="18"/>
              </w:rPr>
              <w:t>0 01 007</w:t>
            </w:r>
          </w:p>
        </w:tc>
        <w:tc>
          <w:tcPr>
            <w:tcW w:w="4464" w:type="dxa"/>
            <w:hideMark/>
          </w:tcPr>
          <w:p w:rsidR="00807A2D" w:rsidRDefault="00807A2D" w:rsidP="00AE67B7">
            <w:pPr>
              <w:rPr>
                <w:rFonts w:ascii="Times New Roman" w:hAnsi="Times New Roman"/>
                <w:sz w:val="24"/>
                <w:szCs w:val="24"/>
              </w:rPr>
            </w:pPr>
            <w:r>
              <w:rPr>
                <w:rFonts w:cs="Arial"/>
                <w:sz w:val="18"/>
                <w:szCs w:val="18"/>
              </w:rPr>
              <w:t>Satellite identifier</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0 02 019</w:t>
            </w:r>
          </w:p>
        </w:tc>
        <w:tc>
          <w:tcPr>
            <w:tcW w:w="4464" w:type="dxa"/>
            <w:hideMark/>
          </w:tcPr>
          <w:p w:rsidR="00807A2D" w:rsidRDefault="00807A2D" w:rsidP="00AE67B7">
            <w:pPr>
              <w:rPr>
                <w:rFonts w:ascii="Times New Roman" w:hAnsi="Times New Roman"/>
                <w:sz w:val="24"/>
                <w:szCs w:val="24"/>
              </w:rPr>
            </w:pPr>
            <w:r>
              <w:rPr>
                <w:rFonts w:cs="Arial"/>
                <w:sz w:val="18"/>
                <w:szCs w:val="18"/>
              </w:rPr>
              <w:t>Satellite instruments</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0 02 139</w:t>
            </w:r>
          </w:p>
        </w:tc>
        <w:tc>
          <w:tcPr>
            <w:tcW w:w="4464" w:type="dxa"/>
            <w:hideMark/>
          </w:tcPr>
          <w:p w:rsidR="00807A2D" w:rsidRDefault="00807A2D" w:rsidP="00AE67B7">
            <w:pPr>
              <w:rPr>
                <w:rFonts w:ascii="Times New Roman" w:hAnsi="Times New Roman"/>
                <w:sz w:val="24"/>
                <w:szCs w:val="24"/>
              </w:rPr>
            </w:pPr>
            <w:r>
              <w:rPr>
                <w:rFonts w:cs="Arial"/>
                <w:sz w:val="18"/>
                <w:szCs w:val="18"/>
              </w:rPr>
              <w:t>SIRAL instrument configuration</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0 01 096</w:t>
            </w:r>
          </w:p>
        </w:tc>
        <w:tc>
          <w:tcPr>
            <w:tcW w:w="4464" w:type="dxa"/>
            <w:hideMark/>
          </w:tcPr>
          <w:p w:rsidR="00807A2D" w:rsidRDefault="00807A2D" w:rsidP="00AE67B7">
            <w:pPr>
              <w:rPr>
                <w:rFonts w:ascii="Times New Roman" w:hAnsi="Times New Roman"/>
                <w:sz w:val="24"/>
                <w:szCs w:val="24"/>
              </w:rPr>
            </w:pPr>
            <w:r>
              <w:rPr>
                <w:rFonts w:cs="Arial"/>
                <w:sz w:val="18"/>
                <w:szCs w:val="18"/>
              </w:rPr>
              <w:t>Station acquisition</w:t>
            </w:r>
          </w:p>
        </w:tc>
        <w:tc>
          <w:tcPr>
            <w:tcW w:w="2002" w:type="dxa"/>
            <w:hideMark/>
          </w:tcPr>
          <w:p w:rsidR="00807A2D" w:rsidRDefault="00807A2D" w:rsidP="00AE67B7">
            <w:pPr>
              <w:rPr>
                <w:rFonts w:cs="Arial"/>
                <w:sz w:val="18"/>
                <w:szCs w:val="18"/>
              </w:rPr>
            </w:pPr>
            <w:r>
              <w:rPr>
                <w:rFonts w:cs="Arial"/>
                <w:sz w:val="18"/>
                <w:szCs w:val="18"/>
              </w:rPr>
              <w:t>Acquisition station name</w:t>
            </w: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0 01 040</w:t>
            </w:r>
          </w:p>
        </w:tc>
        <w:tc>
          <w:tcPr>
            <w:tcW w:w="4464" w:type="dxa"/>
            <w:hideMark/>
          </w:tcPr>
          <w:p w:rsidR="00807A2D" w:rsidRDefault="00807A2D" w:rsidP="00AE67B7">
            <w:pPr>
              <w:rPr>
                <w:rFonts w:ascii="Times New Roman" w:hAnsi="Times New Roman"/>
                <w:sz w:val="24"/>
                <w:szCs w:val="24"/>
              </w:rPr>
            </w:pPr>
            <w:r>
              <w:rPr>
                <w:rFonts w:cs="Arial"/>
                <w:sz w:val="18"/>
                <w:szCs w:val="18"/>
              </w:rPr>
              <w:t>Processing centre ID code</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0 25 061</w:t>
            </w:r>
          </w:p>
        </w:tc>
        <w:tc>
          <w:tcPr>
            <w:tcW w:w="4464" w:type="dxa"/>
            <w:hideMark/>
          </w:tcPr>
          <w:p w:rsidR="00807A2D" w:rsidRDefault="00807A2D" w:rsidP="00AE67B7">
            <w:pPr>
              <w:rPr>
                <w:rFonts w:ascii="Times New Roman" w:hAnsi="Times New Roman"/>
                <w:sz w:val="24"/>
                <w:szCs w:val="24"/>
              </w:rPr>
            </w:pPr>
            <w:r>
              <w:rPr>
                <w:rFonts w:cs="Arial"/>
                <w:sz w:val="18"/>
                <w:szCs w:val="18"/>
              </w:rPr>
              <w:t>Software identification and version number</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0 05 040</w:t>
            </w:r>
          </w:p>
        </w:tc>
        <w:tc>
          <w:tcPr>
            <w:tcW w:w="4464" w:type="dxa"/>
            <w:hideMark/>
          </w:tcPr>
          <w:p w:rsidR="00807A2D" w:rsidRDefault="00807A2D" w:rsidP="00AE67B7">
            <w:pPr>
              <w:rPr>
                <w:rFonts w:ascii="Times New Roman" w:hAnsi="Times New Roman"/>
                <w:sz w:val="24"/>
                <w:szCs w:val="24"/>
              </w:rPr>
            </w:pPr>
            <w:r>
              <w:rPr>
                <w:rFonts w:cs="Arial"/>
                <w:sz w:val="18"/>
                <w:szCs w:val="18"/>
              </w:rPr>
              <w:t>Orbit number</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0 05 044</w:t>
            </w:r>
          </w:p>
        </w:tc>
        <w:tc>
          <w:tcPr>
            <w:tcW w:w="4464" w:type="dxa"/>
            <w:hideMark/>
          </w:tcPr>
          <w:p w:rsidR="00807A2D" w:rsidRDefault="00807A2D" w:rsidP="00AE67B7">
            <w:pPr>
              <w:rPr>
                <w:rFonts w:ascii="Times New Roman" w:hAnsi="Times New Roman"/>
                <w:sz w:val="24"/>
                <w:szCs w:val="24"/>
              </w:rPr>
            </w:pPr>
            <w:r>
              <w:rPr>
                <w:rFonts w:cs="Arial"/>
                <w:sz w:val="18"/>
                <w:szCs w:val="18"/>
              </w:rPr>
              <w:t>Satellite cycle number</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0 08 075</w:t>
            </w:r>
          </w:p>
        </w:tc>
        <w:tc>
          <w:tcPr>
            <w:tcW w:w="4464" w:type="dxa"/>
            <w:hideMark/>
          </w:tcPr>
          <w:p w:rsidR="00807A2D" w:rsidRDefault="00807A2D" w:rsidP="00AE67B7">
            <w:pPr>
              <w:rPr>
                <w:rFonts w:ascii="Times New Roman" w:hAnsi="Times New Roman"/>
                <w:sz w:val="24"/>
                <w:szCs w:val="24"/>
              </w:rPr>
            </w:pPr>
            <w:r>
              <w:rPr>
                <w:rFonts w:cs="Arial"/>
                <w:sz w:val="18"/>
                <w:szCs w:val="18"/>
              </w:rPr>
              <w:t>Ascending/descending orbit qualifier</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0 08 077</w:t>
            </w:r>
          </w:p>
        </w:tc>
        <w:tc>
          <w:tcPr>
            <w:tcW w:w="4464" w:type="dxa"/>
            <w:hideMark/>
          </w:tcPr>
          <w:p w:rsidR="00807A2D" w:rsidRDefault="00807A2D" w:rsidP="00AE67B7">
            <w:pPr>
              <w:rPr>
                <w:rFonts w:ascii="Times New Roman" w:hAnsi="Times New Roman"/>
                <w:sz w:val="24"/>
                <w:szCs w:val="24"/>
              </w:rPr>
            </w:pPr>
            <w:r>
              <w:rPr>
                <w:rFonts w:cs="Arial"/>
                <w:sz w:val="18"/>
                <w:szCs w:val="18"/>
              </w:rPr>
              <w:t>Radiometer sensed surface type</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0 04 001</w:t>
            </w:r>
          </w:p>
        </w:tc>
        <w:tc>
          <w:tcPr>
            <w:tcW w:w="4464" w:type="dxa"/>
            <w:hideMark/>
          </w:tcPr>
          <w:p w:rsidR="00807A2D" w:rsidRDefault="00807A2D" w:rsidP="00AE67B7">
            <w:pPr>
              <w:rPr>
                <w:rFonts w:ascii="Times New Roman" w:hAnsi="Times New Roman"/>
                <w:sz w:val="24"/>
                <w:szCs w:val="24"/>
              </w:rPr>
            </w:pPr>
            <w:r>
              <w:rPr>
                <w:rFonts w:cs="Arial"/>
                <w:sz w:val="18"/>
                <w:szCs w:val="18"/>
              </w:rPr>
              <w:t>Year</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0 04 002</w:t>
            </w:r>
          </w:p>
        </w:tc>
        <w:tc>
          <w:tcPr>
            <w:tcW w:w="4464" w:type="dxa"/>
            <w:hideMark/>
          </w:tcPr>
          <w:p w:rsidR="00807A2D" w:rsidRDefault="00807A2D" w:rsidP="00AE67B7">
            <w:pPr>
              <w:rPr>
                <w:rFonts w:ascii="Times New Roman" w:hAnsi="Times New Roman"/>
                <w:sz w:val="24"/>
                <w:szCs w:val="24"/>
              </w:rPr>
            </w:pPr>
            <w:r>
              <w:rPr>
                <w:rFonts w:cs="Arial"/>
                <w:sz w:val="18"/>
                <w:szCs w:val="18"/>
              </w:rPr>
              <w:t>Month</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0 04 003</w:t>
            </w:r>
          </w:p>
        </w:tc>
        <w:tc>
          <w:tcPr>
            <w:tcW w:w="4464" w:type="dxa"/>
            <w:hideMark/>
          </w:tcPr>
          <w:p w:rsidR="00807A2D" w:rsidRDefault="00807A2D" w:rsidP="00AE67B7">
            <w:pPr>
              <w:rPr>
                <w:rFonts w:ascii="Times New Roman" w:hAnsi="Times New Roman"/>
                <w:sz w:val="24"/>
                <w:szCs w:val="24"/>
              </w:rPr>
            </w:pPr>
            <w:r>
              <w:rPr>
                <w:rFonts w:cs="Arial"/>
                <w:sz w:val="18"/>
                <w:szCs w:val="18"/>
              </w:rPr>
              <w:t>Day</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0 04 004</w:t>
            </w:r>
          </w:p>
        </w:tc>
        <w:tc>
          <w:tcPr>
            <w:tcW w:w="4464" w:type="dxa"/>
            <w:hideMark/>
          </w:tcPr>
          <w:p w:rsidR="00807A2D" w:rsidRDefault="00807A2D" w:rsidP="00AE67B7">
            <w:pPr>
              <w:rPr>
                <w:rFonts w:ascii="Times New Roman" w:hAnsi="Times New Roman"/>
                <w:sz w:val="24"/>
                <w:szCs w:val="24"/>
              </w:rPr>
            </w:pPr>
            <w:r>
              <w:rPr>
                <w:rFonts w:cs="Arial"/>
                <w:sz w:val="18"/>
                <w:szCs w:val="18"/>
              </w:rPr>
              <w:t>Hour</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0 04 005</w:t>
            </w:r>
          </w:p>
        </w:tc>
        <w:tc>
          <w:tcPr>
            <w:tcW w:w="4464" w:type="dxa"/>
            <w:hideMark/>
          </w:tcPr>
          <w:p w:rsidR="00807A2D" w:rsidRDefault="00807A2D" w:rsidP="00AE67B7">
            <w:pPr>
              <w:rPr>
                <w:rFonts w:ascii="Times New Roman" w:hAnsi="Times New Roman"/>
                <w:sz w:val="24"/>
                <w:szCs w:val="24"/>
              </w:rPr>
            </w:pPr>
            <w:r>
              <w:rPr>
                <w:rFonts w:cs="Arial"/>
                <w:sz w:val="18"/>
                <w:szCs w:val="18"/>
              </w:rPr>
              <w:t>Minute</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0 04 006</w:t>
            </w:r>
          </w:p>
        </w:tc>
        <w:tc>
          <w:tcPr>
            <w:tcW w:w="4464" w:type="dxa"/>
            <w:hideMark/>
          </w:tcPr>
          <w:p w:rsidR="00807A2D" w:rsidRDefault="00807A2D" w:rsidP="00AE67B7">
            <w:pPr>
              <w:rPr>
                <w:rFonts w:ascii="Times New Roman" w:hAnsi="Times New Roman"/>
                <w:sz w:val="24"/>
                <w:szCs w:val="24"/>
              </w:rPr>
            </w:pPr>
            <w:r>
              <w:rPr>
                <w:rFonts w:cs="Arial"/>
                <w:sz w:val="18"/>
                <w:szCs w:val="18"/>
              </w:rPr>
              <w:t>Second</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0 05 001</w:t>
            </w:r>
          </w:p>
        </w:tc>
        <w:tc>
          <w:tcPr>
            <w:tcW w:w="4464" w:type="dxa"/>
            <w:hideMark/>
          </w:tcPr>
          <w:p w:rsidR="00807A2D" w:rsidRDefault="00807A2D" w:rsidP="00AE67B7">
            <w:pPr>
              <w:rPr>
                <w:rFonts w:ascii="Times New Roman" w:hAnsi="Times New Roman"/>
                <w:sz w:val="24"/>
                <w:szCs w:val="24"/>
              </w:rPr>
            </w:pPr>
            <w:r>
              <w:rPr>
                <w:rFonts w:cs="Arial"/>
                <w:sz w:val="18"/>
                <w:szCs w:val="18"/>
              </w:rPr>
              <w:t>Latitude (high accuracy)</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0 06 001</w:t>
            </w:r>
          </w:p>
        </w:tc>
        <w:tc>
          <w:tcPr>
            <w:tcW w:w="4464" w:type="dxa"/>
            <w:hideMark/>
          </w:tcPr>
          <w:p w:rsidR="00807A2D" w:rsidRDefault="00807A2D" w:rsidP="00AE67B7">
            <w:pPr>
              <w:rPr>
                <w:rFonts w:ascii="Times New Roman" w:hAnsi="Times New Roman"/>
                <w:sz w:val="24"/>
                <w:szCs w:val="24"/>
              </w:rPr>
            </w:pPr>
            <w:r>
              <w:rPr>
                <w:rFonts w:cs="Arial"/>
                <w:sz w:val="18"/>
                <w:szCs w:val="18"/>
              </w:rPr>
              <w:t>Longitude (high accuracy)</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0 10 081</w:t>
            </w:r>
          </w:p>
        </w:tc>
        <w:tc>
          <w:tcPr>
            <w:tcW w:w="4464" w:type="dxa"/>
            <w:hideMark/>
          </w:tcPr>
          <w:p w:rsidR="00807A2D" w:rsidRDefault="00807A2D" w:rsidP="00AE67B7">
            <w:pPr>
              <w:rPr>
                <w:rFonts w:ascii="Times New Roman" w:hAnsi="Times New Roman"/>
                <w:sz w:val="24"/>
                <w:szCs w:val="24"/>
              </w:rPr>
            </w:pPr>
            <w:r>
              <w:rPr>
                <w:rFonts w:cs="Arial"/>
                <w:sz w:val="18"/>
                <w:szCs w:val="18"/>
              </w:rPr>
              <w:t>Altitude of COG above reference ellipsoid</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0 22 156</w:t>
            </w:r>
          </w:p>
        </w:tc>
        <w:tc>
          <w:tcPr>
            <w:tcW w:w="4464" w:type="dxa"/>
            <w:hideMark/>
          </w:tcPr>
          <w:p w:rsidR="00807A2D" w:rsidRDefault="00807A2D" w:rsidP="00AE67B7">
            <w:pPr>
              <w:rPr>
                <w:rFonts w:ascii="Times New Roman" w:hAnsi="Times New Roman"/>
                <w:sz w:val="24"/>
                <w:szCs w:val="24"/>
              </w:rPr>
            </w:pPr>
            <w:r>
              <w:rPr>
                <w:rFonts w:cs="Arial"/>
                <w:sz w:val="18"/>
                <w:szCs w:val="18"/>
              </w:rPr>
              <w:t>Ku band significant wave height</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0 22 142</w:t>
            </w:r>
          </w:p>
        </w:tc>
        <w:tc>
          <w:tcPr>
            <w:tcW w:w="4464" w:type="dxa"/>
            <w:hideMark/>
          </w:tcPr>
          <w:p w:rsidR="00807A2D" w:rsidRDefault="00807A2D" w:rsidP="00AE67B7">
            <w:pPr>
              <w:rPr>
                <w:rFonts w:ascii="Times New Roman" w:hAnsi="Times New Roman"/>
                <w:sz w:val="24"/>
                <w:szCs w:val="24"/>
              </w:rPr>
            </w:pPr>
            <w:r>
              <w:rPr>
                <w:rFonts w:cs="Arial"/>
                <w:sz w:val="18"/>
                <w:szCs w:val="18"/>
              </w:rPr>
              <w:t>Square of significant wave height</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1 01 020</w:t>
            </w:r>
          </w:p>
        </w:tc>
        <w:tc>
          <w:tcPr>
            <w:tcW w:w="4464" w:type="dxa"/>
            <w:hideMark/>
          </w:tcPr>
          <w:p w:rsidR="00807A2D" w:rsidRDefault="00807A2D" w:rsidP="00AE67B7">
            <w:pPr>
              <w:rPr>
                <w:rFonts w:ascii="Times New Roman" w:hAnsi="Times New Roman"/>
                <w:sz w:val="24"/>
                <w:szCs w:val="24"/>
              </w:rPr>
            </w:pPr>
            <w:r>
              <w:rPr>
                <w:rFonts w:cs="Arial"/>
                <w:sz w:val="18"/>
                <w:szCs w:val="18"/>
              </w:rPr>
              <w:t>Replicate 1 descriptor 20 times</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0 22 149</w:t>
            </w:r>
          </w:p>
        </w:tc>
        <w:tc>
          <w:tcPr>
            <w:tcW w:w="4464" w:type="dxa"/>
            <w:hideMark/>
          </w:tcPr>
          <w:p w:rsidR="00807A2D" w:rsidRDefault="00807A2D" w:rsidP="00AE67B7">
            <w:pPr>
              <w:rPr>
                <w:rFonts w:ascii="Times New Roman" w:hAnsi="Times New Roman"/>
                <w:sz w:val="24"/>
                <w:szCs w:val="24"/>
              </w:rPr>
            </w:pPr>
            <w:r>
              <w:rPr>
                <w:rFonts w:cs="Arial"/>
                <w:sz w:val="18"/>
                <w:szCs w:val="18"/>
              </w:rPr>
              <w:t>20 Hz significant wave height squared</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widowControl w:val="0"/>
              <w:autoSpaceDE w:val="0"/>
              <w:autoSpaceDN w:val="0"/>
              <w:adjustRightInd w:val="0"/>
              <w:jc w:val="center"/>
              <w:rPr>
                <w:rFonts w:cs="Arial"/>
                <w:sz w:val="18"/>
                <w:szCs w:val="18"/>
              </w:rPr>
            </w:pPr>
            <w:r>
              <w:rPr>
                <w:rFonts w:cs="Arial"/>
                <w:sz w:val="18"/>
                <w:szCs w:val="18"/>
              </w:rPr>
              <w:t>0 22 143</w:t>
            </w:r>
          </w:p>
        </w:tc>
        <w:tc>
          <w:tcPr>
            <w:tcW w:w="4464" w:type="dxa"/>
            <w:hideMark/>
          </w:tcPr>
          <w:p w:rsidR="00807A2D" w:rsidRDefault="00807A2D" w:rsidP="00AE67B7">
            <w:pPr>
              <w:widowControl w:val="0"/>
              <w:autoSpaceDE w:val="0"/>
              <w:autoSpaceDN w:val="0"/>
              <w:adjustRightInd w:val="0"/>
              <w:rPr>
                <w:rFonts w:cs="Arial"/>
                <w:sz w:val="18"/>
                <w:szCs w:val="18"/>
              </w:rPr>
            </w:pPr>
            <w:r>
              <w:rPr>
                <w:rFonts w:cs="Arial"/>
                <w:sz w:val="18"/>
                <w:szCs w:val="18"/>
              </w:rPr>
              <w:t>STD of 20 Hz SWH squared</w:t>
            </w:r>
          </w:p>
        </w:tc>
        <w:tc>
          <w:tcPr>
            <w:tcW w:w="2002" w:type="dxa"/>
          </w:tcPr>
          <w:p w:rsidR="00807A2D" w:rsidRDefault="00807A2D" w:rsidP="00AE67B7">
            <w:pPr>
              <w:widowControl w:val="0"/>
              <w:autoSpaceDE w:val="0"/>
              <w:autoSpaceDN w:val="0"/>
              <w:adjustRightInd w:val="0"/>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widowControl w:val="0"/>
              <w:autoSpaceDE w:val="0"/>
              <w:autoSpaceDN w:val="0"/>
              <w:adjustRightInd w:val="0"/>
              <w:jc w:val="center"/>
              <w:rPr>
                <w:rFonts w:cs="Arial"/>
                <w:sz w:val="18"/>
                <w:szCs w:val="18"/>
              </w:rPr>
            </w:pPr>
            <w:r>
              <w:rPr>
                <w:rFonts w:cs="Arial"/>
                <w:sz w:val="18"/>
                <w:szCs w:val="18"/>
              </w:rPr>
              <w:t>0 22 144</w:t>
            </w:r>
          </w:p>
        </w:tc>
        <w:tc>
          <w:tcPr>
            <w:tcW w:w="4464" w:type="dxa"/>
            <w:hideMark/>
          </w:tcPr>
          <w:p w:rsidR="00807A2D" w:rsidRDefault="00807A2D" w:rsidP="00AE67B7">
            <w:pPr>
              <w:widowControl w:val="0"/>
              <w:autoSpaceDE w:val="0"/>
              <w:autoSpaceDN w:val="0"/>
              <w:adjustRightInd w:val="0"/>
              <w:rPr>
                <w:rFonts w:cs="Arial"/>
                <w:sz w:val="18"/>
                <w:szCs w:val="18"/>
              </w:rPr>
            </w:pPr>
            <w:r>
              <w:rPr>
                <w:rFonts w:cs="Arial"/>
                <w:sz w:val="18"/>
                <w:szCs w:val="18"/>
              </w:rPr>
              <w:t>Number of 20 Hz valid points for SWH squared</w:t>
            </w:r>
          </w:p>
        </w:tc>
        <w:tc>
          <w:tcPr>
            <w:tcW w:w="2002" w:type="dxa"/>
          </w:tcPr>
          <w:p w:rsidR="00807A2D" w:rsidRDefault="00807A2D" w:rsidP="00AE67B7">
            <w:pPr>
              <w:widowControl w:val="0"/>
              <w:autoSpaceDE w:val="0"/>
              <w:autoSpaceDN w:val="0"/>
              <w:adjustRightInd w:val="0"/>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0 21 137</w:t>
            </w:r>
          </w:p>
        </w:tc>
        <w:tc>
          <w:tcPr>
            <w:tcW w:w="4464" w:type="dxa"/>
            <w:hideMark/>
          </w:tcPr>
          <w:p w:rsidR="00807A2D" w:rsidRDefault="00807A2D" w:rsidP="00AE67B7">
            <w:pPr>
              <w:rPr>
                <w:rFonts w:ascii="Times New Roman" w:hAnsi="Times New Roman"/>
                <w:sz w:val="24"/>
                <w:szCs w:val="24"/>
              </w:rPr>
            </w:pPr>
            <w:r>
              <w:rPr>
                <w:rFonts w:cs="Arial"/>
                <w:sz w:val="18"/>
                <w:szCs w:val="18"/>
              </w:rPr>
              <w:t>Ku band corrected ocean backscatter coefficient</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1 01 020</w:t>
            </w:r>
          </w:p>
        </w:tc>
        <w:tc>
          <w:tcPr>
            <w:tcW w:w="4464" w:type="dxa"/>
            <w:hideMark/>
          </w:tcPr>
          <w:p w:rsidR="00807A2D" w:rsidRDefault="00807A2D" w:rsidP="00AE67B7">
            <w:pPr>
              <w:rPr>
                <w:rFonts w:ascii="Times New Roman" w:hAnsi="Times New Roman"/>
                <w:sz w:val="24"/>
                <w:szCs w:val="24"/>
              </w:rPr>
            </w:pPr>
            <w:r>
              <w:rPr>
                <w:rFonts w:cs="Arial"/>
                <w:sz w:val="18"/>
                <w:szCs w:val="18"/>
              </w:rPr>
              <w:t>Replicate 1 descriptor 20 times</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0 21 181</w:t>
            </w:r>
          </w:p>
        </w:tc>
        <w:tc>
          <w:tcPr>
            <w:tcW w:w="4464" w:type="dxa"/>
            <w:hideMark/>
          </w:tcPr>
          <w:p w:rsidR="00807A2D" w:rsidRDefault="00807A2D" w:rsidP="00AE67B7">
            <w:pPr>
              <w:rPr>
                <w:rFonts w:ascii="Times New Roman" w:hAnsi="Times New Roman"/>
                <w:sz w:val="24"/>
                <w:szCs w:val="24"/>
              </w:rPr>
            </w:pPr>
            <w:r>
              <w:rPr>
                <w:rFonts w:cs="Arial"/>
                <w:sz w:val="18"/>
                <w:szCs w:val="18"/>
              </w:rPr>
              <w:t>20 Hz ocean backscatter coefficient</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0 21 138</w:t>
            </w:r>
          </w:p>
        </w:tc>
        <w:tc>
          <w:tcPr>
            <w:tcW w:w="4464" w:type="dxa"/>
            <w:hideMark/>
          </w:tcPr>
          <w:p w:rsidR="00807A2D" w:rsidRDefault="00807A2D" w:rsidP="00AE67B7">
            <w:pPr>
              <w:rPr>
                <w:rFonts w:ascii="Times New Roman" w:hAnsi="Times New Roman"/>
                <w:sz w:val="24"/>
                <w:szCs w:val="24"/>
              </w:rPr>
            </w:pPr>
            <w:r>
              <w:rPr>
                <w:rFonts w:cs="Arial"/>
                <w:sz w:val="18"/>
                <w:szCs w:val="18"/>
              </w:rPr>
              <w:t>STD Ku band corrected ocean backscatter coefficient</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0 21 180</w:t>
            </w:r>
          </w:p>
        </w:tc>
        <w:tc>
          <w:tcPr>
            <w:tcW w:w="4464" w:type="dxa"/>
            <w:hideMark/>
          </w:tcPr>
          <w:p w:rsidR="00807A2D" w:rsidRDefault="00807A2D" w:rsidP="00AE67B7">
            <w:pPr>
              <w:rPr>
                <w:rFonts w:ascii="Times New Roman" w:hAnsi="Times New Roman"/>
                <w:sz w:val="24"/>
                <w:szCs w:val="24"/>
              </w:rPr>
            </w:pPr>
            <w:r>
              <w:rPr>
                <w:rFonts w:cs="Arial"/>
                <w:sz w:val="18"/>
                <w:szCs w:val="18"/>
              </w:rPr>
              <w:t>Number of 20 Hz valid points for ocean backscatter coefficient</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0 21 177</w:t>
            </w:r>
          </w:p>
        </w:tc>
        <w:tc>
          <w:tcPr>
            <w:tcW w:w="4464" w:type="dxa"/>
            <w:hideMark/>
          </w:tcPr>
          <w:p w:rsidR="00807A2D" w:rsidRDefault="00807A2D" w:rsidP="00807A2D">
            <w:pPr>
              <w:widowControl w:val="0"/>
              <w:numPr>
                <w:ilvl w:val="5"/>
                <w:numId w:val="2"/>
              </w:numPr>
              <w:suppressAutoHyphens/>
              <w:autoSpaceDE w:val="0"/>
              <w:outlineLvl w:val="5"/>
              <w:rPr>
                <w:rFonts w:cs="Arial"/>
                <w:sz w:val="24"/>
                <w:szCs w:val="24"/>
              </w:rPr>
            </w:pPr>
            <w:r>
              <w:rPr>
                <w:rFonts w:cs="Arial"/>
                <w:sz w:val="18"/>
                <w:szCs w:val="18"/>
              </w:rPr>
              <w:t>Corrected OCOG backscatter coefficient</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0 21 178</w:t>
            </w:r>
          </w:p>
        </w:tc>
        <w:tc>
          <w:tcPr>
            <w:tcW w:w="4464" w:type="dxa"/>
            <w:hideMark/>
          </w:tcPr>
          <w:p w:rsidR="00807A2D" w:rsidRDefault="00807A2D" w:rsidP="00807A2D">
            <w:pPr>
              <w:widowControl w:val="0"/>
              <w:numPr>
                <w:ilvl w:val="5"/>
                <w:numId w:val="2"/>
              </w:numPr>
              <w:suppressAutoHyphens/>
              <w:autoSpaceDE w:val="0"/>
              <w:outlineLvl w:val="5"/>
              <w:rPr>
                <w:rFonts w:cs="Arial"/>
                <w:sz w:val="24"/>
                <w:szCs w:val="24"/>
              </w:rPr>
            </w:pPr>
            <w:r>
              <w:rPr>
                <w:rFonts w:cs="Arial"/>
                <w:sz w:val="18"/>
                <w:szCs w:val="18"/>
              </w:rPr>
              <w:t>STD of 20 Hz OCOG backscatter coefficient</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spacing w:after="120"/>
              <w:jc w:val="center"/>
              <w:rPr>
                <w:rFonts w:cs="Arial"/>
                <w:sz w:val="18"/>
                <w:szCs w:val="18"/>
              </w:rPr>
            </w:pPr>
          </w:p>
        </w:tc>
        <w:tc>
          <w:tcPr>
            <w:tcW w:w="1372" w:type="dxa"/>
            <w:hideMark/>
          </w:tcPr>
          <w:p w:rsidR="00807A2D" w:rsidRDefault="00807A2D" w:rsidP="00AE67B7">
            <w:pPr>
              <w:spacing w:after="120"/>
              <w:jc w:val="center"/>
              <w:rPr>
                <w:rFonts w:cs="Arial"/>
                <w:sz w:val="18"/>
                <w:szCs w:val="18"/>
              </w:rPr>
            </w:pPr>
            <w:r>
              <w:rPr>
                <w:rFonts w:cs="Arial"/>
                <w:sz w:val="18"/>
                <w:szCs w:val="18"/>
              </w:rPr>
              <w:t>0 21 179</w:t>
            </w:r>
          </w:p>
        </w:tc>
        <w:tc>
          <w:tcPr>
            <w:tcW w:w="4464" w:type="dxa"/>
            <w:hideMark/>
          </w:tcPr>
          <w:p w:rsidR="00807A2D" w:rsidRDefault="00807A2D" w:rsidP="00807A2D">
            <w:pPr>
              <w:widowControl w:val="0"/>
              <w:numPr>
                <w:ilvl w:val="5"/>
                <w:numId w:val="2"/>
              </w:numPr>
              <w:suppressAutoHyphens/>
              <w:autoSpaceDE w:val="0"/>
              <w:spacing w:after="120"/>
              <w:outlineLvl w:val="5"/>
              <w:rPr>
                <w:rFonts w:cs="Arial"/>
                <w:sz w:val="24"/>
                <w:szCs w:val="24"/>
              </w:rPr>
            </w:pPr>
            <w:r>
              <w:rPr>
                <w:rFonts w:cs="Arial"/>
                <w:sz w:val="18"/>
                <w:szCs w:val="18"/>
              </w:rPr>
              <w:t>Number of 20 Hz valid points for OCOG backscatter coefficient</w:t>
            </w:r>
          </w:p>
        </w:tc>
        <w:tc>
          <w:tcPr>
            <w:tcW w:w="2002" w:type="dxa"/>
          </w:tcPr>
          <w:p w:rsidR="00807A2D" w:rsidRDefault="00807A2D" w:rsidP="00AE67B7">
            <w:pPr>
              <w:spacing w:after="120"/>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spacing w:before="120"/>
              <w:jc w:val="center"/>
              <w:rPr>
                <w:rFonts w:cs="Arial"/>
                <w:sz w:val="18"/>
                <w:szCs w:val="18"/>
              </w:rPr>
            </w:pPr>
          </w:p>
        </w:tc>
        <w:tc>
          <w:tcPr>
            <w:tcW w:w="1372" w:type="dxa"/>
            <w:hideMark/>
          </w:tcPr>
          <w:p w:rsidR="00807A2D" w:rsidRDefault="00807A2D" w:rsidP="00AE67B7">
            <w:pPr>
              <w:spacing w:before="120"/>
              <w:jc w:val="center"/>
              <w:rPr>
                <w:rFonts w:cs="Arial"/>
                <w:sz w:val="18"/>
                <w:szCs w:val="18"/>
              </w:rPr>
            </w:pPr>
            <w:r>
              <w:rPr>
                <w:rFonts w:cs="Arial"/>
                <w:sz w:val="18"/>
                <w:szCs w:val="18"/>
              </w:rPr>
              <w:t>0 10 079</w:t>
            </w:r>
          </w:p>
        </w:tc>
        <w:tc>
          <w:tcPr>
            <w:tcW w:w="4464" w:type="dxa"/>
            <w:hideMark/>
          </w:tcPr>
          <w:p w:rsidR="00807A2D" w:rsidRDefault="00807A2D" w:rsidP="00AE67B7">
            <w:pPr>
              <w:spacing w:before="120"/>
              <w:rPr>
                <w:rFonts w:cs="Arial"/>
                <w:sz w:val="18"/>
                <w:szCs w:val="18"/>
              </w:rPr>
            </w:pPr>
            <w:r>
              <w:rPr>
                <w:rFonts w:cs="Arial"/>
                <w:sz w:val="18"/>
                <w:szCs w:val="18"/>
              </w:rPr>
              <w:t>Off nadir angle of the satellite from platform data</w:t>
            </w:r>
          </w:p>
        </w:tc>
        <w:tc>
          <w:tcPr>
            <w:tcW w:w="2002" w:type="dxa"/>
          </w:tcPr>
          <w:p w:rsidR="00807A2D" w:rsidRDefault="00807A2D" w:rsidP="00AE67B7">
            <w:pPr>
              <w:spacing w:before="120"/>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0 10 085</w:t>
            </w:r>
          </w:p>
        </w:tc>
        <w:tc>
          <w:tcPr>
            <w:tcW w:w="4464" w:type="dxa"/>
            <w:hideMark/>
          </w:tcPr>
          <w:p w:rsidR="00807A2D" w:rsidRDefault="00807A2D" w:rsidP="00807A2D">
            <w:pPr>
              <w:widowControl w:val="0"/>
              <w:numPr>
                <w:ilvl w:val="5"/>
                <w:numId w:val="2"/>
              </w:numPr>
              <w:suppressAutoHyphens/>
              <w:autoSpaceDE w:val="0"/>
              <w:outlineLvl w:val="5"/>
              <w:rPr>
                <w:rFonts w:cs="Arial"/>
                <w:sz w:val="24"/>
                <w:szCs w:val="24"/>
              </w:rPr>
            </w:pPr>
            <w:r>
              <w:rPr>
                <w:rFonts w:cs="Arial"/>
                <w:sz w:val="18"/>
                <w:szCs w:val="18"/>
              </w:rPr>
              <w:t>Mean sea-surface height</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6"/>
                <w:szCs w:val="16"/>
              </w:rPr>
            </w:pPr>
          </w:p>
        </w:tc>
        <w:tc>
          <w:tcPr>
            <w:tcW w:w="1372" w:type="dxa"/>
            <w:hideMark/>
          </w:tcPr>
          <w:p w:rsidR="00807A2D" w:rsidRDefault="00807A2D" w:rsidP="00AE67B7">
            <w:pPr>
              <w:jc w:val="center"/>
              <w:rPr>
                <w:rFonts w:cs="Arial"/>
                <w:sz w:val="18"/>
                <w:szCs w:val="18"/>
              </w:rPr>
            </w:pPr>
            <w:r>
              <w:rPr>
                <w:rFonts w:cs="Arial"/>
                <w:sz w:val="18"/>
                <w:szCs w:val="18"/>
              </w:rPr>
              <w:t>0 10 086</w:t>
            </w:r>
          </w:p>
        </w:tc>
        <w:tc>
          <w:tcPr>
            <w:tcW w:w="4464" w:type="dxa"/>
            <w:hideMark/>
          </w:tcPr>
          <w:p w:rsidR="00807A2D" w:rsidRDefault="00807A2D" w:rsidP="00807A2D">
            <w:pPr>
              <w:widowControl w:val="0"/>
              <w:numPr>
                <w:ilvl w:val="5"/>
                <w:numId w:val="2"/>
              </w:numPr>
              <w:suppressAutoHyphens/>
              <w:autoSpaceDE w:val="0"/>
              <w:outlineLvl w:val="5"/>
              <w:rPr>
                <w:rFonts w:cs="Arial"/>
                <w:sz w:val="24"/>
                <w:szCs w:val="24"/>
              </w:rPr>
            </w:pPr>
            <w:r>
              <w:rPr>
                <w:rFonts w:cs="Arial"/>
                <w:sz w:val="18"/>
                <w:szCs w:val="18"/>
              </w:rPr>
              <w:t>Geoid’s height</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0 10 087</w:t>
            </w:r>
          </w:p>
        </w:tc>
        <w:tc>
          <w:tcPr>
            <w:tcW w:w="4464" w:type="dxa"/>
            <w:hideMark/>
          </w:tcPr>
          <w:p w:rsidR="00807A2D" w:rsidRDefault="00807A2D" w:rsidP="00807A2D">
            <w:pPr>
              <w:widowControl w:val="0"/>
              <w:numPr>
                <w:ilvl w:val="5"/>
                <w:numId w:val="2"/>
              </w:numPr>
              <w:suppressAutoHyphens/>
              <w:autoSpaceDE w:val="0"/>
              <w:outlineLvl w:val="5"/>
              <w:rPr>
                <w:rFonts w:cs="Arial"/>
                <w:sz w:val="24"/>
                <w:szCs w:val="24"/>
              </w:rPr>
            </w:pPr>
            <w:r>
              <w:rPr>
                <w:rFonts w:cs="Arial"/>
                <w:sz w:val="18"/>
                <w:szCs w:val="18"/>
              </w:rPr>
              <w:t>Ocean depth/land elevation</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0 10 089</w:t>
            </w:r>
          </w:p>
        </w:tc>
        <w:tc>
          <w:tcPr>
            <w:tcW w:w="4464" w:type="dxa"/>
            <w:hideMark/>
          </w:tcPr>
          <w:p w:rsidR="00807A2D" w:rsidRDefault="00807A2D" w:rsidP="00807A2D">
            <w:pPr>
              <w:widowControl w:val="0"/>
              <w:numPr>
                <w:ilvl w:val="5"/>
                <w:numId w:val="2"/>
              </w:numPr>
              <w:suppressAutoHyphens/>
              <w:autoSpaceDE w:val="0"/>
              <w:outlineLvl w:val="5"/>
              <w:rPr>
                <w:rFonts w:cs="Arial"/>
                <w:sz w:val="24"/>
                <w:szCs w:val="24"/>
              </w:rPr>
            </w:pPr>
            <w:r>
              <w:rPr>
                <w:rFonts w:cs="Arial"/>
                <w:sz w:val="18"/>
                <w:szCs w:val="18"/>
              </w:rPr>
              <w:t>Total geocentric ocean tide height (solution 2)</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0 10 090</w:t>
            </w:r>
          </w:p>
        </w:tc>
        <w:tc>
          <w:tcPr>
            <w:tcW w:w="4464" w:type="dxa"/>
            <w:hideMark/>
          </w:tcPr>
          <w:p w:rsidR="00807A2D" w:rsidRDefault="00807A2D" w:rsidP="00807A2D">
            <w:pPr>
              <w:widowControl w:val="0"/>
              <w:numPr>
                <w:ilvl w:val="5"/>
                <w:numId w:val="2"/>
              </w:numPr>
              <w:suppressAutoHyphens/>
              <w:autoSpaceDE w:val="0"/>
              <w:outlineLvl w:val="5"/>
              <w:rPr>
                <w:rFonts w:cs="Arial"/>
                <w:sz w:val="24"/>
                <w:szCs w:val="24"/>
              </w:rPr>
            </w:pPr>
            <w:r>
              <w:rPr>
                <w:rFonts w:cs="Arial"/>
                <w:sz w:val="18"/>
                <w:szCs w:val="18"/>
              </w:rPr>
              <w:t>Long period tide height</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0 10 091</w:t>
            </w:r>
          </w:p>
        </w:tc>
        <w:tc>
          <w:tcPr>
            <w:tcW w:w="4464" w:type="dxa"/>
            <w:hideMark/>
          </w:tcPr>
          <w:p w:rsidR="00807A2D" w:rsidRDefault="00807A2D" w:rsidP="00807A2D">
            <w:pPr>
              <w:widowControl w:val="0"/>
              <w:numPr>
                <w:ilvl w:val="5"/>
                <w:numId w:val="2"/>
              </w:numPr>
              <w:suppressAutoHyphens/>
              <w:autoSpaceDE w:val="0"/>
              <w:outlineLvl w:val="5"/>
              <w:rPr>
                <w:rFonts w:cs="Arial"/>
                <w:sz w:val="24"/>
                <w:szCs w:val="24"/>
              </w:rPr>
            </w:pPr>
            <w:r>
              <w:rPr>
                <w:rFonts w:cs="Arial"/>
                <w:sz w:val="18"/>
                <w:szCs w:val="18"/>
              </w:rPr>
              <w:t>Tidal loading height</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0 10 092</w:t>
            </w:r>
          </w:p>
        </w:tc>
        <w:tc>
          <w:tcPr>
            <w:tcW w:w="4464" w:type="dxa"/>
            <w:hideMark/>
          </w:tcPr>
          <w:p w:rsidR="00807A2D" w:rsidRDefault="00807A2D" w:rsidP="00807A2D">
            <w:pPr>
              <w:widowControl w:val="0"/>
              <w:numPr>
                <w:ilvl w:val="5"/>
                <w:numId w:val="2"/>
              </w:numPr>
              <w:suppressAutoHyphens/>
              <w:autoSpaceDE w:val="0"/>
              <w:outlineLvl w:val="5"/>
              <w:rPr>
                <w:rFonts w:cs="Arial"/>
                <w:sz w:val="24"/>
                <w:szCs w:val="24"/>
              </w:rPr>
            </w:pPr>
            <w:r>
              <w:rPr>
                <w:rFonts w:cs="Arial"/>
                <w:sz w:val="18"/>
                <w:szCs w:val="18"/>
              </w:rPr>
              <w:t>Solid Earth tide height</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0 10 093</w:t>
            </w:r>
          </w:p>
        </w:tc>
        <w:tc>
          <w:tcPr>
            <w:tcW w:w="4464" w:type="dxa"/>
            <w:hideMark/>
          </w:tcPr>
          <w:p w:rsidR="00807A2D" w:rsidRDefault="00807A2D" w:rsidP="00807A2D">
            <w:pPr>
              <w:widowControl w:val="0"/>
              <w:numPr>
                <w:ilvl w:val="5"/>
                <w:numId w:val="2"/>
              </w:numPr>
              <w:suppressAutoHyphens/>
              <w:autoSpaceDE w:val="0"/>
              <w:outlineLvl w:val="5"/>
              <w:rPr>
                <w:rFonts w:cs="Arial"/>
                <w:sz w:val="24"/>
                <w:szCs w:val="24"/>
              </w:rPr>
            </w:pPr>
            <w:r>
              <w:rPr>
                <w:rFonts w:cs="Arial"/>
                <w:sz w:val="18"/>
                <w:szCs w:val="18"/>
              </w:rPr>
              <w:t>Geocentric pole tide height</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0 11 097</w:t>
            </w:r>
          </w:p>
        </w:tc>
        <w:tc>
          <w:tcPr>
            <w:tcW w:w="4464" w:type="dxa"/>
            <w:hideMark/>
          </w:tcPr>
          <w:p w:rsidR="00807A2D" w:rsidRDefault="00807A2D" w:rsidP="00807A2D">
            <w:pPr>
              <w:widowControl w:val="0"/>
              <w:numPr>
                <w:ilvl w:val="5"/>
                <w:numId w:val="2"/>
              </w:numPr>
              <w:suppressAutoHyphens/>
              <w:autoSpaceDE w:val="0"/>
              <w:outlineLvl w:val="5"/>
              <w:rPr>
                <w:rFonts w:cs="Arial"/>
                <w:sz w:val="24"/>
                <w:szCs w:val="24"/>
              </w:rPr>
            </w:pPr>
            <w:r>
              <w:rPr>
                <w:rFonts w:cs="Arial"/>
                <w:sz w:val="18"/>
                <w:szCs w:val="18"/>
              </w:rPr>
              <w:t>Wind speed from altimeter</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0 21 093</w:t>
            </w:r>
          </w:p>
        </w:tc>
        <w:tc>
          <w:tcPr>
            <w:tcW w:w="4464" w:type="dxa"/>
            <w:hideMark/>
          </w:tcPr>
          <w:p w:rsidR="00807A2D" w:rsidRDefault="00807A2D" w:rsidP="00807A2D">
            <w:pPr>
              <w:widowControl w:val="0"/>
              <w:numPr>
                <w:ilvl w:val="5"/>
                <w:numId w:val="2"/>
              </w:numPr>
              <w:suppressAutoHyphens/>
              <w:autoSpaceDE w:val="0"/>
              <w:outlineLvl w:val="5"/>
              <w:rPr>
                <w:rFonts w:cs="Arial"/>
                <w:sz w:val="24"/>
                <w:szCs w:val="24"/>
              </w:rPr>
            </w:pPr>
            <w:r>
              <w:rPr>
                <w:rFonts w:cs="Arial"/>
                <w:sz w:val="18"/>
                <w:szCs w:val="18"/>
              </w:rPr>
              <w:t xml:space="preserve">Ku band </w:t>
            </w:r>
            <w:proofErr w:type="spellStart"/>
            <w:r>
              <w:rPr>
                <w:rFonts w:cs="Arial"/>
                <w:sz w:val="18"/>
                <w:szCs w:val="18"/>
              </w:rPr>
              <w:t>peakiness</w:t>
            </w:r>
            <w:proofErr w:type="spellEnd"/>
          </w:p>
        </w:tc>
        <w:tc>
          <w:tcPr>
            <w:tcW w:w="2002" w:type="dxa"/>
            <w:hideMark/>
          </w:tcPr>
          <w:p w:rsidR="00807A2D" w:rsidRDefault="00807A2D" w:rsidP="00AE67B7">
            <w:pPr>
              <w:rPr>
                <w:rFonts w:cs="Arial"/>
                <w:sz w:val="18"/>
                <w:szCs w:val="18"/>
              </w:rPr>
            </w:pPr>
            <w:r>
              <w:rPr>
                <w:rFonts w:cs="Arial"/>
                <w:sz w:val="18"/>
                <w:szCs w:val="18"/>
              </w:rPr>
              <w:t>Average of 20 Hz values</w:t>
            </w: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1 01 020</w:t>
            </w:r>
          </w:p>
        </w:tc>
        <w:tc>
          <w:tcPr>
            <w:tcW w:w="4464" w:type="dxa"/>
            <w:hideMark/>
          </w:tcPr>
          <w:p w:rsidR="00807A2D" w:rsidRDefault="00807A2D" w:rsidP="00807A2D">
            <w:pPr>
              <w:widowControl w:val="0"/>
              <w:numPr>
                <w:ilvl w:val="5"/>
                <w:numId w:val="2"/>
              </w:numPr>
              <w:suppressAutoHyphens/>
              <w:autoSpaceDE w:val="0"/>
              <w:outlineLvl w:val="5"/>
              <w:rPr>
                <w:rFonts w:cs="Arial"/>
                <w:sz w:val="24"/>
                <w:szCs w:val="24"/>
              </w:rPr>
            </w:pPr>
            <w:r>
              <w:rPr>
                <w:rFonts w:cs="Arial"/>
                <w:sz w:val="18"/>
                <w:szCs w:val="18"/>
              </w:rPr>
              <w:t>Replicate 1 descriptor 20 times</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0 21 182</w:t>
            </w:r>
          </w:p>
        </w:tc>
        <w:tc>
          <w:tcPr>
            <w:tcW w:w="4464" w:type="dxa"/>
            <w:hideMark/>
          </w:tcPr>
          <w:p w:rsidR="00807A2D" w:rsidRDefault="00807A2D" w:rsidP="00807A2D">
            <w:pPr>
              <w:widowControl w:val="0"/>
              <w:numPr>
                <w:ilvl w:val="5"/>
                <w:numId w:val="2"/>
              </w:numPr>
              <w:suppressAutoHyphens/>
              <w:autoSpaceDE w:val="0"/>
              <w:outlineLvl w:val="5"/>
              <w:rPr>
                <w:rFonts w:cs="Arial"/>
                <w:sz w:val="24"/>
                <w:szCs w:val="24"/>
              </w:rPr>
            </w:pPr>
            <w:r>
              <w:rPr>
                <w:rFonts w:cs="Arial"/>
                <w:sz w:val="18"/>
                <w:szCs w:val="18"/>
              </w:rPr>
              <w:t xml:space="preserve">20 Hz Ku band </w:t>
            </w:r>
            <w:proofErr w:type="spellStart"/>
            <w:r>
              <w:rPr>
                <w:rFonts w:cs="Arial"/>
                <w:sz w:val="18"/>
                <w:szCs w:val="18"/>
              </w:rPr>
              <w:t>peakiness</w:t>
            </w:r>
            <w:proofErr w:type="spellEnd"/>
          </w:p>
        </w:tc>
        <w:tc>
          <w:tcPr>
            <w:tcW w:w="2002" w:type="dxa"/>
            <w:hideMark/>
          </w:tcPr>
          <w:p w:rsidR="00807A2D" w:rsidRDefault="00807A2D" w:rsidP="00AE67B7">
            <w:pPr>
              <w:rPr>
                <w:rFonts w:cs="Arial"/>
                <w:sz w:val="18"/>
                <w:szCs w:val="18"/>
              </w:rPr>
            </w:pPr>
            <w:r>
              <w:rPr>
                <w:rFonts w:cs="Arial"/>
                <w:sz w:val="18"/>
                <w:szCs w:val="18"/>
              </w:rPr>
              <w:t>20 values</w:t>
            </w: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0 33 053</w:t>
            </w:r>
          </w:p>
        </w:tc>
        <w:tc>
          <w:tcPr>
            <w:tcW w:w="4464" w:type="dxa"/>
            <w:hideMark/>
          </w:tcPr>
          <w:p w:rsidR="00807A2D" w:rsidRDefault="00807A2D" w:rsidP="00AE67B7">
            <w:pPr>
              <w:rPr>
                <w:rFonts w:cs="Arial"/>
                <w:sz w:val="18"/>
                <w:szCs w:val="18"/>
              </w:rPr>
            </w:pPr>
            <w:r>
              <w:rPr>
                <w:rFonts w:cs="Arial"/>
                <w:sz w:val="18"/>
                <w:szCs w:val="18"/>
              </w:rPr>
              <w:t xml:space="preserve">Ku band ocean </w:t>
            </w:r>
            <w:proofErr w:type="spellStart"/>
            <w:r>
              <w:rPr>
                <w:rFonts w:cs="Arial"/>
                <w:sz w:val="18"/>
                <w:szCs w:val="18"/>
              </w:rPr>
              <w:t>retracking</w:t>
            </w:r>
            <w:proofErr w:type="spellEnd"/>
            <w:r>
              <w:rPr>
                <w:rFonts w:cs="Arial"/>
                <w:sz w:val="18"/>
                <w:szCs w:val="18"/>
              </w:rPr>
              <w:t xml:space="preserve"> quality</w:t>
            </w:r>
          </w:p>
        </w:tc>
        <w:tc>
          <w:tcPr>
            <w:tcW w:w="2002" w:type="dxa"/>
          </w:tcPr>
          <w:p w:rsidR="00807A2D" w:rsidRDefault="00807A2D" w:rsidP="00AE67B7">
            <w:pPr>
              <w:rPr>
                <w:rFonts w:cs="Arial"/>
                <w:b/>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0 22 151</w:t>
            </w:r>
          </w:p>
        </w:tc>
        <w:tc>
          <w:tcPr>
            <w:tcW w:w="4464" w:type="dxa"/>
            <w:hideMark/>
          </w:tcPr>
          <w:p w:rsidR="00807A2D" w:rsidRDefault="00807A2D" w:rsidP="00AE67B7">
            <w:pPr>
              <w:rPr>
                <w:rFonts w:cs="Arial"/>
                <w:sz w:val="18"/>
                <w:szCs w:val="18"/>
              </w:rPr>
            </w:pPr>
            <w:r>
              <w:rPr>
                <w:rFonts w:cs="Arial"/>
                <w:sz w:val="18"/>
                <w:szCs w:val="18"/>
              </w:rPr>
              <w:t>Ku band ocean range</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0 22 145</w:t>
            </w:r>
          </w:p>
        </w:tc>
        <w:tc>
          <w:tcPr>
            <w:tcW w:w="4464" w:type="dxa"/>
            <w:hideMark/>
          </w:tcPr>
          <w:p w:rsidR="00807A2D" w:rsidRDefault="00807A2D" w:rsidP="00807A2D">
            <w:pPr>
              <w:widowControl w:val="0"/>
              <w:numPr>
                <w:ilvl w:val="5"/>
                <w:numId w:val="2"/>
              </w:numPr>
              <w:suppressAutoHyphens/>
              <w:autoSpaceDE w:val="0"/>
              <w:outlineLvl w:val="5"/>
              <w:rPr>
                <w:rFonts w:cs="Arial"/>
                <w:sz w:val="24"/>
                <w:szCs w:val="24"/>
              </w:rPr>
            </w:pPr>
            <w:r>
              <w:rPr>
                <w:rFonts w:cs="Arial"/>
                <w:sz w:val="18"/>
                <w:szCs w:val="18"/>
              </w:rPr>
              <w:t>STD of 20 Hz ocean range</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tcPr>
          <w:p w:rsidR="00807A2D" w:rsidRDefault="00807A2D" w:rsidP="00AE67B7">
            <w:pPr>
              <w:jc w:val="center"/>
              <w:rPr>
                <w:rFonts w:cs="Arial"/>
                <w:sz w:val="18"/>
                <w:szCs w:val="18"/>
              </w:rPr>
            </w:pPr>
          </w:p>
        </w:tc>
        <w:tc>
          <w:tcPr>
            <w:tcW w:w="4464" w:type="dxa"/>
          </w:tcPr>
          <w:p w:rsidR="00807A2D" w:rsidRDefault="00807A2D" w:rsidP="00807A2D">
            <w:pPr>
              <w:widowControl w:val="0"/>
              <w:numPr>
                <w:ilvl w:val="5"/>
                <w:numId w:val="2"/>
              </w:numPr>
              <w:suppressAutoHyphens/>
              <w:autoSpaceDE w:val="0"/>
              <w:outlineLvl w:val="5"/>
              <w:rPr>
                <w:rFonts w:cs="Arial"/>
                <w:sz w:val="18"/>
                <w:szCs w:val="18"/>
              </w:rPr>
            </w:pP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0 22 148</w:t>
            </w:r>
          </w:p>
        </w:tc>
        <w:tc>
          <w:tcPr>
            <w:tcW w:w="4464" w:type="dxa"/>
            <w:hideMark/>
          </w:tcPr>
          <w:p w:rsidR="00807A2D" w:rsidRDefault="00807A2D" w:rsidP="00807A2D">
            <w:pPr>
              <w:widowControl w:val="0"/>
              <w:numPr>
                <w:ilvl w:val="5"/>
                <w:numId w:val="2"/>
              </w:numPr>
              <w:suppressAutoHyphens/>
              <w:autoSpaceDE w:val="0"/>
              <w:outlineLvl w:val="5"/>
              <w:rPr>
                <w:rFonts w:cs="Arial"/>
                <w:sz w:val="24"/>
                <w:szCs w:val="24"/>
              </w:rPr>
            </w:pPr>
            <w:r>
              <w:rPr>
                <w:rFonts w:cs="Arial"/>
                <w:sz w:val="18"/>
                <w:szCs w:val="18"/>
              </w:rPr>
              <w:t>Number of 20 Hz valid points for ocean range</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0 22 146</w:t>
            </w:r>
          </w:p>
        </w:tc>
        <w:tc>
          <w:tcPr>
            <w:tcW w:w="4464" w:type="dxa"/>
            <w:hideMark/>
          </w:tcPr>
          <w:p w:rsidR="00807A2D" w:rsidRDefault="00807A2D" w:rsidP="00807A2D">
            <w:pPr>
              <w:widowControl w:val="0"/>
              <w:numPr>
                <w:ilvl w:val="5"/>
                <w:numId w:val="2"/>
              </w:numPr>
              <w:suppressAutoHyphens/>
              <w:autoSpaceDE w:val="0"/>
              <w:outlineLvl w:val="5"/>
              <w:rPr>
                <w:rFonts w:cs="Arial"/>
                <w:sz w:val="24"/>
                <w:szCs w:val="24"/>
              </w:rPr>
            </w:pPr>
            <w:r>
              <w:rPr>
                <w:rFonts w:cs="Arial"/>
                <w:sz w:val="18"/>
                <w:szCs w:val="18"/>
              </w:rPr>
              <w:t>OCOG range</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0 22 147</w:t>
            </w:r>
          </w:p>
        </w:tc>
        <w:tc>
          <w:tcPr>
            <w:tcW w:w="4464" w:type="dxa"/>
            <w:hideMark/>
          </w:tcPr>
          <w:p w:rsidR="00807A2D" w:rsidRDefault="00807A2D" w:rsidP="00807A2D">
            <w:pPr>
              <w:widowControl w:val="0"/>
              <w:numPr>
                <w:ilvl w:val="5"/>
                <w:numId w:val="2"/>
              </w:numPr>
              <w:suppressAutoHyphens/>
              <w:autoSpaceDE w:val="0"/>
              <w:outlineLvl w:val="5"/>
              <w:rPr>
                <w:rFonts w:cs="Arial"/>
                <w:sz w:val="24"/>
                <w:szCs w:val="24"/>
              </w:rPr>
            </w:pPr>
            <w:r>
              <w:rPr>
                <w:rFonts w:cs="Arial"/>
                <w:sz w:val="18"/>
                <w:szCs w:val="18"/>
              </w:rPr>
              <w:t>STD of 20 Hz OCOG range</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0 25 126</w:t>
            </w:r>
          </w:p>
        </w:tc>
        <w:tc>
          <w:tcPr>
            <w:tcW w:w="4464" w:type="dxa"/>
            <w:hideMark/>
          </w:tcPr>
          <w:p w:rsidR="00807A2D" w:rsidRDefault="00807A2D" w:rsidP="00807A2D">
            <w:pPr>
              <w:widowControl w:val="0"/>
              <w:numPr>
                <w:ilvl w:val="5"/>
                <w:numId w:val="2"/>
              </w:numPr>
              <w:suppressAutoHyphens/>
              <w:autoSpaceDE w:val="0"/>
              <w:outlineLvl w:val="5"/>
              <w:rPr>
                <w:rFonts w:cs="Arial"/>
                <w:sz w:val="24"/>
                <w:szCs w:val="24"/>
              </w:rPr>
            </w:pPr>
            <w:r>
              <w:rPr>
                <w:rFonts w:cs="Arial"/>
                <w:sz w:val="18"/>
                <w:szCs w:val="18"/>
              </w:rPr>
              <w:t>Model dry tropospheric correction</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0 25 128</w:t>
            </w:r>
          </w:p>
        </w:tc>
        <w:tc>
          <w:tcPr>
            <w:tcW w:w="4464" w:type="dxa"/>
            <w:hideMark/>
          </w:tcPr>
          <w:p w:rsidR="00807A2D" w:rsidRDefault="00807A2D" w:rsidP="00807A2D">
            <w:pPr>
              <w:widowControl w:val="0"/>
              <w:numPr>
                <w:ilvl w:val="5"/>
                <w:numId w:val="2"/>
              </w:numPr>
              <w:suppressAutoHyphens/>
              <w:autoSpaceDE w:val="0"/>
              <w:outlineLvl w:val="5"/>
              <w:rPr>
                <w:rFonts w:cs="Arial"/>
                <w:sz w:val="24"/>
                <w:szCs w:val="24"/>
              </w:rPr>
            </w:pPr>
            <w:r>
              <w:rPr>
                <w:rFonts w:cs="Arial"/>
                <w:sz w:val="18"/>
                <w:szCs w:val="18"/>
              </w:rPr>
              <w:t>Model wet tropospheric correction</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0 25 127</w:t>
            </w:r>
          </w:p>
        </w:tc>
        <w:tc>
          <w:tcPr>
            <w:tcW w:w="4464" w:type="dxa"/>
            <w:hideMark/>
          </w:tcPr>
          <w:p w:rsidR="00807A2D" w:rsidRDefault="00807A2D" w:rsidP="00807A2D">
            <w:pPr>
              <w:widowControl w:val="0"/>
              <w:numPr>
                <w:ilvl w:val="5"/>
                <w:numId w:val="2"/>
              </w:numPr>
              <w:suppressAutoHyphens/>
              <w:autoSpaceDE w:val="0"/>
              <w:outlineLvl w:val="5"/>
              <w:rPr>
                <w:rFonts w:cs="Arial"/>
                <w:sz w:val="24"/>
                <w:szCs w:val="24"/>
              </w:rPr>
            </w:pPr>
            <w:r>
              <w:rPr>
                <w:rFonts w:cs="Arial"/>
                <w:sz w:val="18"/>
                <w:szCs w:val="18"/>
              </w:rPr>
              <w:t>Inverted barometer correction</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0 21 176</w:t>
            </w:r>
          </w:p>
        </w:tc>
        <w:tc>
          <w:tcPr>
            <w:tcW w:w="4464" w:type="dxa"/>
            <w:hideMark/>
          </w:tcPr>
          <w:p w:rsidR="00807A2D" w:rsidRDefault="00807A2D" w:rsidP="00807A2D">
            <w:pPr>
              <w:widowControl w:val="0"/>
              <w:numPr>
                <w:ilvl w:val="5"/>
                <w:numId w:val="2"/>
              </w:numPr>
              <w:suppressAutoHyphens/>
              <w:autoSpaceDE w:val="0"/>
              <w:outlineLvl w:val="5"/>
              <w:rPr>
                <w:rFonts w:cs="Arial"/>
                <w:sz w:val="24"/>
                <w:szCs w:val="24"/>
              </w:rPr>
            </w:pPr>
            <w:r>
              <w:rPr>
                <w:rFonts w:cs="Arial"/>
                <w:sz w:val="18"/>
                <w:szCs w:val="18"/>
              </w:rPr>
              <w:t>High frequency variability correction</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0 25 132</w:t>
            </w:r>
          </w:p>
        </w:tc>
        <w:tc>
          <w:tcPr>
            <w:tcW w:w="4464" w:type="dxa"/>
            <w:hideMark/>
          </w:tcPr>
          <w:p w:rsidR="00807A2D" w:rsidRDefault="00807A2D" w:rsidP="00807A2D">
            <w:pPr>
              <w:widowControl w:val="0"/>
              <w:numPr>
                <w:ilvl w:val="5"/>
                <w:numId w:val="2"/>
              </w:numPr>
              <w:suppressAutoHyphens/>
              <w:autoSpaceDE w:val="0"/>
              <w:outlineLvl w:val="5"/>
              <w:rPr>
                <w:rFonts w:cs="Arial"/>
                <w:sz w:val="24"/>
                <w:szCs w:val="24"/>
              </w:rPr>
            </w:pPr>
            <w:r>
              <w:rPr>
                <w:rFonts w:cs="Arial"/>
                <w:sz w:val="18"/>
                <w:szCs w:val="18"/>
              </w:rPr>
              <w:t>Ionospheric correction from model on Ku band</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0 25 133</w:t>
            </w:r>
          </w:p>
        </w:tc>
        <w:tc>
          <w:tcPr>
            <w:tcW w:w="4464" w:type="dxa"/>
            <w:hideMark/>
          </w:tcPr>
          <w:p w:rsidR="00807A2D" w:rsidRDefault="00807A2D" w:rsidP="00807A2D">
            <w:pPr>
              <w:widowControl w:val="0"/>
              <w:numPr>
                <w:ilvl w:val="5"/>
                <w:numId w:val="2"/>
              </w:numPr>
              <w:suppressAutoHyphens/>
              <w:autoSpaceDE w:val="0"/>
              <w:outlineLvl w:val="5"/>
              <w:rPr>
                <w:rFonts w:cs="Arial"/>
                <w:sz w:val="24"/>
                <w:szCs w:val="24"/>
              </w:rPr>
            </w:pPr>
            <w:r>
              <w:rPr>
                <w:rFonts w:cs="Arial"/>
                <w:sz w:val="18"/>
                <w:szCs w:val="18"/>
              </w:rPr>
              <w:t>Sea state bias correction on Ku band</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0 25 182</w:t>
            </w:r>
          </w:p>
        </w:tc>
        <w:tc>
          <w:tcPr>
            <w:tcW w:w="4464" w:type="dxa"/>
            <w:hideMark/>
          </w:tcPr>
          <w:p w:rsidR="00807A2D" w:rsidRDefault="00807A2D" w:rsidP="00807A2D">
            <w:pPr>
              <w:widowControl w:val="0"/>
              <w:numPr>
                <w:ilvl w:val="5"/>
                <w:numId w:val="2"/>
              </w:numPr>
              <w:suppressAutoHyphens/>
              <w:autoSpaceDE w:val="0"/>
              <w:outlineLvl w:val="5"/>
              <w:rPr>
                <w:rFonts w:cs="Arial"/>
                <w:sz w:val="24"/>
                <w:szCs w:val="24"/>
              </w:rPr>
            </w:pPr>
            <w:r>
              <w:rPr>
                <w:rFonts w:cs="Arial"/>
                <w:sz w:val="18"/>
                <w:szCs w:val="18"/>
              </w:rPr>
              <w:t>L1 processing flag</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0 25 183</w:t>
            </w:r>
          </w:p>
        </w:tc>
        <w:tc>
          <w:tcPr>
            <w:tcW w:w="4464" w:type="dxa"/>
            <w:hideMark/>
          </w:tcPr>
          <w:p w:rsidR="00807A2D" w:rsidRDefault="00807A2D" w:rsidP="00807A2D">
            <w:pPr>
              <w:widowControl w:val="0"/>
              <w:numPr>
                <w:ilvl w:val="5"/>
                <w:numId w:val="2"/>
              </w:numPr>
              <w:suppressAutoHyphens/>
              <w:autoSpaceDE w:val="0"/>
              <w:outlineLvl w:val="5"/>
              <w:rPr>
                <w:rFonts w:cs="Arial"/>
                <w:sz w:val="24"/>
                <w:szCs w:val="24"/>
              </w:rPr>
            </w:pPr>
            <w:r>
              <w:rPr>
                <w:rFonts w:cs="Arial"/>
                <w:sz w:val="18"/>
                <w:szCs w:val="18"/>
              </w:rPr>
              <w:t>L1 processing quality</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0 25 180</w:t>
            </w:r>
          </w:p>
        </w:tc>
        <w:tc>
          <w:tcPr>
            <w:tcW w:w="4464" w:type="dxa"/>
            <w:hideMark/>
          </w:tcPr>
          <w:p w:rsidR="00807A2D" w:rsidRDefault="00807A2D" w:rsidP="00807A2D">
            <w:pPr>
              <w:widowControl w:val="0"/>
              <w:numPr>
                <w:ilvl w:val="5"/>
                <w:numId w:val="2"/>
              </w:numPr>
              <w:suppressAutoHyphens/>
              <w:autoSpaceDE w:val="0"/>
              <w:outlineLvl w:val="5"/>
              <w:rPr>
                <w:rFonts w:cs="Arial"/>
                <w:sz w:val="24"/>
                <w:szCs w:val="24"/>
              </w:rPr>
            </w:pPr>
            <w:r>
              <w:rPr>
                <w:rFonts w:cs="Arial"/>
                <w:sz w:val="18"/>
                <w:szCs w:val="18"/>
              </w:rPr>
              <w:t>LRM mode per cent</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0 25 184</w:t>
            </w:r>
          </w:p>
        </w:tc>
        <w:tc>
          <w:tcPr>
            <w:tcW w:w="4464" w:type="dxa"/>
            <w:hideMark/>
          </w:tcPr>
          <w:p w:rsidR="00807A2D" w:rsidRDefault="00807A2D" w:rsidP="00807A2D">
            <w:pPr>
              <w:widowControl w:val="0"/>
              <w:numPr>
                <w:ilvl w:val="5"/>
                <w:numId w:val="2"/>
              </w:numPr>
              <w:suppressAutoHyphens/>
              <w:autoSpaceDE w:val="0"/>
              <w:outlineLvl w:val="5"/>
              <w:rPr>
                <w:rFonts w:cs="Arial"/>
                <w:sz w:val="24"/>
                <w:szCs w:val="24"/>
              </w:rPr>
            </w:pPr>
            <w:r>
              <w:rPr>
                <w:rFonts w:cs="Arial"/>
                <w:sz w:val="18"/>
                <w:szCs w:val="18"/>
              </w:rPr>
              <w:t>L2 product status</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jc w:val="center"/>
              <w:rPr>
                <w:rFonts w:cs="Arial"/>
                <w:sz w:val="18"/>
                <w:szCs w:val="18"/>
              </w:rPr>
            </w:pPr>
          </w:p>
        </w:tc>
        <w:tc>
          <w:tcPr>
            <w:tcW w:w="1372" w:type="dxa"/>
            <w:hideMark/>
          </w:tcPr>
          <w:p w:rsidR="00807A2D" w:rsidRDefault="00807A2D" w:rsidP="00AE67B7">
            <w:pPr>
              <w:jc w:val="center"/>
              <w:rPr>
                <w:rFonts w:cs="Arial"/>
                <w:sz w:val="18"/>
                <w:szCs w:val="18"/>
              </w:rPr>
            </w:pPr>
            <w:r>
              <w:rPr>
                <w:rFonts w:cs="Arial"/>
                <w:sz w:val="18"/>
                <w:szCs w:val="18"/>
              </w:rPr>
              <w:t>0 25 181</w:t>
            </w:r>
          </w:p>
        </w:tc>
        <w:tc>
          <w:tcPr>
            <w:tcW w:w="4464" w:type="dxa"/>
            <w:hideMark/>
          </w:tcPr>
          <w:p w:rsidR="00807A2D" w:rsidRDefault="00807A2D" w:rsidP="00807A2D">
            <w:pPr>
              <w:widowControl w:val="0"/>
              <w:numPr>
                <w:ilvl w:val="5"/>
                <w:numId w:val="2"/>
              </w:numPr>
              <w:suppressAutoHyphens/>
              <w:autoSpaceDE w:val="0"/>
              <w:outlineLvl w:val="5"/>
              <w:rPr>
                <w:rFonts w:cs="Arial"/>
                <w:sz w:val="24"/>
                <w:szCs w:val="24"/>
              </w:rPr>
            </w:pPr>
            <w:r>
              <w:rPr>
                <w:rFonts w:cs="Arial"/>
                <w:sz w:val="18"/>
                <w:szCs w:val="18"/>
              </w:rPr>
              <w:t>L2 processing flag</w:t>
            </w:r>
          </w:p>
        </w:tc>
        <w:tc>
          <w:tcPr>
            <w:tcW w:w="2002" w:type="dxa"/>
          </w:tcPr>
          <w:p w:rsidR="00807A2D" w:rsidRDefault="00807A2D" w:rsidP="00AE67B7">
            <w:pPr>
              <w:rPr>
                <w:rFonts w:cs="Arial"/>
                <w:sz w:val="18"/>
                <w:szCs w:val="18"/>
              </w:rPr>
            </w:pPr>
          </w:p>
        </w:tc>
      </w:tr>
      <w:tr w:rsidR="00807A2D" w:rsidTr="00AE67B7">
        <w:tc>
          <w:tcPr>
            <w:tcW w:w="1372" w:type="dxa"/>
          </w:tcPr>
          <w:p w:rsidR="00807A2D" w:rsidRDefault="00807A2D" w:rsidP="00AE67B7">
            <w:pPr>
              <w:widowControl w:val="0"/>
              <w:autoSpaceDE w:val="0"/>
              <w:autoSpaceDN w:val="0"/>
              <w:adjustRightInd w:val="0"/>
              <w:spacing w:after="120"/>
              <w:jc w:val="center"/>
              <w:rPr>
                <w:rFonts w:cs="Arial"/>
                <w:sz w:val="18"/>
                <w:szCs w:val="18"/>
              </w:rPr>
            </w:pPr>
          </w:p>
        </w:tc>
        <w:tc>
          <w:tcPr>
            <w:tcW w:w="1372" w:type="dxa"/>
            <w:hideMark/>
          </w:tcPr>
          <w:p w:rsidR="00807A2D" w:rsidRDefault="00807A2D" w:rsidP="00AE67B7">
            <w:pPr>
              <w:spacing w:after="120"/>
              <w:jc w:val="center"/>
              <w:rPr>
                <w:rFonts w:cs="Arial"/>
                <w:sz w:val="18"/>
                <w:szCs w:val="18"/>
              </w:rPr>
            </w:pPr>
            <w:r>
              <w:rPr>
                <w:rFonts w:cs="Arial"/>
                <w:sz w:val="18"/>
                <w:szCs w:val="18"/>
              </w:rPr>
              <w:t>0 33 080</w:t>
            </w:r>
          </w:p>
        </w:tc>
        <w:tc>
          <w:tcPr>
            <w:tcW w:w="4464" w:type="dxa"/>
            <w:hideMark/>
          </w:tcPr>
          <w:p w:rsidR="00807A2D" w:rsidRDefault="00807A2D" w:rsidP="00807A2D">
            <w:pPr>
              <w:widowControl w:val="0"/>
              <w:numPr>
                <w:ilvl w:val="5"/>
                <w:numId w:val="2"/>
              </w:numPr>
              <w:suppressAutoHyphens/>
              <w:autoSpaceDE w:val="0"/>
              <w:spacing w:after="120"/>
              <w:outlineLvl w:val="5"/>
              <w:rPr>
                <w:rFonts w:cs="Arial"/>
                <w:sz w:val="24"/>
                <w:szCs w:val="24"/>
              </w:rPr>
            </w:pPr>
            <w:r>
              <w:rPr>
                <w:rFonts w:cs="Arial"/>
                <w:sz w:val="18"/>
                <w:szCs w:val="18"/>
              </w:rPr>
              <w:t>Scan level quality flags</w:t>
            </w:r>
          </w:p>
        </w:tc>
        <w:tc>
          <w:tcPr>
            <w:tcW w:w="2002" w:type="dxa"/>
            <w:hideMark/>
          </w:tcPr>
          <w:p w:rsidR="00807A2D" w:rsidRDefault="00807A2D" w:rsidP="00AE67B7">
            <w:pPr>
              <w:spacing w:after="120"/>
              <w:rPr>
                <w:rFonts w:cs="Arial"/>
                <w:sz w:val="18"/>
                <w:szCs w:val="18"/>
              </w:rPr>
            </w:pPr>
            <w:r>
              <w:rPr>
                <w:rFonts w:cs="Arial"/>
                <w:sz w:val="18"/>
                <w:szCs w:val="18"/>
              </w:rPr>
              <w:t>L2 processing quality</w:t>
            </w:r>
          </w:p>
        </w:tc>
      </w:tr>
      <w:tr w:rsidR="00807A2D" w:rsidTr="00AE67B7">
        <w:tc>
          <w:tcPr>
            <w:tcW w:w="1372" w:type="dxa"/>
          </w:tcPr>
          <w:p w:rsidR="00807A2D" w:rsidRDefault="00807A2D" w:rsidP="00AE67B7">
            <w:pPr>
              <w:widowControl w:val="0"/>
              <w:autoSpaceDE w:val="0"/>
              <w:autoSpaceDN w:val="0"/>
              <w:adjustRightInd w:val="0"/>
              <w:spacing w:after="120"/>
              <w:jc w:val="center"/>
              <w:rPr>
                <w:rFonts w:cs="Arial"/>
                <w:sz w:val="18"/>
                <w:szCs w:val="18"/>
              </w:rPr>
            </w:pPr>
            <w:r w:rsidRPr="00042CBD">
              <w:rPr>
                <w:rFonts w:cs="Arial"/>
                <w:color w:val="FF0000"/>
                <w:sz w:val="18"/>
                <w:szCs w:val="18"/>
              </w:rPr>
              <w:t>0 25 190</w:t>
            </w:r>
          </w:p>
        </w:tc>
        <w:tc>
          <w:tcPr>
            <w:tcW w:w="1372" w:type="dxa"/>
          </w:tcPr>
          <w:p w:rsidR="00807A2D" w:rsidRDefault="00807A2D" w:rsidP="00AE67B7">
            <w:pPr>
              <w:spacing w:after="120"/>
              <w:jc w:val="center"/>
              <w:rPr>
                <w:rFonts w:cs="Arial"/>
                <w:sz w:val="18"/>
                <w:szCs w:val="18"/>
              </w:rPr>
            </w:pPr>
          </w:p>
        </w:tc>
        <w:tc>
          <w:tcPr>
            <w:tcW w:w="4464" w:type="dxa"/>
          </w:tcPr>
          <w:p w:rsidR="00807A2D" w:rsidRDefault="00807A2D" w:rsidP="00807A2D">
            <w:pPr>
              <w:widowControl w:val="0"/>
              <w:numPr>
                <w:ilvl w:val="5"/>
                <w:numId w:val="2"/>
              </w:numPr>
              <w:suppressAutoHyphens/>
              <w:autoSpaceDE w:val="0"/>
              <w:spacing w:after="120"/>
              <w:outlineLvl w:val="5"/>
              <w:rPr>
                <w:rFonts w:cs="Arial"/>
                <w:sz w:val="18"/>
                <w:szCs w:val="18"/>
              </w:rPr>
            </w:pPr>
            <w:r w:rsidRPr="00813FB3">
              <w:rPr>
                <w:rFonts w:cs="Arial"/>
                <w:color w:val="FF0000"/>
                <w:sz w:val="18"/>
                <w:szCs w:val="18"/>
              </w:rPr>
              <w:t>Altimeter echo processing mode</w:t>
            </w:r>
          </w:p>
        </w:tc>
        <w:tc>
          <w:tcPr>
            <w:tcW w:w="2002" w:type="dxa"/>
          </w:tcPr>
          <w:p w:rsidR="00807A2D" w:rsidRDefault="00807A2D" w:rsidP="00AE67B7">
            <w:pPr>
              <w:spacing w:after="120"/>
              <w:rPr>
                <w:rFonts w:cs="Arial"/>
                <w:sz w:val="18"/>
                <w:szCs w:val="18"/>
              </w:rPr>
            </w:pPr>
          </w:p>
        </w:tc>
      </w:tr>
    </w:tbl>
    <w:p w:rsidR="00807A2D" w:rsidRDefault="00807A2D">
      <w:pPr>
        <w:jc w:val="both"/>
        <w:rPr>
          <w:rFonts w:ascii="Verdana" w:hAnsi="Verdana"/>
          <w:sz w:val="20"/>
          <w:szCs w:val="20"/>
          <w:lang w:val="en-US"/>
        </w:rPr>
      </w:pPr>
    </w:p>
    <w:p w:rsidR="00807A2D" w:rsidRDefault="00807A2D">
      <w:pPr>
        <w:jc w:val="both"/>
        <w:rPr>
          <w:rFonts w:ascii="Verdana" w:hAnsi="Verdana"/>
          <w:sz w:val="20"/>
          <w:szCs w:val="20"/>
          <w:lang w:val="en-US"/>
        </w:rPr>
      </w:pPr>
    </w:p>
    <w:p w:rsidR="00807A2D" w:rsidRPr="00807A2D" w:rsidRDefault="00807A2D" w:rsidP="00807A2D">
      <w:pPr>
        <w:jc w:val="both"/>
        <w:rPr>
          <w:rFonts w:ascii="Verdana" w:hAnsi="Verdana"/>
          <w:sz w:val="20"/>
          <w:szCs w:val="20"/>
          <w:lang w:val="en-US"/>
        </w:rPr>
      </w:pPr>
      <w:r w:rsidRPr="00807A2D">
        <w:rPr>
          <w:rFonts w:ascii="Verdana" w:hAnsi="Verdana"/>
          <w:sz w:val="20"/>
          <w:szCs w:val="20"/>
          <w:lang w:val="en-US"/>
        </w:rPr>
        <w:t xml:space="preserve">The following note could be included </w:t>
      </w:r>
    </w:p>
    <w:p w:rsidR="00807A2D" w:rsidRPr="00807A2D" w:rsidRDefault="00807A2D" w:rsidP="00807A2D">
      <w:pPr>
        <w:jc w:val="both"/>
        <w:rPr>
          <w:rFonts w:ascii="Verdana" w:hAnsi="Verdana"/>
          <w:sz w:val="20"/>
          <w:szCs w:val="20"/>
          <w:lang w:val="en-US"/>
        </w:rPr>
      </w:pPr>
      <w:r w:rsidRPr="00807A2D">
        <w:rPr>
          <w:rFonts w:ascii="Verdana" w:hAnsi="Verdana"/>
          <w:sz w:val="20"/>
          <w:szCs w:val="20"/>
          <w:lang w:val="en-US"/>
        </w:rPr>
        <w:t>Under Category 12 –Single level report sequences (satellite data)</w:t>
      </w:r>
    </w:p>
    <w:p w:rsidR="00807A2D" w:rsidRPr="00807A2D" w:rsidRDefault="00807A2D" w:rsidP="00807A2D">
      <w:pPr>
        <w:jc w:val="both"/>
        <w:rPr>
          <w:rFonts w:ascii="Verdana" w:hAnsi="Verdana"/>
          <w:sz w:val="20"/>
          <w:szCs w:val="20"/>
          <w:lang w:val="en-US"/>
        </w:rPr>
      </w:pPr>
    </w:p>
    <w:p w:rsidR="00807A2D" w:rsidRDefault="00807A2D" w:rsidP="00807A2D">
      <w:pPr>
        <w:jc w:val="both"/>
        <w:rPr>
          <w:rFonts w:ascii="Verdana" w:hAnsi="Verdana"/>
          <w:sz w:val="20"/>
          <w:szCs w:val="20"/>
          <w:lang w:val="en-US"/>
        </w:rPr>
      </w:pPr>
      <w:r w:rsidRPr="00807A2D">
        <w:rPr>
          <w:rFonts w:ascii="Verdana" w:hAnsi="Verdana"/>
          <w:sz w:val="20"/>
          <w:szCs w:val="20"/>
          <w:lang w:val="en-US"/>
        </w:rPr>
        <w:t>(4) BUFR sequence 3-12-071 can be followed by BUFR descriptor 0-25-190 to enable reporting data from different Altimeter echo processing mode.</w:t>
      </w:r>
    </w:p>
    <w:sectPr w:rsidR="00807A2D"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90" w:rsidRDefault="004C1690" w:rsidP="004C1690">
      <w:r>
        <w:separator/>
      </w:r>
    </w:p>
  </w:endnote>
  <w:endnote w:type="continuationSeparator" w:id="0">
    <w:p w:rsidR="004C1690" w:rsidRDefault="004C1690"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90" w:rsidRDefault="004C1690" w:rsidP="004C1690">
      <w:r>
        <w:separator/>
      </w:r>
    </w:p>
  </w:footnote>
  <w:footnote w:type="continuationSeparator" w:id="0">
    <w:p w:rsidR="004C1690" w:rsidRDefault="004C1690" w:rsidP="004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Letter"/>
      <w:pStyle w:val="Level1"/>
      <w:lvlText w:val="%1)"/>
      <w:lvlJc w:val="left"/>
      <w:pPr>
        <w:tabs>
          <w:tab w:val="num" w:pos="1440"/>
        </w:tabs>
        <w:ind w:left="1800" w:hanging="360"/>
      </w:pPr>
      <w:rPr>
        <w:b w:val="0"/>
        <w:i w:val="0"/>
        <w:sz w:val="22"/>
        <w:szCs w:val="22"/>
      </w:r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rPr>
        <w:rFonts w:ascii="OpenSymbol" w:hAnsi="OpenSymbo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1"/>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96CE2"/>
    <w:rsid w:val="000A2A71"/>
    <w:rsid w:val="000B5939"/>
    <w:rsid w:val="000C17B8"/>
    <w:rsid w:val="000C1DFF"/>
    <w:rsid w:val="000F3EFB"/>
    <w:rsid w:val="00102DF6"/>
    <w:rsid w:val="00117B3E"/>
    <w:rsid w:val="00154663"/>
    <w:rsid w:val="0015739E"/>
    <w:rsid w:val="00160129"/>
    <w:rsid w:val="00160C13"/>
    <w:rsid w:val="0017015C"/>
    <w:rsid w:val="00174D5A"/>
    <w:rsid w:val="00175E86"/>
    <w:rsid w:val="00183272"/>
    <w:rsid w:val="001934B1"/>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37753"/>
    <w:rsid w:val="0024704D"/>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0183"/>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1681E"/>
    <w:rsid w:val="0043708B"/>
    <w:rsid w:val="004467D2"/>
    <w:rsid w:val="00455289"/>
    <w:rsid w:val="00455898"/>
    <w:rsid w:val="0046035B"/>
    <w:rsid w:val="00461911"/>
    <w:rsid w:val="004713B4"/>
    <w:rsid w:val="0047387F"/>
    <w:rsid w:val="00473E64"/>
    <w:rsid w:val="0047593A"/>
    <w:rsid w:val="00481C7A"/>
    <w:rsid w:val="00484AEF"/>
    <w:rsid w:val="00491001"/>
    <w:rsid w:val="004C1690"/>
    <w:rsid w:val="004F715C"/>
    <w:rsid w:val="004F78C7"/>
    <w:rsid w:val="005009B7"/>
    <w:rsid w:val="0052330A"/>
    <w:rsid w:val="00534E58"/>
    <w:rsid w:val="0054155E"/>
    <w:rsid w:val="00552686"/>
    <w:rsid w:val="0055539D"/>
    <w:rsid w:val="005554A5"/>
    <w:rsid w:val="00572376"/>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47501"/>
    <w:rsid w:val="0065376F"/>
    <w:rsid w:val="00653DCD"/>
    <w:rsid w:val="006569B7"/>
    <w:rsid w:val="00661253"/>
    <w:rsid w:val="006613C4"/>
    <w:rsid w:val="00666AB4"/>
    <w:rsid w:val="006867DD"/>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121C3"/>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06A85"/>
    <w:rsid w:val="00807A2D"/>
    <w:rsid w:val="00810F6C"/>
    <w:rsid w:val="00822564"/>
    <w:rsid w:val="0084259D"/>
    <w:rsid w:val="00854CF1"/>
    <w:rsid w:val="0087795A"/>
    <w:rsid w:val="00882178"/>
    <w:rsid w:val="008A4415"/>
    <w:rsid w:val="008A48FF"/>
    <w:rsid w:val="008E669E"/>
    <w:rsid w:val="008E6C3A"/>
    <w:rsid w:val="00910EDE"/>
    <w:rsid w:val="00911012"/>
    <w:rsid w:val="00916862"/>
    <w:rsid w:val="009251AE"/>
    <w:rsid w:val="009511E7"/>
    <w:rsid w:val="00955292"/>
    <w:rsid w:val="009558BC"/>
    <w:rsid w:val="00965F8E"/>
    <w:rsid w:val="00970B57"/>
    <w:rsid w:val="00976269"/>
    <w:rsid w:val="00983CED"/>
    <w:rsid w:val="00984C25"/>
    <w:rsid w:val="009950B5"/>
    <w:rsid w:val="009C4D6F"/>
    <w:rsid w:val="009C731D"/>
    <w:rsid w:val="009D07EC"/>
    <w:rsid w:val="009D6DA6"/>
    <w:rsid w:val="009E1CA9"/>
    <w:rsid w:val="009E725C"/>
    <w:rsid w:val="009F14D6"/>
    <w:rsid w:val="009F245F"/>
    <w:rsid w:val="00A028D3"/>
    <w:rsid w:val="00A06245"/>
    <w:rsid w:val="00A11090"/>
    <w:rsid w:val="00A17D50"/>
    <w:rsid w:val="00A259DA"/>
    <w:rsid w:val="00A35997"/>
    <w:rsid w:val="00A64379"/>
    <w:rsid w:val="00A6536B"/>
    <w:rsid w:val="00A70764"/>
    <w:rsid w:val="00A710FD"/>
    <w:rsid w:val="00A755B1"/>
    <w:rsid w:val="00A8078C"/>
    <w:rsid w:val="00A83665"/>
    <w:rsid w:val="00AC098E"/>
    <w:rsid w:val="00AC7AE4"/>
    <w:rsid w:val="00AD5FD8"/>
    <w:rsid w:val="00AF060A"/>
    <w:rsid w:val="00AF3CFA"/>
    <w:rsid w:val="00B06B42"/>
    <w:rsid w:val="00B1295F"/>
    <w:rsid w:val="00B136AB"/>
    <w:rsid w:val="00B2422D"/>
    <w:rsid w:val="00B306F7"/>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0130"/>
    <w:rsid w:val="00C72CC6"/>
    <w:rsid w:val="00C80626"/>
    <w:rsid w:val="00C8416C"/>
    <w:rsid w:val="00C85A94"/>
    <w:rsid w:val="00CA73DC"/>
    <w:rsid w:val="00CB32EA"/>
    <w:rsid w:val="00CD3FA6"/>
    <w:rsid w:val="00CE2D9D"/>
    <w:rsid w:val="00D02230"/>
    <w:rsid w:val="00D078E7"/>
    <w:rsid w:val="00D2274D"/>
    <w:rsid w:val="00D42900"/>
    <w:rsid w:val="00D47603"/>
    <w:rsid w:val="00D478AD"/>
    <w:rsid w:val="00D51173"/>
    <w:rsid w:val="00D564D5"/>
    <w:rsid w:val="00D571DE"/>
    <w:rsid w:val="00D6102B"/>
    <w:rsid w:val="00D632E9"/>
    <w:rsid w:val="00D64CE3"/>
    <w:rsid w:val="00D726C7"/>
    <w:rsid w:val="00D87EBC"/>
    <w:rsid w:val="00D96433"/>
    <w:rsid w:val="00DA14BC"/>
    <w:rsid w:val="00DC3E1A"/>
    <w:rsid w:val="00DF744B"/>
    <w:rsid w:val="00E118FA"/>
    <w:rsid w:val="00E263EC"/>
    <w:rsid w:val="00E467A6"/>
    <w:rsid w:val="00E65F3F"/>
    <w:rsid w:val="00E740BE"/>
    <w:rsid w:val="00E743BB"/>
    <w:rsid w:val="00E75B6E"/>
    <w:rsid w:val="00EA0729"/>
    <w:rsid w:val="00EA132C"/>
    <w:rsid w:val="00EC1F1F"/>
    <w:rsid w:val="00EC3262"/>
    <w:rsid w:val="00ED2390"/>
    <w:rsid w:val="00ED6DF9"/>
    <w:rsid w:val="00EE6561"/>
    <w:rsid w:val="00EF36D5"/>
    <w:rsid w:val="00EF54F0"/>
    <w:rsid w:val="00F018F3"/>
    <w:rsid w:val="00F04F34"/>
    <w:rsid w:val="00F2595D"/>
    <w:rsid w:val="00F33FAD"/>
    <w:rsid w:val="00F35A04"/>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paragraph" w:styleId="Heading6">
    <w:name w:val="heading 6"/>
    <w:basedOn w:val="Normal"/>
    <w:next w:val="Normal"/>
    <w:link w:val="Heading6Char"/>
    <w:semiHidden/>
    <w:unhideWhenUsed/>
    <w:qFormat/>
    <w:rsid w:val="00807A2D"/>
    <w:pPr>
      <w:widowControl w:val="0"/>
      <w:numPr>
        <w:ilvl w:val="5"/>
        <w:numId w:val="2"/>
      </w:numPr>
      <w:suppressAutoHyphens/>
      <w:autoSpaceDE w:val="0"/>
      <w:spacing w:before="240" w:after="60"/>
      <w:outlineLvl w:val="5"/>
    </w:pPr>
    <w:rPr>
      <w:rFonts w:ascii="Times New Roman" w:eastAsia="Times New Roman" w:hAnsi="Times New Roman"/>
      <w:b/>
      <w:bCs/>
      <w:snapToGrid/>
      <w:sz w:val="20"/>
      <w:lang w:val="en-CA" w:eastAsia="ar-SA"/>
    </w:rPr>
  </w:style>
  <w:style w:type="paragraph" w:styleId="Heading7">
    <w:name w:val="heading 7"/>
    <w:basedOn w:val="Normal"/>
    <w:next w:val="Normal"/>
    <w:link w:val="Heading7Char"/>
    <w:semiHidden/>
    <w:unhideWhenUsed/>
    <w:qFormat/>
    <w:rsid w:val="00807A2D"/>
    <w:pPr>
      <w:widowControl w:val="0"/>
      <w:numPr>
        <w:ilvl w:val="6"/>
        <w:numId w:val="2"/>
      </w:numPr>
      <w:suppressAutoHyphens/>
      <w:autoSpaceDE w:val="0"/>
      <w:spacing w:before="240" w:after="60"/>
      <w:outlineLvl w:val="6"/>
    </w:pPr>
    <w:rPr>
      <w:rFonts w:ascii="Times New Roman" w:hAnsi="Times New Roman"/>
      <w:snapToGrid/>
      <w:sz w:val="20"/>
      <w:lang w:val="en-CA" w:eastAsia="ar-SA"/>
    </w:rPr>
  </w:style>
  <w:style w:type="paragraph" w:styleId="Heading8">
    <w:name w:val="heading 8"/>
    <w:basedOn w:val="Normal"/>
    <w:next w:val="Normal"/>
    <w:link w:val="Heading8Char"/>
    <w:semiHidden/>
    <w:unhideWhenUsed/>
    <w:qFormat/>
    <w:rsid w:val="00807A2D"/>
    <w:pPr>
      <w:widowControl w:val="0"/>
      <w:numPr>
        <w:ilvl w:val="7"/>
        <w:numId w:val="2"/>
      </w:numPr>
      <w:suppressAutoHyphens/>
      <w:autoSpaceDE w:val="0"/>
      <w:spacing w:before="240" w:after="60"/>
      <w:outlineLvl w:val="7"/>
    </w:pPr>
    <w:rPr>
      <w:rFonts w:ascii="Times New Roman" w:hAnsi="Times New Roman"/>
      <w:i/>
      <w:iCs/>
      <w:snapToGrid/>
      <w:sz w:val="20"/>
      <w:lang w:val="en-CA" w:eastAsia="ar-SA"/>
    </w:rPr>
  </w:style>
  <w:style w:type="paragraph" w:styleId="Heading9">
    <w:name w:val="heading 9"/>
    <w:basedOn w:val="Normal"/>
    <w:next w:val="Normal"/>
    <w:link w:val="Heading9Char"/>
    <w:semiHidden/>
    <w:unhideWhenUsed/>
    <w:qFormat/>
    <w:rsid w:val="00807A2D"/>
    <w:pPr>
      <w:widowControl w:val="0"/>
      <w:numPr>
        <w:ilvl w:val="8"/>
        <w:numId w:val="2"/>
      </w:numPr>
      <w:suppressAutoHyphens/>
      <w:autoSpaceDE w:val="0"/>
      <w:spacing w:before="240" w:after="60"/>
      <w:outlineLvl w:val="8"/>
    </w:pPr>
    <w:rPr>
      <w:snapToGrid/>
      <w:sz w:val="20"/>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character" w:customStyle="1" w:styleId="Heading6Char">
    <w:name w:val="Heading 6 Char"/>
    <w:basedOn w:val="DefaultParagraphFont"/>
    <w:link w:val="Heading6"/>
    <w:semiHidden/>
    <w:rsid w:val="00807A2D"/>
    <w:rPr>
      <w:rFonts w:eastAsia="Times New Roman"/>
      <w:b/>
      <w:bCs/>
      <w:szCs w:val="22"/>
      <w:lang w:val="en-CA" w:eastAsia="ar-SA"/>
    </w:rPr>
  </w:style>
  <w:style w:type="character" w:customStyle="1" w:styleId="Heading7Char">
    <w:name w:val="Heading 7 Char"/>
    <w:basedOn w:val="DefaultParagraphFont"/>
    <w:link w:val="Heading7"/>
    <w:semiHidden/>
    <w:rsid w:val="00807A2D"/>
    <w:rPr>
      <w:szCs w:val="22"/>
      <w:lang w:val="en-CA" w:eastAsia="ar-SA"/>
    </w:rPr>
  </w:style>
  <w:style w:type="character" w:customStyle="1" w:styleId="Heading8Char">
    <w:name w:val="Heading 8 Char"/>
    <w:basedOn w:val="DefaultParagraphFont"/>
    <w:link w:val="Heading8"/>
    <w:semiHidden/>
    <w:rsid w:val="00807A2D"/>
    <w:rPr>
      <w:i/>
      <w:iCs/>
      <w:szCs w:val="22"/>
      <w:lang w:val="en-CA" w:eastAsia="ar-SA"/>
    </w:rPr>
  </w:style>
  <w:style w:type="character" w:customStyle="1" w:styleId="Heading9Char">
    <w:name w:val="Heading 9 Char"/>
    <w:basedOn w:val="DefaultParagraphFont"/>
    <w:link w:val="Heading9"/>
    <w:semiHidden/>
    <w:rsid w:val="00807A2D"/>
    <w:rPr>
      <w:rFonts w:ascii="Arial" w:hAnsi="Arial"/>
      <w:szCs w:val="22"/>
      <w:lang w:val="en-CA" w:eastAsia="ar-SA"/>
    </w:rPr>
  </w:style>
  <w:style w:type="paragraph" w:customStyle="1" w:styleId="Level1">
    <w:name w:val="Level 1"/>
    <w:basedOn w:val="Normal"/>
    <w:rsid w:val="00807A2D"/>
    <w:pPr>
      <w:widowControl w:val="0"/>
      <w:numPr>
        <w:numId w:val="2"/>
      </w:numPr>
      <w:suppressAutoHyphens/>
      <w:outlineLvl w:val="0"/>
    </w:pPr>
    <w:rPr>
      <w:rFonts w:ascii="Times New Roman" w:hAnsi="Times New Roman" w:cs="Arial Unicode MS"/>
      <w:snapToGrid/>
      <w:lang w:val="en-US" w:eastAsia="my-MM" w:bidi="my-M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paragraph" w:styleId="Heading6">
    <w:name w:val="heading 6"/>
    <w:basedOn w:val="Normal"/>
    <w:next w:val="Normal"/>
    <w:link w:val="Heading6Char"/>
    <w:semiHidden/>
    <w:unhideWhenUsed/>
    <w:qFormat/>
    <w:rsid w:val="00807A2D"/>
    <w:pPr>
      <w:widowControl w:val="0"/>
      <w:numPr>
        <w:ilvl w:val="5"/>
        <w:numId w:val="2"/>
      </w:numPr>
      <w:suppressAutoHyphens/>
      <w:autoSpaceDE w:val="0"/>
      <w:spacing w:before="240" w:after="60"/>
      <w:outlineLvl w:val="5"/>
    </w:pPr>
    <w:rPr>
      <w:rFonts w:ascii="Times New Roman" w:eastAsia="Times New Roman" w:hAnsi="Times New Roman"/>
      <w:b/>
      <w:bCs/>
      <w:snapToGrid/>
      <w:sz w:val="20"/>
      <w:lang w:val="en-CA" w:eastAsia="ar-SA"/>
    </w:rPr>
  </w:style>
  <w:style w:type="paragraph" w:styleId="Heading7">
    <w:name w:val="heading 7"/>
    <w:basedOn w:val="Normal"/>
    <w:next w:val="Normal"/>
    <w:link w:val="Heading7Char"/>
    <w:semiHidden/>
    <w:unhideWhenUsed/>
    <w:qFormat/>
    <w:rsid w:val="00807A2D"/>
    <w:pPr>
      <w:widowControl w:val="0"/>
      <w:numPr>
        <w:ilvl w:val="6"/>
        <w:numId w:val="2"/>
      </w:numPr>
      <w:suppressAutoHyphens/>
      <w:autoSpaceDE w:val="0"/>
      <w:spacing w:before="240" w:after="60"/>
      <w:outlineLvl w:val="6"/>
    </w:pPr>
    <w:rPr>
      <w:rFonts w:ascii="Times New Roman" w:hAnsi="Times New Roman"/>
      <w:snapToGrid/>
      <w:sz w:val="20"/>
      <w:lang w:val="en-CA" w:eastAsia="ar-SA"/>
    </w:rPr>
  </w:style>
  <w:style w:type="paragraph" w:styleId="Heading8">
    <w:name w:val="heading 8"/>
    <w:basedOn w:val="Normal"/>
    <w:next w:val="Normal"/>
    <w:link w:val="Heading8Char"/>
    <w:semiHidden/>
    <w:unhideWhenUsed/>
    <w:qFormat/>
    <w:rsid w:val="00807A2D"/>
    <w:pPr>
      <w:widowControl w:val="0"/>
      <w:numPr>
        <w:ilvl w:val="7"/>
        <w:numId w:val="2"/>
      </w:numPr>
      <w:suppressAutoHyphens/>
      <w:autoSpaceDE w:val="0"/>
      <w:spacing w:before="240" w:after="60"/>
      <w:outlineLvl w:val="7"/>
    </w:pPr>
    <w:rPr>
      <w:rFonts w:ascii="Times New Roman" w:hAnsi="Times New Roman"/>
      <w:i/>
      <w:iCs/>
      <w:snapToGrid/>
      <w:sz w:val="20"/>
      <w:lang w:val="en-CA" w:eastAsia="ar-SA"/>
    </w:rPr>
  </w:style>
  <w:style w:type="paragraph" w:styleId="Heading9">
    <w:name w:val="heading 9"/>
    <w:basedOn w:val="Normal"/>
    <w:next w:val="Normal"/>
    <w:link w:val="Heading9Char"/>
    <w:semiHidden/>
    <w:unhideWhenUsed/>
    <w:qFormat/>
    <w:rsid w:val="00807A2D"/>
    <w:pPr>
      <w:widowControl w:val="0"/>
      <w:numPr>
        <w:ilvl w:val="8"/>
        <w:numId w:val="2"/>
      </w:numPr>
      <w:suppressAutoHyphens/>
      <w:autoSpaceDE w:val="0"/>
      <w:spacing w:before="240" w:after="60"/>
      <w:outlineLvl w:val="8"/>
    </w:pPr>
    <w:rPr>
      <w:snapToGrid/>
      <w:sz w:val="20"/>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character" w:customStyle="1" w:styleId="Heading6Char">
    <w:name w:val="Heading 6 Char"/>
    <w:basedOn w:val="DefaultParagraphFont"/>
    <w:link w:val="Heading6"/>
    <w:semiHidden/>
    <w:rsid w:val="00807A2D"/>
    <w:rPr>
      <w:rFonts w:eastAsia="Times New Roman"/>
      <w:b/>
      <w:bCs/>
      <w:szCs w:val="22"/>
      <w:lang w:val="en-CA" w:eastAsia="ar-SA"/>
    </w:rPr>
  </w:style>
  <w:style w:type="character" w:customStyle="1" w:styleId="Heading7Char">
    <w:name w:val="Heading 7 Char"/>
    <w:basedOn w:val="DefaultParagraphFont"/>
    <w:link w:val="Heading7"/>
    <w:semiHidden/>
    <w:rsid w:val="00807A2D"/>
    <w:rPr>
      <w:szCs w:val="22"/>
      <w:lang w:val="en-CA" w:eastAsia="ar-SA"/>
    </w:rPr>
  </w:style>
  <w:style w:type="character" w:customStyle="1" w:styleId="Heading8Char">
    <w:name w:val="Heading 8 Char"/>
    <w:basedOn w:val="DefaultParagraphFont"/>
    <w:link w:val="Heading8"/>
    <w:semiHidden/>
    <w:rsid w:val="00807A2D"/>
    <w:rPr>
      <w:i/>
      <w:iCs/>
      <w:szCs w:val="22"/>
      <w:lang w:val="en-CA" w:eastAsia="ar-SA"/>
    </w:rPr>
  </w:style>
  <w:style w:type="character" w:customStyle="1" w:styleId="Heading9Char">
    <w:name w:val="Heading 9 Char"/>
    <w:basedOn w:val="DefaultParagraphFont"/>
    <w:link w:val="Heading9"/>
    <w:semiHidden/>
    <w:rsid w:val="00807A2D"/>
    <w:rPr>
      <w:rFonts w:ascii="Arial" w:hAnsi="Arial"/>
      <w:szCs w:val="22"/>
      <w:lang w:val="en-CA" w:eastAsia="ar-SA"/>
    </w:rPr>
  </w:style>
  <w:style w:type="paragraph" w:customStyle="1" w:styleId="Level1">
    <w:name w:val="Level 1"/>
    <w:basedOn w:val="Normal"/>
    <w:rsid w:val="00807A2D"/>
    <w:pPr>
      <w:widowControl w:val="0"/>
      <w:numPr>
        <w:numId w:val="2"/>
      </w:numPr>
      <w:suppressAutoHyphens/>
      <w:outlineLvl w:val="0"/>
    </w:pPr>
    <w:rPr>
      <w:rFonts w:ascii="Times New Roman" w:hAnsi="Times New Roman" w:cs="Arial Unicode MS"/>
      <w:snapToGrid/>
      <w:lang w:val="en-US" w:eastAsia="my-MM"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6434D8" w:rsidP="006434D8">
          <w:pPr>
            <w:pStyle w:val="C07E1BF94763419EAF9E88B2FD3B43EB45"/>
          </w:pPr>
          <w:r w:rsidRPr="00EC3262">
            <w:rPr>
              <w:rStyle w:val="PlaceholderText"/>
              <w:rFonts w:ascii="Verdana" w:hAnsi="Verdana"/>
              <w:sz w:val="20"/>
              <w:szCs w:val="20"/>
            </w:rPr>
            <w:t>(Category)</w:t>
          </w:r>
        </w:p>
      </w:docPartBody>
    </w:docPart>
    <w:docPart>
      <w:docPartPr>
        <w:name w:val="7CBF56C9F24C4BC0803C208A39074384"/>
        <w:category>
          <w:name w:val="General"/>
          <w:gallery w:val="placeholder"/>
        </w:category>
        <w:types>
          <w:type w:val="bbPlcHdr"/>
        </w:types>
        <w:behaviors>
          <w:behavior w:val="content"/>
        </w:behaviors>
        <w:guid w:val="{84CB8EEE-E187-4F94-9AC1-FCA5A86AD487}"/>
      </w:docPartPr>
      <w:docPartBody>
        <w:p w:rsidR="00876B2D" w:rsidRDefault="006434D8" w:rsidP="006434D8">
          <w:pPr>
            <w:pStyle w:val="7CBF56C9F24C4BC0803C208A3907438441"/>
          </w:pPr>
          <w:r w:rsidRPr="00EC3262">
            <w:rPr>
              <w:rStyle w:val="PlaceholderText"/>
              <w:rFonts w:ascii="Verdana" w:hAnsi="Verdana"/>
              <w:sz w:val="20"/>
              <w:szCs w:val="20"/>
            </w:rPr>
            <w:t>(Sub-category</w:t>
          </w:r>
          <w:r>
            <w:rPr>
              <w:rStyle w:val="PlaceholderText"/>
              <w:rFonts w:ascii="Verdana" w:hAnsi="Verdana"/>
              <w:sz w:val="20"/>
              <w:szCs w:val="20"/>
            </w:rPr>
            <w:t>, otherwise omitted</w:t>
          </w:r>
          <w:r w:rsidRPr="00EC3262">
            <w:rPr>
              <w:rStyle w:val="PlaceholderText"/>
              <w:rFonts w:ascii="Verdana" w:hAnsi="Verdana"/>
              <w:sz w:val="20"/>
              <w:szCs w:val="20"/>
            </w:rPr>
            <w:t>)</w:t>
          </w:r>
        </w:p>
      </w:docPartBody>
    </w:docPart>
    <w:docPart>
      <w:docPartPr>
        <w:name w:val="DFD479EB54D947E8A3198A5E6DA35F94"/>
        <w:category>
          <w:name w:val="General"/>
          <w:gallery w:val="placeholder"/>
        </w:category>
        <w:types>
          <w:type w:val="bbPlcHdr"/>
        </w:types>
        <w:behaviors>
          <w:behavior w:val="content"/>
        </w:behaviors>
        <w:guid w:val="{07392197-D614-49D7-8AB1-CDF1BBB03E99}"/>
      </w:docPartPr>
      <w:docPartBody>
        <w:p w:rsidR="00876B2D" w:rsidRDefault="006434D8" w:rsidP="006434D8">
          <w:pPr>
            <w:pStyle w:val="DFD479EB54D947E8A3198A5E6DA35F9436"/>
          </w:pPr>
          <w:r>
            <w:rPr>
              <w:rStyle w:val="PlaceholderText"/>
            </w:rPr>
            <w:t>(Title of annex)</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6434D8" w:rsidP="006434D8">
          <w:pPr>
            <w:pStyle w:val="4CD9C67CAF7A41C8ABBF4A1B36E706D432"/>
          </w:pPr>
          <w:r>
            <w:rPr>
              <w:rStyle w:val="PlaceholderText"/>
            </w:rPr>
            <w:t>(xx. x. 2019)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356384"/>
    <w:rsid w:val="004A6AA6"/>
    <w:rsid w:val="00594E66"/>
    <w:rsid w:val="006434D8"/>
    <w:rsid w:val="00876B2D"/>
    <w:rsid w:val="00C40F99"/>
    <w:rsid w:val="00E37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34D8"/>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6434D8"/>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6434D8"/>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6434D8"/>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6434D8"/>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6434D8"/>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6434D8"/>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6434D8"/>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6434D8"/>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6434D8"/>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6434D8"/>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6434D8"/>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6434D8"/>
    <w:pPr>
      <w:spacing w:after="0" w:line="240" w:lineRule="auto"/>
    </w:pPr>
    <w:rPr>
      <w:rFonts w:ascii="Arial" w:eastAsia="MS Mincho" w:hAnsi="Arial" w:cs="Times New Roman"/>
      <w:snapToGrid w:val="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34D8"/>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6434D8"/>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6434D8"/>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6434D8"/>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6434D8"/>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6434D8"/>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6434D8"/>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6434D8"/>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6434D8"/>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6434D8"/>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6434D8"/>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6434D8"/>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6434D8"/>
    <w:pPr>
      <w:spacing w:after="0" w:line="240" w:lineRule="auto"/>
    </w:pPr>
    <w:rPr>
      <w:rFonts w:ascii="Arial" w:eastAsia="MS Mincho" w:hAnsi="Arial" w:cs="Times New Roman"/>
      <w:snapToGrid w:val="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2993B-AD19-47C8-AA65-B73F4810D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923</Words>
  <Characters>4933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2019-04-10T10:58:00Z</cp:lastPrinted>
  <dcterms:created xsi:type="dcterms:W3CDTF">2019-04-10T13:59:00Z</dcterms:created>
  <dcterms:modified xsi:type="dcterms:W3CDTF">2019-04-10T13:59:00Z</dcterms:modified>
</cp:coreProperties>
</file>