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AA0210">
              <w:rPr>
                <w:rFonts w:ascii="Verdana" w:hAnsi="Verdana"/>
                <w:sz w:val="20"/>
                <w:szCs w:val="20"/>
              </w:rPr>
              <w:t>2.4</w:t>
            </w:r>
            <w:r w:rsidR="00484AEF" w:rsidRPr="00F35A04">
              <w:rPr>
                <w:rFonts w:ascii="Verdana" w:hAnsi="Verdana"/>
                <w:sz w:val="20"/>
                <w:szCs w:val="20"/>
              </w:rPr>
              <w:t xml:space="preserve"> </w:t>
            </w:r>
            <w:r w:rsidR="00160129" w:rsidRPr="00F35A04">
              <w:rPr>
                <w:rFonts w:ascii="Verdana" w:hAnsi="Verdana"/>
                <w:sz w:val="20"/>
                <w:szCs w:val="20"/>
              </w:rPr>
              <w:t>(</w:t>
            </w:r>
            <w:r w:rsidR="00AA0210">
              <w:rPr>
                <w:rFonts w:ascii="Verdana" w:hAnsi="Verdana"/>
                <w:sz w:val="20"/>
                <w:szCs w:val="20"/>
              </w:rPr>
              <w:t>2</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AA0210">
              <w:rPr>
                <w:rFonts w:ascii="Verdana" w:hAnsi="Verdana"/>
                <w:sz w:val="20"/>
                <w:szCs w:val="20"/>
              </w:rPr>
              <w:t>10</w:t>
            </w:r>
            <w:r w:rsidRPr="00F35A04">
              <w:rPr>
                <w:rFonts w:ascii="Verdana" w:hAnsi="Verdana"/>
                <w:sz w:val="20"/>
                <w:szCs w:val="20"/>
              </w:rPr>
              <w:t>.</w:t>
            </w:r>
            <w:r w:rsidR="00D564D5" w:rsidRPr="00F35A04">
              <w:rPr>
                <w:rFonts w:ascii="Verdana" w:hAnsi="Verdana"/>
                <w:sz w:val="20"/>
                <w:szCs w:val="20"/>
              </w:rPr>
              <w:t xml:space="preserve"> </w:t>
            </w:r>
            <w:r w:rsidR="00AA0210">
              <w:rPr>
                <w:rFonts w:ascii="Verdana" w:hAnsi="Verdana"/>
                <w:sz w:val="20"/>
                <w:szCs w:val="20"/>
              </w:rPr>
              <w:t>04</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AA0210">
              <w:rPr>
                <w:rFonts w:ascii="Verdana" w:hAnsi="Verdana"/>
                <w:sz w:val="20"/>
                <w:szCs w:val="20"/>
              </w:rPr>
              <w:t>9</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AA0210">
              <w:rPr>
                <w:rFonts w:ascii="Verdana" w:hAnsi="Verdana"/>
                <w:sz w:val="20"/>
                <w:szCs w:val="20"/>
              </w:rPr>
              <w:t>2.4</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Default="00494E35" w:rsidP="009F245F">
      <w:pPr>
        <w:jc w:val="center"/>
        <w:rPr>
          <w:rFonts w:ascii="Verdana" w:hAnsi="Verdana"/>
          <w:sz w:val="20"/>
          <w:szCs w:val="20"/>
        </w:rPr>
      </w:pPr>
      <w:r>
        <w:rPr>
          <w:rFonts w:ascii="Verdana" w:hAnsi="Verdana"/>
          <w:sz w:val="20"/>
          <w:szCs w:val="20"/>
        </w:rPr>
        <w:t>FM 94 BUFR / FM 95 CREX</w:t>
      </w:r>
    </w:p>
    <w:p w:rsidR="00494E35" w:rsidRPr="00F35A04" w:rsidRDefault="00494E35" w:rsidP="009F245F">
      <w:pPr>
        <w:jc w:val="center"/>
        <w:rPr>
          <w:rFonts w:ascii="Verdana" w:hAnsi="Verdana"/>
          <w:sz w:val="20"/>
          <w:szCs w:val="20"/>
        </w:rPr>
      </w:pPr>
      <w:r>
        <w:rPr>
          <w:rFonts w:ascii="Verdana" w:hAnsi="Verdana"/>
          <w:sz w:val="20"/>
          <w:szCs w:val="20"/>
        </w:rPr>
        <w:t>Additions to BUFR / CREX tables</w:t>
      </w:r>
    </w:p>
    <w:p w:rsidR="009F245F" w:rsidRPr="00F35A04" w:rsidRDefault="00B64D01" w:rsidP="009F245F">
      <w:pPr>
        <w:spacing w:before="240"/>
        <w:ind w:left="1208" w:right="1389"/>
        <w:jc w:val="center"/>
        <w:rPr>
          <w:rFonts w:ascii="Verdana" w:hAnsi="Verdana" w:cs="Arial"/>
          <w:b/>
          <w:sz w:val="20"/>
          <w:szCs w:val="20"/>
        </w:rPr>
      </w:pPr>
      <w:r>
        <w:rPr>
          <w:rFonts w:ascii="Verdana" w:hAnsi="Verdana" w:cs="Arial"/>
          <w:b/>
          <w:sz w:val="20"/>
          <w:szCs w:val="20"/>
        </w:rPr>
        <w:t>Development and Validation of a BUFR sequence for AMDAR Profile products</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B64D01">
        <w:rPr>
          <w:rFonts w:ascii="Verdana" w:hAnsi="Verdana"/>
          <w:i/>
          <w:sz w:val="20"/>
          <w:szCs w:val="20"/>
        </w:rPr>
        <w:t>Richard Weedon – UK Met Office</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B64D01" w:rsidP="00B64D01">
      <w:pPr>
        <w:pStyle w:val="BodyText"/>
        <w:ind w:left="770" w:right="839"/>
        <w:rPr>
          <w:rFonts w:ascii="Verdana" w:hAnsi="Verdana"/>
          <w:sz w:val="20"/>
          <w:szCs w:val="20"/>
        </w:rPr>
      </w:pPr>
      <w:r>
        <w:rPr>
          <w:rFonts w:ascii="Verdana" w:hAnsi="Verdana"/>
          <w:sz w:val="20"/>
          <w:szCs w:val="20"/>
        </w:rPr>
        <w:t>This proposal outlines the work undertaken to develop and validate a new BUFR sequence for the representation of AMDAR BUFR data as a profile product.</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B64D01" w:rsidP="00B64D01">
      <w:pPr>
        <w:ind w:left="720"/>
        <w:rPr>
          <w:rFonts w:ascii="Verdana" w:hAnsi="Verdana"/>
          <w:sz w:val="20"/>
          <w:szCs w:val="20"/>
        </w:rPr>
      </w:pPr>
      <w:r>
        <w:rPr>
          <w:rFonts w:ascii="Verdana" w:hAnsi="Verdana"/>
          <w:sz w:val="20"/>
          <w:szCs w:val="20"/>
        </w:rPr>
        <w:t xml:space="preserve">The meeting is requested to consider the proposal and validation evidence. If all </w:t>
      </w:r>
      <w:r w:rsidR="00492174">
        <w:rPr>
          <w:rFonts w:ascii="Verdana" w:hAnsi="Verdana"/>
          <w:sz w:val="20"/>
          <w:szCs w:val="20"/>
        </w:rPr>
        <w:t>agree</w:t>
      </w:r>
      <w:r>
        <w:rPr>
          <w:rFonts w:ascii="Verdana" w:hAnsi="Verdana"/>
          <w:sz w:val="20"/>
          <w:szCs w:val="20"/>
        </w:rPr>
        <w:t xml:space="preserve">, pre-operational status is </w:t>
      </w:r>
      <w:r w:rsidR="008F426C">
        <w:rPr>
          <w:rFonts w:ascii="Verdana" w:hAnsi="Verdana"/>
          <w:sz w:val="20"/>
          <w:szCs w:val="20"/>
        </w:rPr>
        <w:t>requested</w:t>
      </w:r>
      <w:r>
        <w:rPr>
          <w:rFonts w:ascii="Verdana" w:hAnsi="Verdana"/>
          <w:sz w:val="20"/>
          <w:szCs w:val="20"/>
        </w:rPr>
        <w:t xml:space="preserve">. </w:t>
      </w:r>
    </w:p>
    <w:p w:rsidR="009F245F" w:rsidRPr="00F35A04" w:rsidRDefault="009F245F" w:rsidP="009F245F">
      <w:pPr>
        <w:pStyle w:val="BodyText"/>
        <w:rPr>
          <w:rFonts w:ascii="Verdana" w:hAnsi="Verdana"/>
          <w:sz w:val="20"/>
          <w:szCs w:val="20"/>
        </w:rPr>
      </w:pP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ind w:left="880" w:hanging="660"/>
        <w:rPr>
          <w:rFonts w:ascii="Verdana" w:hAnsi="Verdana"/>
          <w:sz w:val="20"/>
          <w:szCs w:val="20"/>
        </w:rPr>
      </w:pPr>
      <w:bookmarkStart w:id="0" w:name="_GoBack"/>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bookmarkStart w:id="1" w:name="Text6"/>
      <w:r w:rsidRPr="00F35A04">
        <w:rPr>
          <w:rFonts w:ascii="Verdana" w:hAnsi="Verdana"/>
          <w:sz w:val="20"/>
          <w:szCs w:val="20"/>
        </w:rPr>
        <w:fldChar w:fldCharType="begin">
          <w:ffData>
            <w:name w:val="Text6"/>
            <w:enabled/>
            <w:calcOnExit w:val="0"/>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sz w:val="20"/>
          <w:szCs w:val="20"/>
        </w:rPr>
        <w:fldChar w:fldCharType="end"/>
      </w:r>
      <w:bookmarkEnd w:id="1"/>
    </w:p>
    <w:bookmarkEnd w:id="0"/>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B64D01"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17261B" w:rsidRDefault="0017261B" w:rsidP="009F245F">
      <w:pPr>
        <w:rPr>
          <w:rFonts w:ascii="Verdana" w:hAnsi="Verdana"/>
          <w:sz w:val="20"/>
          <w:szCs w:val="20"/>
        </w:rPr>
      </w:pPr>
      <w:r w:rsidRPr="0017261B">
        <w:rPr>
          <w:rFonts w:ascii="Verdana" w:hAnsi="Verdana"/>
          <w:sz w:val="20"/>
          <w:szCs w:val="20"/>
        </w:rPr>
        <w:t xml:space="preserve">In submitting this proposal </w:t>
      </w:r>
      <w:r>
        <w:rPr>
          <w:rFonts w:ascii="Verdana" w:hAnsi="Verdana"/>
          <w:sz w:val="20"/>
          <w:szCs w:val="20"/>
        </w:rPr>
        <w:t xml:space="preserve">and requesting pre-operational status </w:t>
      </w:r>
      <w:r w:rsidRPr="0017261B">
        <w:rPr>
          <w:rFonts w:ascii="Verdana" w:hAnsi="Verdana"/>
          <w:sz w:val="20"/>
          <w:szCs w:val="20"/>
        </w:rPr>
        <w:t>we (UK Met Office)</w:t>
      </w:r>
      <w:r>
        <w:rPr>
          <w:rFonts w:ascii="Verdana" w:hAnsi="Verdana"/>
          <w:sz w:val="20"/>
          <w:szCs w:val="20"/>
        </w:rPr>
        <w:t xml:space="preserve"> </w:t>
      </w:r>
      <w:r w:rsidRPr="0017261B">
        <w:rPr>
          <w:rFonts w:ascii="Verdana" w:hAnsi="Verdana"/>
          <w:sz w:val="20"/>
          <w:szCs w:val="20"/>
        </w:rPr>
        <w:t xml:space="preserve">acknowledge </w:t>
      </w:r>
      <w:r>
        <w:rPr>
          <w:rFonts w:ascii="Verdana" w:hAnsi="Verdana"/>
          <w:sz w:val="20"/>
          <w:szCs w:val="20"/>
        </w:rPr>
        <w:t>the fact that the accepted protocols are being circumvented. The new sequence will be needed in the immediate future, and the meeting is respectfully asked to take this into account.</w:t>
      </w:r>
    </w:p>
    <w:p w:rsidR="00492174" w:rsidRPr="0017261B" w:rsidRDefault="0017261B" w:rsidP="009F245F">
      <w:pPr>
        <w:rPr>
          <w:rFonts w:ascii="Verdana" w:hAnsi="Verdana"/>
          <w:sz w:val="20"/>
          <w:szCs w:val="20"/>
        </w:rPr>
      </w:pPr>
      <w:r>
        <w:rPr>
          <w:rFonts w:ascii="Verdana" w:hAnsi="Verdana"/>
          <w:sz w:val="20"/>
          <w:szCs w:val="20"/>
        </w:rPr>
        <w:t xml:space="preserve"> </w:t>
      </w:r>
    </w:p>
    <w:p w:rsidR="00492174" w:rsidRPr="00492174" w:rsidRDefault="00492174" w:rsidP="00492174">
      <w:pPr>
        <w:rPr>
          <w:rFonts w:ascii="Verdana" w:eastAsia="PMingLiU" w:hAnsi="Verdana"/>
          <w:snapToGrid/>
          <w:sz w:val="20"/>
          <w:szCs w:val="20"/>
          <w:lang w:eastAsia="zh-TW"/>
        </w:rPr>
      </w:pPr>
      <w:r w:rsidRPr="00492174">
        <w:rPr>
          <w:rFonts w:ascii="Verdana" w:eastAsia="PMingLiU" w:hAnsi="Verdana"/>
          <w:snapToGrid/>
          <w:sz w:val="20"/>
          <w:szCs w:val="20"/>
          <w:lang w:eastAsia="zh-TW"/>
        </w:rPr>
        <w:t xml:space="preserve">The AMDAR profile product was conceived and developed by the EUMETNET Observations team, as a means of solving problems encountered in the visualisation of AMDAR Ascent and Descent data, especially on Forecaster Display Stations. </w:t>
      </w:r>
    </w:p>
    <w:p w:rsidR="00492174" w:rsidRPr="00492174" w:rsidRDefault="00492174" w:rsidP="00492174">
      <w:pPr>
        <w:ind w:left="720"/>
        <w:rPr>
          <w:rFonts w:ascii="Verdana" w:eastAsia="PMingLiU" w:hAnsi="Verdana"/>
          <w:snapToGrid/>
          <w:sz w:val="20"/>
          <w:szCs w:val="20"/>
          <w:lang w:eastAsia="zh-TW"/>
        </w:rPr>
      </w:pPr>
    </w:p>
    <w:p w:rsidR="00492174" w:rsidRDefault="00492174" w:rsidP="00492174">
      <w:pPr>
        <w:rPr>
          <w:rFonts w:ascii="Verdana" w:eastAsia="PMingLiU" w:hAnsi="Verdana"/>
          <w:snapToGrid/>
          <w:sz w:val="20"/>
          <w:szCs w:val="20"/>
          <w:lang w:eastAsia="zh-TW"/>
        </w:rPr>
      </w:pPr>
      <w:r w:rsidRPr="00492174">
        <w:rPr>
          <w:rFonts w:ascii="Verdana" w:eastAsia="PMingLiU" w:hAnsi="Verdana"/>
          <w:snapToGrid/>
          <w:sz w:val="20"/>
          <w:szCs w:val="20"/>
          <w:lang w:eastAsia="zh-TW"/>
        </w:rPr>
        <w:t xml:space="preserve"> The EUMETNET </w:t>
      </w:r>
      <w:proofErr w:type="spellStart"/>
      <w:r w:rsidRPr="00492174">
        <w:rPr>
          <w:rFonts w:ascii="Verdana" w:eastAsia="PMingLiU" w:hAnsi="Verdana"/>
          <w:snapToGrid/>
          <w:sz w:val="20"/>
          <w:szCs w:val="20"/>
          <w:lang w:eastAsia="zh-TW"/>
        </w:rPr>
        <w:t>Obs</w:t>
      </w:r>
      <w:proofErr w:type="spellEnd"/>
      <w:r w:rsidRPr="00492174">
        <w:rPr>
          <w:rFonts w:ascii="Verdana" w:eastAsia="PMingLiU" w:hAnsi="Verdana"/>
          <w:snapToGrid/>
          <w:sz w:val="20"/>
          <w:szCs w:val="20"/>
          <w:lang w:eastAsia="zh-TW"/>
        </w:rPr>
        <w:t xml:space="preserve"> PM undertook a survey amongst all members to ascertain whether the development of an AMDAR Profile product similar to that provided by (TEMP) SONDE would be of use. The reply from the survey was an overwhelming yes, which has led to the development of the sequence below</w:t>
      </w:r>
      <w:r>
        <w:rPr>
          <w:rFonts w:ascii="Verdana" w:eastAsia="PMingLiU" w:hAnsi="Verdana"/>
          <w:snapToGrid/>
          <w:sz w:val="20"/>
          <w:szCs w:val="20"/>
          <w:lang w:eastAsia="zh-TW"/>
        </w:rPr>
        <w:t>.</w:t>
      </w:r>
    </w:p>
    <w:p w:rsidR="00C85327" w:rsidRDefault="00C85327" w:rsidP="00492174">
      <w:pPr>
        <w:rPr>
          <w:rFonts w:ascii="Verdana" w:hAnsi="Verdana"/>
          <w:sz w:val="20"/>
          <w:szCs w:val="20"/>
        </w:rPr>
      </w:pPr>
    </w:p>
    <w:p w:rsidR="00C85327" w:rsidRDefault="00C85327" w:rsidP="00492174">
      <w:pPr>
        <w:rPr>
          <w:rFonts w:ascii="Verdana" w:hAnsi="Verdana"/>
          <w:sz w:val="20"/>
          <w:szCs w:val="20"/>
        </w:rPr>
      </w:pPr>
      <w:r>
        <w:rPr>
          <w:rFonts w:ascii="Verdana" w:hAnsi="Verdana"/>
          <w:sz w:val="20"/>
          <w:szCs w:val="20"/>
        </w:rPr>
        <w:t xml:space="preserve">The sequence was initially put to the members of the IPET-CM at which time feedback was requested. A summary of the feedback / questions received is given </w:t>
      </w:r>
      <w:r w:rsidR="00E43669">
        <w:rPr>
          <w:rFonts w:ascii="Verdana" w:hAnsi="Verdana"/>
          <w:sz w:val="20"/>
          <w:szCs w:val="20"/>
        </w:rPr>
        <w:t>in the validation report.</w:t>
      </w:r>
    </w:p>
    <w:p w:rsidR="00C85327" w:rsidRDefault="00C85327" w:rsidP="00492174">
      <w:pPr>
        <w:rPr>
          <w:rFonts w:ascii="Verdana" w:hAnsi="Verdana"/>
          <w:sz w:val="20"/>
          <w:szCs w:val="20"/>
        </w:rPr>
      </w:pPr>
    </w:p>
    <w:p w:rsidR="009F245F" w:rsidRPr="00E176CA" w:rsidRDefault="009F245F" w:rsidP="009F245F">
      <w:pPr>
        <w:rPr>
          <w:rFonts w:ascii="Verdana" w:hAnsi="Verdana"/>
          <w:b/>
          <w:sz w:val="20"/>
          <w:szCs w:val="20"/>
        </w:rPr>
      </w:pPr>
      <w:r w:rsidRPr="00F35A04">
        <w:rPr>
          <w:rFonts w:ascii="Verdana" w:hAnsi="Verdana"/>
          <w:b/>
          <w:sz w:val="20"/>
          <w:szCs w:val="20"/>
        </w:rPr>
        <w:t>PROPOSAL</w:t>
      </w:r>
    </w:p>
    <w:p w:rsidR="00E176CA" w:rsidRDefault="00492174" w:rsidP="00EF7CF0">
      <w:pPr>
        <w:rPr>
          <w:rFonts w:ascii="Verdana" w:eastAsia="PMingLiU" w:hAnsi="Verdana"/>
          <w:snapToGrid/>
          <w:sz w:val="20"/>
          <w:szCs w:val="20"/>
          <w:lang w:eastAsia="zh-TW"/>
        </w:rPr>
      </w:pPr>
      <w:r w:rsidRPr="00492174">
        <w:rPr>
          <w:rFonts w:ascii="Verdana" w:eastAsia="PMingLiU" w:hAnsi="Verdana"/>
          <w:snapToGrid/>
          <w:sz w:val="20"/>
          <w:szCs w:val="20"/>
          <w:lang w:eastAsia="zh-TW"/>
        </w:rPr>
        <w:t xml:space="preserve">The BUFR data encoded by this sequence will be distributed on the GTS with the </w:t>
      </w:r>
      <w:proofErr w:type="spellStart"/>
      <w:r w:rsidRPr="00492174">
        <w:rPr>
          <w:rFonts w:ascii="Verdana" w:eastAsia="PMingLiU" w:hAnsi="Verdana"/>
          <w:snapToGrid/>
          <w:sz w:val="20"/>
          <w:szCs w:val="20"/>
          <w:lang w:eastAsia="zh-TW"/>
        </w:rPr>
        <w:t>TTAAii</w:t>
      </w:r>
      <w:proofErr w:type="spellEnd"/>
      <w:r w:rsidRPr="00492174">
        <w:rPr>
          <w:rFonts w:ascii="Verdana" w:eastAsia="PMingLiU" w:hAnsi="Verdana"/>
          <w:snapToGrid/>
          <w:sz w:val="20"/>
          <w:szCs w:val="20"/>
          <w:lang w:eastAsia="zh-TW"/>
        </w:rPr>
        <w:t xml:space="preserve"> CCCC   IUO[A-L]01 EGRR, where [A-L] represents the same geographical area as the normal AMDAR BUFR data.  </w:t>
      </w:r>
    </w:p>
    <w:p w:rsidR="00EF7CF0" w:rsidRDefault="00EF7CF0" w:rsidP="00EF7CF0">
      <w:pPr>
        <w:rPr>
          <w:rFonts w:ascii="Verdana" w:hAnsi="Verdana"/>
          <w:sz w:val="20"/>
          <w:szCs w:val="20"/>
          <w:lang w:val="en-US"/>
        </w:rPr>
      </w:pPr>
    </w:p>
    <w:p w:rsidR="00EF7CF0" w:rsidRDefault="00153912" w:rsidP="00EF7CF0">
      <w:pPr>
        <w:rPr>
          <w:rFonts w:ascii="Verdana" w:hAnsi="Verdana"/>
          <w:sz w:val="20"/>
          <w:szCs w:val="20"/>
          <w:lang w:val="en-US"/>
        </w:rPr>
      </w:pPr>
      <w:r>
        <w:rPr>
          <w:rFonts w:ascii="Verdana" w:hAnsi="Verdana"/>
          <w:sz w:val="20"/>
          <w:szCs w:val="20"/>
          <w:lang w:val="en-US"/>
        </w:rPr>
        <w:t>The new sequence is listed below along with an additional entry to Common Code Table 0 33 026.</w:t>
      </w: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Default="00EF7CF0" w:rsidP="00EF7CF0">
      <w:pPr>
        <w:rPr>
          <w:rFonts w:ascii="Verdana" w:hAnsi="Verdana"/>
          <w:sz w:val="20"/>
          <w:szCs w:val="20"/>
          <w:lang w:val="en-US"/>
        </w:rPr>
      </w:pPr>
    </w:p>
    <w:p w:rsidR="00EF7CF0" w:rsidRPr="00882C08" w:rsidRDefault="00EF7CF0" w:rsidP="00EF7CF0">
      <w:pPr>
        <w:rPr>
          <w:rFonts w:cs="Arial"/>
          <w:sz w:val="20"/>
          <w:szCs w:val="20"/>
          <w:lang w:val="en-US"/>
        </w:rPr>
      </w:pPr>
    </w:p>
    <w:tbl>
      <w:tblPr>
        <w:tblW w:w="0" w:type="auto"/>
        <w:tblInd w:w="113" w:type="dxa"/>
        <w:tblLayout w:type="fixed"/>
        <w:tblCellMar>
          <w:left w:w="113" w:type="dxa"/>
        </w:tblCellMar>
        <w:tblLook w:val="0000" w:firstRow="0" w:lastRow="0" w:firstColumn="0" w:lastColumn="0" w:noHBand="0" w:noVBand="0"/>
      </w:tblPr>
      <w:tblGrid>
        <w:gridCol w:w="1195"/>
        <w:gridCol w:w="1064"/>
        <w:gridCol w:w="3591"/>
        <w:gridCol w:w="2676"/>
      </w:tblGrid>
      <w:tr w:rsidR="00E176CA" w:rsidRPr="00E176CA" w:rsidTr="00882C08">
        <w:trPr>
          <w:cantSplit/>
        </w:trPr>
        <w:tc>
          <w:tcPr>
            <w:tcW w:w="8526" w:type="dxa"/>
            <w:gridSpan w:val="4"/>
            <w:tcBorders>
              <w:bottom w:val="single" w:sz="4" w:space="0" w:color="00000A"/>
            </w:tcBorders>
            <w:shd w:val="clear" w:color="auto" w:fill="auto"/>
          </w:tcPr>
          <w:p w:rsidR="004A7BAF" w:rsidRPr="00882C08" w:rsidRDefault="00E176CA" w:rsidP="004A7BAF">
            <w:pPr>
              <w:pStyle w:val="NormalWeb"/>
              <w:spacing w:before="0" w:beforeAutospacing="0" w:after="120" w:afterAutospacing="0"/>
              <w:jc w:val="center"/>
              <w:rPr>
                <w:rFonts w:ascii="Arial" w:eastAsia="MS Mincho" w:hAnsi="Arial" w:cs="Arial"/>
                <w:b/>
                <w:sz w:val="20"/>
                <w:szCs w:val="20"/>
              </w:rPr>
            </w:pPr>
            <w:r w:rsidRPr="00E176CA">
              <w:rPr>
                <w:rFonts w:ascii="Arial" w:eastAsia="MS Mincho" w:hAnsi="Arial" w:cs="Arial"/>
                <w:b/>
                <w:sz w:val="20"/>
                <w:szCs w:val="20"/>
              </w:rPr>
              <w:t xml:space="preserve">BUFR template for aircraft ascent/descent profile </w:t>
            </w:r>
          </w:p>
          <w:p w:rsidR="00EC5A71" w:rsidRPr="00882C08" w:rsidRDefault="00E176CA" w:rsidP="004A7BAF">
            <w:pPr>
              <w:pStyle w:val="NormalWeb"/>
              <w:spacing w:before="0" w:beforeAutospacing="0" w:after="120" w:afterAutospacing="0"/>
              <w:jc w:val="center"/>
              <w:rPr>
                <w:rFonts w:ascii="Arial" w:hAnsi="Arial" w:cs="Arial"/>
                <w:b/>
                <w:sz w:val="20"/>
                <w:szCs w:val="20"/>
              </w:rPr>
            </w:pPr>
            <w:r w:rsidRPr="00E176CA">
              <w:rPr>
                <w:rFonts w:ascii="Arial" w:eastAsia="MS Mincho" w:hAnsi="Arial" w:cs="Arial"/>
                <w:b/>
                <w:sz w:val="20"/>
                <w:szCs w:val="20"/>
              </w:rPr>
              <w:t>with latitude and long given for each level</w:t>
            </w:r>
          </w:p>
          <w:p w:rsidR="004A7BAF" w:rsidRPr="00E176CA" w:rsidRDefault="00913F4C" w:rsidP="00882C08">
            <w:pPr>
              <w:pStyle w:val="NormalWeb"/>
              <w:spacing w:before="0" w:beforeAutospacing="0" w:after="120" w:afterAutospacing="0"/>
              <w:jc w:val="center"/>
              <w:rPr>
                <w:rFonts w:ascii="Arial" w:hAnsi="Arial" w:cs="Arial"/>
                <w:b/>
                <w:sz w:val="20"/>
                <w:szCs w:val="20"/>
              </w:rPr>
            </w:pPr>
            <w:r w:rsidRPr="00882C08">
              <w:rPr>
                <w:rFonts w:ascii="Arial" w:hAnsi="Arial" w:cs="Arial"/>
                <w:b/>
                <w:sz w:val="20"/>
                <w:szCs w:val="20"/>
              </w:rPr>
              <w:t>(3 11 012</w:t>
            </w:r>
            <w:r w:rsidR="00EC5A71" w:rsidRPr="00882C08">
              <w:rPr>
                <w:rFonts w:ascii="Arial" w:hAnsi="Arial" w:cs="Arial"/>
                <w:b/>
                <w:sz w:val="20"/>
                <w:szCs w:val="20"/>
              </w:rPr>
              <w:t>)</w:t>
            </w:r>
          </w:p>
        </w:tc>
      </w:tr>
      <w:tr w:rsidR="00E176CA" w:rsidRPr="00E176CA" w:rsidTr="00A40574">
        <w:trPr>
          <w:cantSplit/>
        </w:trPr>
        <w:tc>
          <w:tcPr>
            <w:tcW w:w="2259" w:type="dxa"/>
            <w:gridSpan w:val="2"/>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jc w:val="center"/>
              <w:rPr>
                <w:rFonts w:cs="Arial"/>
                <w:snapToGrid/>
                <w:sz w:val="20"/>
                <w:szCs w:val="20"/>
              </w:rPr>
            </w:pPr>
            <w:r w:rsidRPr="00E176CA">
              <w:rPr>
                <w:rFonts w:cs="Arial"/>
                <w:b/>
                <w:snapToGrid/>
                <w:sz w:val="20"/>
                <w:szCs w:val="20"/>
              </w:rPr>
              <w:t>Table References</w:t>
            </w:r>
          </w:p>
        </w:tc>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176CA" w:rsidRPr="00E176CA" w:rsidRDefault="00E176CA" w:rsidP="00E176CA">
            <w:pPr>
              <w:jc w:val="center"/>
              <w:rPr>
                <w:rFonts w:cs="Arial"/>
                <w:snapToGrid/>
                <w:sz w:val="20"/>
                <w:szCs w:val="20"/>
              </w:rPr>
            </w:pPr>
            <w:r w:rsidRPr="00E176CA">
              <w:rPr>
                <w:rFonts w:cs="Arial"/>
                <w:b/>
                <w:snapToGrid/>
                <w:sz w:val="20"/>
                <w:szCs w:val="20"/>
              </w:rPr>
              <w:t>Element Name</w:t>
            </w:r>
          </w:p>
        </w:tc>
        <w:tc>
          <w:tcPr>
            <w:tcW w:w="26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176CA" w:rsidRPr="00E176CA" w:rsidRDefault="00E176CA" w:rsidP="00E176CA">
            <w:pPr>
              <w:jc w:val="center"/>
              <w:rPr>
                <w:rFonts w:cs="Arial"/>
                <w:snapToGrid/>
                <w:sz w:val="20"/>
                <w:szCs w:val="20"/>
              </w:rPr>
            </w:pPr>
            <w:r w:rsidRPr="00E176CA">
              <w:rPr>
                <w:rFonts w:cs="Arial"/>
                <w:b/>
                <w:snapToGrid/>
                <w:sz w:val="20"/>
                <w:szCs w:val="20"/>
              </w:rPr>
              <w:t>Element Description</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3 01 150</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 xml:space="preserve">0 01 125 </w:t>
            </w: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WIGOS identifier series</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Numeric, 0</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 xml:space="preserve">0 01 126 </w:t>
            </w: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WIGOS issuer of identifier</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Numeric, 0</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 xml:space="preserve">0 01 127 </w:t>
            </w: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WIGOS issue number</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Numeric, 0</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0 01 128</w:t>
            </w: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WIGOS local identifier (character)</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CCITT IA5</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0 01 008</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Aircraft registration number or other identification</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0 01 111</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Origination airport</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To be reported in case of an ascent profile</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0 01 112</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Destination airport</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To be reported in case of an descent profile</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3 01 011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Year, month, day</w:t>
            </w:r>
          </w:p>
        </w:tc>
        <w:tc>
          <w:tcPr>
            <w:tcW w:w="267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Date/Time and position of first level in profile (for ascent profile first report/take off, for descent profile last report/touch down)</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lang w:val="fr-FR"/>
              </w:rPr>
              <w:t>3 01 013</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lang w:val="fr-FR"/>
              </w:rP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Hour, Min, second</w:t>
            </w:r>
          </w:p>
        </w:tc>
        <w:tc>
          <w:tcPr>
            <w:tcW w:w="2676" w:type="dxa"/>
            <w:vMerge/>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3 01 021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lang w:val="fr-FR"/>
              </w:rPr>
              <w:t>Latitude/Longitude</w:t>
            </w:r>
          </w:p>
        </w:tc>
        <w:tc>
          <w:tcPr>
            <w:tcW w:w="2676" w:type="dxa"/>
            <w:vMerge/>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lang w:val="fr-FR"/>
              </w:rPr>
              <w:t>0 08 004</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lang w:val="fr-FR"/>
              </w:rP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 xml:space="preserve">Phase of flight </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Ascent</w:t>
            </w:r>
            <w:r w:rsidRPr="00E176CA">
              <w:rPr>
                <w:rFonts w:cs="Arial"/>
                <w:snapToGrid/>
                <w:sz w:val="20"/>
                <w:szCs w:val="20"/>
                <w:lang w:val="fr-FR"/>
              </w:rPr>
              <w:t xml:space="preserve"> or </w:t>
            </w:r>
            <w:proofErr w:type="spellStart"/>
            <w:r w:rsidRPr="00E176CA">
              <w:rPr>
                <w:rFonts w:cs="Arial"/>
                <w:snapToGrid/>
                <w:sz w:val="20"/>
                <w:szCs w:val="20"/>
                <w:lang w:val="fr-FR"/>
              </w:rPr>
              <w:t>descent</w:t>
            </w:r>
            <w:proofErr w:type="spellEnd"/>
            <w:r w:rsidRPr="00E176CA">
              <w:rPr>
                <w:rFonts w:cs="Arial"/>
                <w:snapToGrid/>
                <w:sz w:val="20"/>
                <w:szCs w:val="20"/>
                <w:lang w:val="fr-FR"/>
              </w:rPr>
              <w:t xml:space="preserve"> profile</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1 10 000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Delayed replication of 6 descriptors</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0 31 002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Extended delayed descriptor replication factor</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Number of levels following</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i/>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i/>
                <w:snapToGrid/>
                <w:sz w:val="20"/>
                <w:szCs w:val="20"/>
              </w:rPr>
            </w:pPr>
          </w:p>
        </w:tc>
        <w:tc>
          <w:tcPr>
            <w:tcW w:w="6267" w:type="dxa"/>
            <w:gridSpan w:val="2"/>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b/>
                <w:i/>
                <w:snapToGrid/>
                <w:sz w:val="20"/>
                <w:szCs w:val="20"/>
              </w:rPr>
              <w:t>(Aircraft ascent/descent profile data for one level with lat. long. Indicated)</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3 01 011</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Year, month, day</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Date of single level report</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lang w:val="fr-FR"/>
              </w:rPr>
              <w:t>3 01 013</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lang w:val="fr-FR"/>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Hour, Min, second</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Time of single level report</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3 11 007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lang w:val="fr-FR"/>
              </w:rPr>
              <w:t>0 07 010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Flight level</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lang w:val="fr-FR"/>
              </w:rPr>
              <w:t>Pressure altitude</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lang w:val="fr-FR"/>
              </w:rPr>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3 01 021</w:t>
            </w: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lang w:val="fr-FR"/>
              </w:rPr>
              <w:t>Latitude/Longitude</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0 11 001</w:t>
            </w: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Wind direction</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0 11 002</w:t>
            </w: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 xml:space="preserve">Wind speed </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0 02 064</w:t>
            </w: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Roll angle quality</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0 12 101</w:t>
            </w: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Temperature/dry-bulb temperature</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0 12 103</w:t>
            </w:r>
          </w:p>
        </w:tc>
        <w:tc>
          <w:tcPr>
            <w:tcW w:w="3591"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Dew-point temperature</w:t>
            </w:r>
          </w:p>
        </w:tc>
        <w:tc>
          <w:tcPr>
            <w:tcW w:w="2676" w:type="dxa"/>
            <w:tcBorders>
              <w:top w:val="single" w:sz="4" w:space="0" w:color="00000A"/>
              <w:left w:val="single" w:sz="4" w:space="0" w:color="00000A"/>
              <w:bottom w:val="single" w:sz="4" w:space="0" w:color="00000A"/>
              <w:right w:val="single" w:sz="4" w:space="0" w:color="00000A"/>
            </w:tcBorders>
            <w:shd w:val="clear" w:color="auto" w:fill="auto"/>
          </w:tcPr>
          <w:p w:rsidR="00E176CA" w:rsidRPr="00E176CA" w:rsidRDefault="00E176CA" w:rsidP="00E176CA">
            <w:pPr>
              <w:rPr>
                <w:rFonts w:cs="Arial"/>
                <w:snapToGrid/>
                <w:sz w:val="20"/>
                <w:szCs w:val="20"/>
              </w:rPr>
            </w:pPr>
            <w:r w:rsidRPr="00E176CA">
              <w:rPr>
                <w:rFonts w:cs="Arial"/>
                <w:snapToGrid/>
                <w:sz w:val="20"/>
                <w:szCs w:val="20"/>
              </w:rPr>
              <w:t xml:space="preserve">Value derived from Mixing ratio, </w:t>
            </w:r>
            <w:r w:rsidRPr="00E176CA">
              <w:rPr>
                <w:rFonts w:cs="Arial"/>
                <w:snapToGrid/>
                <w:color w:val="FF0000"/>
                <w:sz w:val="20"/>
                <w:szCs w:val="20"/>
                <w:highlight w:val="yellow"/>
              </w:rPr>
              <w:t>limited to Td ≤ T</w:t>
            </w:r>
            <w:r w:rsidRPr="00E176CA">
              <w:rPr>
                <w:rFonts w:cs="Arial"/>
                <w:snapToGrid/>
                <w:color w:val="FF0000"/>
                <w:sz w:val="20"/>
                <w:szCs w:val="20"/>
              </w:rPr>
              <w:t xml:space="preserve"> </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2 01 144</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Change data width</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2 02 133</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Change scale</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0 13 002</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Mixing ratio</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Originally measured value</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2 02 000</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Cancel change scale</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2 01 000</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Cancel change data width</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0 13 003</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Relative humidity</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 xml:space="preserve">Value derived from Mixing ratio, </w:t>
            </w:r>
            <w:r w:rsidRPr="00E176CA">
              <w:rPr>
                <w:rFonts w:cs="Arial"/>
                <w:snapToGrid/>
                <w:color w:val="FF0000"/>
                <w:sz w:val="20"/>
                <w:szCs w:val="20"/>
                <w:highlight w:val="yellow"/>
              </w:rPr>
              <w:t>limited to ≤ 100%</w:t>
            </w:r>
          </w:p>
        </w:tc>
      </w:tr>
      <w:tr w:rsidR="00E176CA" w:rsidRPr="00E176CA" w:rsidTr="00A40574">
        <w:trPr>
          <w:cantSplit/>
        </w:trPr>
        <w:tc>
          <w:tcPr>
            <w:tcW w:w="1195"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0 33 026</w:t>
            </w:r>
          </w:p>
        </w:tc>
        <w:tc>
          <w:tcPr>
            <w:tcW w:w="1064"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p>
        </w:tc>
        <w:tc>
          <w:tcPr>
            <w:tcW w:w="3591"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Moisture quality</w:t>
            </w:r>
          </w:p>
        </w:tc>
        <w:tc>
          <w:tcPr>
            <w:tcW w:w="2676" w:type="dxa"/>
            <w:tcBorders>
              <w:top w:val="single" w:sz="4" w:space="0" w:color="00000A"/>
              <w:left w:val="single" w:sz="4" w:space="0" w:color="00000A"/>
              <w:bottom w:val="single" w:sz="4" w:space="0" w:color="00000A"/>
              <w:right w:val="single" w:sz="4" w:space="0" w:color="00000A"/>
            </w:tcBorders>
            <w:shd w:val="clear" w:color="auto" w:fill="FBD4B4"/>
          </w:tcPr>
          <w:p w:rsidR="00E176CA" w:rsidRPr="00E176CA" w:rsidRDefault="00E176CA" w:rsidP="00E176CA">
            <w:pPr>
              <w:rPr>
                <w:rFonts w:cs="Arial"/>
                <w:snapToGrid/>
                <w:sz w:val="20"/>
                <w:szCs w:val="20"/>
              </w:rPr>
            </w:pPr>
            <w:r w:rsidRPr="00E176CA">
              <w:rPr>
                <w:rFonts w:cs="Arial"/>
                <w:snapToGrid/>
                <w:sz w:val="20"/>
                <w:szCs w:val="20"/>
              </w:rPr>
              <w:t xml:space="preserve">Code table </w:t>
            </w:r>
          </w:p>
          <w:p w:rsidR="00E176CA" w:rsidRPr="00E176CA" w:rsidRDefault="00E176CA" w:rsidP="00E176CA">
            <w:pPr>
              <w:rPr>
                <w:rFonts w:cs="Arial"/>
                <w:snapToGrid/>
                <w:sz w:val="20"/>
                <w:szCs w:val="20"/>
              </w:rPr>
            </w:pPr>
            <w:r w:rsidRPr="00E176CA">
              <w:rPr>
                <w:rFonts w:cs="Arial"/>
                <w:snapToGrid/>
                <w:color w:val="FF0000"/>
                <w:sz w:val="20"/>
                <w:szCs w:val="20"/>
                <w:highlight w:val="yellow"/>
              </w:rPr>
              <w:t>(report code figure 10 if Td &gt; T, see code table below)</w:t>
            </w:r>
          </w:p>
        </w:tc>
      </w:tr>
    </w:tbl>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p w:rsidR="00E176CA" w:rsidRDefault="00E176CA">
      <w:pPr>
        <w:jc w:val="both"/>
        <w:rPr>
          <w:rFonts w:ascii="Verdana" w:hAnsi="Verdana"/>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E176CA" w:rsidRPr="00E176CA" w:rsidTr="00A40574">
        <w:tc>
          <w:tcPr>
            <w:tcW w:w="9855" w:type="dxa"/>
            <w:gridSpan w:val="2"/>
            <w:tcMar>
              <w:top w:w="28" w:type="dxa"/>
              <w:bottom w:w="28" w:type="dxa"/>
            </w:tcMar>
          </w:tcPr>
          <w:p w:rsidR="00E176CA" w:rsidRPr="00E176CA" w:rsidRDefault="00E176CA" w:rsidP="00E176CA">
            <w:pPr>
              <w:jc w:val="center"/>
              <w:rPr>
                <w:rFonts w:ascii="Verdana" w:hAnsi="Verdana"/>
                <w:b/>
                <w:snapToGrid/>
                <w:lang w:eastAsia="zh-TW"/>
              </w:rPr>
            </w:pPr>
            <w:r w:rsidRPr="00E176CA">
              <w:rPr>
                <w:rFonts w:ascii="Verdana" w:hAnsi="Verdana"/>
                <w:b/>
                <w:snapToGrid/>
                <w:lang w:eastAsia="zh-TW"/>
              </w:rPr>
              <w:t>0 33 026</w:t>
            </w:r>
          </w:p>
          <w:p w:rsidR="00E176CA" w:rsidRPr="00E176CA" w:rsidRDefault="00E176CA" w:rsidP="00E176CA">
            <w:pPr>
              <w:jc w:val="center"/>
              <w:rPr>
                <w:rFonts w:ascii="Verdana" w:hAnsi="Verdana"/>
                <w:b/>
                <w:snapToGrid/>
                <w:lang w:eastAsia="zh-TW"/>
              </w:rPr>
            </w:pPr>
          </w:p>
        </w:tc>
      </w:tr>
      <w:tr w:rsidR="00E176CA" w:rsidRPr="00E176CA" w:rsidTr="00A40574">
        <w:tc>
          <w:tcPr>
            <w:tcW w:w="9855" w:type="dxa"/>
            <w:gridSpan w:val="2"/>
            <w:tcMar>
              <w:top w:w="28" w:type="dxa"/>
              <w:bottom w:w="28" w:type="dxa"/>
            </w:tcMar>
          </w:tcPr>
          <w:p w:rsidR="00E176CA" w:rsidRPr="00E176CA" w:rsidRDefault="00E176CA" w:rsidP="00E176CA">
            <w:pPr>
              <w:jc w:val="center"/>
              <w:rPr>
                <w:rFonts w:ascii="Verdana" w:hAnsi="Verdana"/>
                <w:b/>
                <w:snapToGrid/>
                <w:lang w:eastAsia="zh-TW"/>
              </w:rPr>
            </w:pPr>
            <w:r w:rsidRPr="00E176CA">
              <w:rPr>
                <w:rFonts w:ascii="Verdana" w:hAnsi="Verdana"/>
                <w:b/>
                <w:snapToGrid/>
                <w:lang w:eastAsia="zh-TW"/>
              </w:rPr>
              <w:t>Moisture Quality</w:t>
            </w:r>
          </w:p>
          <w:p w:rsidR="00E176CA" w:rsidRPr="00E176CA" w:rsidRDefault="00E176CA" w:rsidP="00E176CA">
            <w:pPr>
              <w:jc w:val="center"/>
              <w:rPr>
                <w:rFonts w:ascii="Verdana" w:hAnsi="Verdana"/>
                <w:b/>
                <w:snapToGrid/>
                <w:lang w:eastAsia="zh-TW"/>
              </w:rPr>
            </w:pPr>
          </w:p>
        </w:tc>
      </w:tr>
      <w:tr w:rsidR="00E176CA" w:rsidRPr="00E176CA" w:rsidTr="00A40574">
        <w:tc>
          <w:tcPr>
            <w:tcW w:w="1101" w:type="dxa"/>
            <w:tcMar>
              <w:top w:w="28" w:type="dxa"/>
              <w:bottom w:w="28" w:type="dxa"/>
            </w:tcMar>
          </w:tcPr>
          <w:p w:rsidR="00E176CA" w:rsidRPr="00E176CA" w:rsidRDefault="00E176CA" w:rsidP="00E176CA">
            <w:pPr>
              <w:rPr>
                <w:rFonts w:ascii="Verdana" w:hAnsi="Verdana"/>
                <w:b/>
                <w:snapToGrid/>
                <w:lang w:eastAsia="zh-TW"/>
              </w:rPr>
            </w:pPr>
            <w:r w:rsidRPr="00E176CA">
              <w:rPr>
                <w:rFonts w:ascii="Verdana" w:hAnsi="Verdana"/>
                <w:b/>
                <w:snapToGrid/>
                <w:lang w:eastAsia="zh-TW"/>
              </w:rPr>
              <w:t>Code Figure</w:t>
            </w:r>
          </w:p>
          <w:p w:rsidR="00E176CA" w:rsidRPr="00E176CA" w:rsidRDefault="00E176CA" w:rsidP="00E176CA">
            <w:pPr>
              <w:rPr>
                <w:rFonts w:ascii="Verdana" w:hAnsi="Verdana"/>
                <w:b/>
                <w:snapToGrid/>
                <w:lang w:eastAsia="zh-TW"/>
              </w:rPr>
            </w:pPr>
          </w:p>
        </w:tc>
        <w:tc>
          <w:tcPr>
            <w:tcW w:w="8754" w:type="dxa"/>
            <w:tcMar>
              <w:top w:w="28" w:type="dxa"/>
              <w:bottom w:w="28" w:type="dxa"/>
            </w:tcMar>
          </w:tcPr>
          <w:p w:rsidR="00E176CA" w:rsidRPr="00E176CA" w:rsidRDefault="00E176CA" w:rsidP="00E176CA">
            <w:pPr>
              <w:rPr>
                <w:rFonts w:ascii="Verdana" w:hAnsi="Verdana"/>
                <w:snapToGrid/>
                <w:lang w:eastAsia="zh-TW"/>
              </w:rPr>
            </w:pP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0</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Normal Operations – Measurement Mode</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1</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Normal Operations – Non Measurement Mode</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2</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Small RH</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3</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Humidity Element is wet</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4</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Humidity Element Contained</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5</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Heater Fail</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6</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 xml:space="preserve">Heater Fail and wet/contaminated Humidity Element </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7</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 xml:space="preserve">At Least one of the input parameters used in the calculation of the mixing ratio is invalid. </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8</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Numeric Error</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9</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Sensor not installed</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color w:val="FF0000"/>
                <w:lang w:eastAsia="zh-TW"/>
              </w:rPr>
            </w:pPr>
            <w:r w:rsidRPr="00E176CA">
              <w:rPr>
                <w:rFonts w:ascii="Verdana" w:hAnsi="Verdana"/>
                <w:snapToGrid/>
                <w:color w:val="FF0000"/>
                <w:lang w:eastAsia="zh-TW"/>
              </w:rPr>
              <w:t>10</w:t>
            </w:r>
          </w:p>
        </w:tc>
        <w:tc>
          <w:tcPr>
            <w:tcW w:w="8754" w:type="dxa"/>
            <w:tcMar>
              <w:top w:w="28" w:type="dxa"/>
              <w:bottom w:w="28" w:type="dxa"/>
            </w:tcMar>
          </w:tcPr>
          <w:p w:rsidR="00E176CA" w:rsidRPr="00E176CA" w:rsidRDefault="00E176CA" w:rsidP="00E176CA">
            <w:pPr>
              <w:rPr>
                <w:rFonts w:ascii="Verdana" w:hAnsi="Verdana"/>
                <w:snapToGrid/>
                <w:color w:val="FF0000"/>
                <w:lang w:eastAsia="zh-TW"/>
              </w:rPr>
            </w:pPr>
            <w:r w:rsidRPr="00E176CA">
              <w:rPr>
                <w:rFonts w:ascii="Verdana" w:hAnsi="Verdana"/>
                <w:snapToGrid/>
                <w:color w:val="FF0000"/>
                <w:lang w:eastAsia="zh-TW"/>
              </w:rPr>
              <w:t>Calculated RH &gt; 100%</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 xml:space="preserve">11 </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Input laser power too low</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12</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Probe VW temperature out of range</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13</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Probe VW pressure out of range</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14</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Spectral line out of range</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15</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No laser output</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16 - 62</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Reserved</w:t>
            </w:r>
          </w:p>
        </w:tc>
      </w:tr>
      <w:tr w:rsidR="00E176CA" w:rsidRPr="00E176CA" w:rsidTr="00A40574">
        <w:tc>
          <w:tcPr>
            <w:tcW w:w="1101"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63</w:t>
            </w:r>
          </w:p>
        </w:tc>
        <w:tc>
          <w:tcPr>
            <w:tcW w:w="8754" w:type="dxa"/>
            <w:tcMar>
              <w:top w:w="28" w:type="dxa"/>
              <w:bottom w:w="28" w:type="dxa"/>
            </w:tcMar>
          </w:tcPr>
          <w:p w:rsidR="00E176CA" w:rsidRPr="00E176CA" w:rsidRDefault="00E176CA" w:rsidP="00E176CA">
            <w:pPr>
              <w:rPr>
                <w:rFonts w:ascii="Verdana" w:hAnsi="Verdana"/>
                <w:snapToGrid/>
                <w:lang w:eastAsia="zh-TW"/>
              </w:rPr>
            </w:pPr>
            <w:r w:rsidRPr="00E176CA">
              <w:rPr>
                <w:rFonts w:ascii="Verdana" w:hAnsi="Verdana"/>
                <w:snapToGrid/>
                <w:lang w:eastAsia="zh-TW"/>
              </w:rPr>
              <w:t>Missing Value</w:t>
            </w:r>
          </w:p>
        </w:tc>
      </w:tr>
    </w:tbl>
    <w:p w:rsidR="00E176CA" w:rsidRPr="00E176CA" w:rsidRDefault="00E176CA" w:rsidP="00E176CA">
      <w:pPr>
        <w:rPr>
          <w:rFonts w:ascii="Verdana" w:eastAsia="PMingLiU" w:hAnsi="Verdana"/>
          <w:snapToGrid/>
          <w:lang w:eastAsia="zh-TW"/>
        </w:rPr>
      </w:pPr>
    </w:p>
    <w:p w:rsidR="00E176CA" w:rsidRDefault="00E176C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Default="00942A1A">
      <w:pPr>
        <w:jc w:val="both"/>
        <w:rPr>
          <w:rFonts w:ascii="Verdana" w:hAnsi="Verdana"/>
          <w:sz w:val="20"/>
          <w:szCs w:val="20"/>
          <w:lang w:val="en-US"/>
        </w:rPr>
      </w:pPr>
    </w:p>
    <w:p w:rsidR="00942A1A" w:rsidRPr="00942A1A" w:rsidRDefault="00942A1A">
      <w:pPr>
        <w:jc w:val="both"/>
        <w:rPr>
          <w:rFonts w:ascii="Verdana" w:hAnsi="Verdana" w:cs="Arial"/>
          <w:sz w:val="20"/>
          <w:szCs w:val="20"/>
        </w:rPr>
      </w:pPr>
      <w:r w:rsidRPr="00942A1A">
        <w:rPr>
          <w:rFonts w:ascii="Verdana" w:hAnsi="Verdana"/>
          <w:b/>
          <w:sz w:val="20"/>
          <w:szCs w:val="20"/>
          <w:lang w:val="en-US"/>
        </w:rPr>
        <w:lastRenderedPageBreak/>
        <w:t>Validation Report</w:t>
      </w:r>
      <w:r w:rsidRPr="00942A1A">
        <w:rPr>
          <w:rFonts w:ascii="Verdana" w:hAnsi="Verdana"/>
          <w:sz w:val="20"/>
          <w:szCs w:val="20"/>
          <w:lang w:val="en-US"/>
        </w:rPr>
        <w:t xml:space="preserve"> – </w:t>
      </w:r>
      <w:r w:rsidRPr="00942A1A">
        <w:rPr>
          <w:rFonts w:ascii="Verdana" w:hAnsi="Verdana" w:cs="Arial"/>
          <w:sz w:val="20"/>
          <w:szCs w:val="20"/>
        </w:rPr>
        <w:t>BUFR sequence for AMDAR Profile products</w:t>
      </w:r>
    </w:p>
    <w:p w:rsidR="00942A1A" w:rsidRPr="00942A1A" w:rsidRDefault="00942A1A">
      <w:pPr>
        <w:jc w:val="both"/>
        <w:rPr>
          <w:rFonts w:ascii="Verdana" w:hAnsi="Verdana"/>
          <w:sz w:val="20"/>
          <w:szCs w:val="20"/>
          <w:lang w:val="en-US"/>
        </w:rPr>
      </w:pPr>
    </w:p>
    <w:p w:rsidR="00942A1A" w:rsidRDefault="00942A1A" w:rsidP="00942A1A">
      <w:pPr>
        <w:pStyle w:val="ListParagraph"/>
        <w:numPr>
          <w:ilvl w:val="0"/>
          <w:numId w:val="2"/>
        </w:numPr>
        <w:ind w:left="641" w:hanging="357"/>
        <w:jc w:val="both"/>
        <w:rPr>
          <w:rFonts w:ascii="Verdana" w:hAnsi="Verdana"/>
          <w:b/>
          <w:sz w:val="20"/>
          <w:szCs w:val="20"/>
          <w:lang w:val="en-US"/>
        </w:rPr>
      </w:pPr>
      <w:r w:rsidRPr="00942A1A">
        <w:rPr>
          <w:rFonts w:ascii="Verdana" w:hAnsi="Verdana"/>
          <w:b/>
          <w:sz w:val="20"/>
          <w:szCs w:val="20"/>
          <w:lang w:val="en-US"/>
        </w:rPr>
        <w:t xml:space="preserve">Responsible Organization(s) </w:t>
      </w:r>
    </w:p>
    <w:p w:rsidR="00942A1A" w:rsidRPr="00942A1A" w:rsidRDefault="00942A1A" w:rsidP="00942A1A">
      <w:pPr>
        <w:pStyle w:val="ListParagraph"/>
        <w:ind w:left="641"/>
        <w:jc w:val="both"/>
        <w:rPr>
          <w:rFonts w:ascii="Verdana" w:hAnsi="Verdana"/>
          <w:b/>
          <w:sz w:val="20"/>
          <w:szCs w:val="20"/>
          <w:lang w:val="en-US"/>
        </w:rPr>
      </w:pPr>
      <w:r w:rsidRPr="00942A1A">
        <w:rPr>
          <w:rFonts w:ascii="Verdana" w:hAnsi="Verdana"/>
          <w:sz w:val="20"/>
          <w:szCs w:val="20"/>
          <w:lang w:val="en-US"/>
        </w:rPr>
        <w:t xml:space="preserve">UK Met Office </w:t>
      </w:r>
    </w:p>
    <w:p w:rsidR="00942A1A" w:rsidRPr="00942A1A" w:rsidRDefault="00942A1A" w:rsidP="00942A1A">
      <w:pPr>
        <w:jc w:val="both"/>
        <w:rPr>
          <w:rFonts w:ascii="Verdana" w:hAnsi="Verdana"/>
          <w:sz w:val="20"/>
          <w:szCs w:val="20"/>
          <w:lang w:val="en-US"/>
        </w:rPr>
      </w:pPr>
      <w:r w:rsidRPr="00942A1A">
        <w:rPr>
          <w:rFonts w:ascii="Verdana" w:hAnsi="Verdana"/>
          <w:sz w:val="20"/>
          <w:szCs w:val="20"/>
          <w:lang w:val="en-US"/>
        </w:rPr>
        <w:t xml:space="preserve">    </w:t>
      </w:r>
      <w:r>
        <w:rPr>
          <w:rFonts w:ascii="Verdana" w:hAnsi="Verdana"/>
          <w:sz w:val="20"/>
          <w:szCs w:val="20"/>
          <w:lang w:val="en-US"/>
        </w:rPr>
        <w:t xml:space="preserve">     </w:t>
      </w:r>
      <w:r w:rsidRPr="00942A1A">
        <w:rPr>
          <w:rFonts w:ascii="Verdana" w:hAnsi="Verdana"/>
          <w:sz w:val="20"/>
          <w:szCs w:val="20"/>
          <w:lang w:val="en-US"/>
        </w:rPr>
        <w:t xml:space="preserve">Deutscher Wetterdienst (DWD) </w:t>
      </w:r>
    </w:p>
    <w:p w:rsidR="00942A1A" w:rsidRPr="00942A1A" w:rsidRDefault="00942A1A" w:rsidP="00942A1A">
      <w:pPr>
        <w:jc w:val="both"/>
        <w:rPr>
          <w:rFonts w:ascii="Verdana" w:hAnsi="Verdana"/>
          <w:sz w:val="20"/>
          <w:szCs w:val="20"/>
          <w:lang w:val="en-US"/>
        </w:rPr>
      </w:pPr>
    </w:p>
    <w:p w:rsidR="00942A1A" w:rsidRDefault="00942A1A" w:rsidP="00942A1A">
      <w:pPr>
        <w:pStyle w:val="ListParagraph"/>
        <w:numPr>
          <w:ilvl w:val="0"/>
          <w:numId w:val="2"/>
        </w:numPr>
        <w:ind w:left="641" w:hanging="357"/>
        <w:jc w:val="both"/>
        <w:rPr>
          <w:rFonts w:ascii="Verdana" w:hAnsi="Verdana"/>
          <w:b/>
          <w:sz w:val="20"/>
          <w:szCs w:val="20"/>
          <w:lang w:val="en-US"/>
        </w:rPr>
      </w:pPr>
      <w:r w:rsidRPr="00942A1A">
        <w:rPr>
          <w:rFonts w:ascii="Verdana" w:hAnsi="Verdana"/>
          <w:b/>
          <w:sz w:val="20"/>
          <w:szCs w:val="20"/>
          <w:lang w:val="en-US"/>
        </w:rPr>
        <w:t>Requirements and Proposals</w:t>
      </w:r>
    </w:p>
    <w:p w:rsidR="00942A1A" w:rsidRDefault="00942A1A" w:rsidP="00942A1A">
      <w:pPr>
        <w:pStyle w:val="ListParagraph"/>
        <w:ind w:left="641"/>
        <w:jc w:val="both"/>
        <w:rPr>
          <w:rFonts w:ascii="Verdana" w:hAnsi="Verdana"/>
          <w:sz w:val="20"/>
          <w:szCs w:val="20"/>
          <w:lang w:val="en-US"/>
        </w:rPr>
      </w:pPr>
      <w:r w:rsidRPr="00942A1A">
        <w:rPr>
          <w:rFonts w:ascii="Verdana" w:hAnsi="Verdana"/>
          <w:sz w:val="20"/>
          <w:szCs w:val="20"/>
          <w:lang w:val="en-US"/>
        </w:rPr>
        <w:t>The validated sequence</w:t>
      </w:r>
      <w:r w:rsidR="00E40B80">
        <w:rPr>
          <w:rFonts w:ascii="Verdana" w:hAnsi="Verdana"/>
          <w:sz w:val="20"/>
          <w:szCs w:val="20"/>
          <w:lang w:val="en-US"/>
        </w:rPr>
        <w:t xml:space="preserve"> will provide the means of visualizing AMDAR Ascent and Descent data </w:t>
      </w:r>
      <w:r w:rsidR="00153912">
        <w:rPr>
          <w:rFonts w:ascii="Verdana" w:hAnsi="Verdana"/>
          <w:sz w:val="20"/>
          <w:szCs w:val="20"/>
          <w:lang w:val="en-US"/>
        </w:rPr>
        <w:t>in a more effective manner.</w:t>
      </w:r>
    </w:p>
    <w:p w:rsidR="00153912" w:rsidRDefault="00153912" w:rsidP="00942A1A">
      <w:pPr>
        <w:pStyle w:val="ListParagraph"/>
        <w:ind w:left="641"/>
        <w:jc w:val="both"/>
        <w:rPr>
          <w:rFonts w:ascii="Verdana" w:hAnsi="Verdana"/>
          <w:b/>
          <w:sz w:val="20"/>
          <w:szCs w:val="20"/>
          <w:lang w:val="en-US"/>
        </w:rPr>
      </w:pPr>
    </w:p>
    <w:p w:rsidR="00153912" w:rsidRDefault="00153912" w:rsidP="00942A1A">
      <w:pPr>
        <w:pStyle w:val="ListParagraph"/>
        <w:ind w:left="641"/>
        <w:jc w:val="both"/>
        <w:rPr>
          <w:rFonts w:ascii="Verdana" w:hAnsi="Verdana"/>
          <w:sz w:val="20"/>
          <w:szCs w:val="20"/>
          <w:lang w:val="en-US"/>
        </w:rPr>
      </w:pPr>
      <w:r w:rsidRPr="00153912">
        <w:rPr>
          <w:rFonts w:ascii="Verdana" w:hAnsi="Verdana"/>
          <w:sz w:val="20"/>
          <w:szCs w:val="20"/>
          <w:lang w:val="en-US"/>
        </w:rPr>
        <w:t xml:space="preserve">The </w:t>
      </w:r>
      <w:r>
        <w:rPr>
          <w:rFonts w:ascii="Verdana" w:hAnsi="Verdana"/>
          <w:sz w:val="20"/>
          <w:szCs w:val="20"/>
          <w:lang w:val="en-US"/>
        </w:rPr>
        <w:t xml:space="preserve">validation of the new sequence requires </w:t>
      </w:r>
      <w:r w:rsidR="0017261B">
        <w:rPr>
          <w:rFonts w:ascii="Verdana" w:hAnsi="Verdana"/>
          <w:sz w:val="20"/>
          <w:szCs w:val="20"/>
          <w:lang w:val="en-US"/>
        </w:rPr>
        <w:t>additions to</w:t>
      </w:r>
      <w:r>
        <w:rPr>
          <w:rFonts w:ascii="Verdana" w:hAnsi="Verdana"/>
          <w:sz w:val="20"/>
          <w:szCs w:val="20"/>
          <w:lang w:val="en-US"/>
        </w:rPr>
        <w:t xml:space="preserve"> common code table 0 33 026.</w:t>
      </w:r>
    </w:p>
    <w:p w:rsidR="00153912" w:rsidRDefault="00153912" w:rsidP="00153912">
      <w:pPr>
        <w:jc w:val="both"/>
        <w:rPr>
          <w:rFonts w:ascii="Verdana" w:hAnsi="Verdana"/>
          <w:sz w:val="20"/>
          <w:szCs w:val="20"/>
          <w:lang w:val="en-US"/>
        </w:rPr>
      </w:pPr>
    </w:p>
    <w:p w:rsidR="00153912" w:rsidRPr="00C85327" w:rsidRDefault="00153912" w:rsidP="00153912">
      <w:pPr>
        <w:pStyle w:val="ListParagraph"/>
        <w:numPr>
          <w:ilvl w:val="0"/>
          <w:numId w:val="2"/>
        </w:numPr>
        <w:jc w:val="both"/>
        <w:rPr>
          <w:rFonts w:ascii="Verdana" w:hAnsi="Verdana"/>
          <w:b/>
          <w:sz w:val="20"/>
          <w:szCs w:val="20"/>
          <w:lang w:val="en-US"/>
        </w:rPr>
      </w:pPr>
      <w:r w:rsidRPr="00C85327">
        <w:rPr>
          <w:rFonts w:ascii="Verdana" w:hAnsi="Verdana"/>
          <w:b/>
          <w:sz w:val="20"/>
          <w:szCs w:val="20"/>
          <w:lang w:val="en-US"/>
        </w:rPr>
        <w:t>Description of the proposal</w:t>
      </w:r>
    </w:p>
    <w:p w:rsidR="00C85327" w:rsidRDefault="00C85327" w:rsidP="00C85327">
      <w:pPr>
        <w:pStyle w:val="ListParagraph"/>
        <w:jc w:val="both"/>
        <w:rPr>
          <w:rFonts w:ascii="Verdana" w:hAnsi="Verdana"/>
          <w:sz w:val="20"/>
          <w:szCs w:val="20"/>
          <w:lang w:val="en-US"/>
        </w:rPr>
      </w:pPr>
      <w:r>
        <w:rPr>
          <w:rFonts w:ascii="Verdana" w:hAnsi="Verdana"/>
          <w:sz w:val="20"/>
          <w:szCs w:val="20"/>
          <w:lang w:val="en-US"/>
        </w:rPr>
        <w:t xml:space="preserve">See ‘Discussions’ and ‘Proposals </w:t>
      </w:r>
      <w:r w:rsidR="00C91B0B">
        <w:rPr>
          <w:rFonts w:ascii="Verdana" w:hAnsi="Verdana"/>
          <w:sz w:val="20"/>
          <w:szCs w:val="20"/>
          <w:lang w:val="en-US"/>
        </w:rPr>
        <w:t>‘in</w:t>
      </w:r>
      <w:r>
        <w:rPr>
          <w:rFonts w:ascii="Verdana" w:hAnsi="Verdana"/>
          <w:sz w:val="20"/>
          <w:szCs w:val="20"/>
          <w:lang w:val="en-US"/>
        </w:rPr>
        <w:t xml:space="preserve"> the above document.</w:t>
      </w:r>
    </w:p>
    <w:p w:rsidR="00C85327" w:rsidRDefault="00C85327" w:rsidP="00C85327">
      <w:pPr>
        <w:jc w:val="both"/>
        <w:rPr>
          <w:rFonts w:ascii="Verdana" w:hAnsi="Verdana"/>
          <w:sz w:val="20"/>
          <w:szCs w:val="20"/>
          <w:lang w:val="en-US"/>
        </w:rPr>
      </w:pPr>
    </w:p>
    <w:p w:rsidR="00C85327" w:rsidRPr="00C85327" w:rsidRDefault="00C85327" w:rsidP="00C85327">
      <w:pPr>
        <w:pStyle w:val="ListParagraph"/>
        <w:numPr>
          <w:ilvl w:val="0"/>
          <w:numId w:val="2"/>
        </w:numPr>
        <w:jc w:val="both"/>
        <w:rPr>
          <w:rFonts w:ascii="Verdana" w:hAnsi="Verdana"/>
          <w:b/>
          <w:sz w:val="20"/>
          <w:szCs w:val="20"/>
          <w:lang w:val="en-US"/>
        </w:rPr>
      </w:pPr>
      <w:r w:rsidRPr="00C85327">
        <w:rPr>
          <w:rFonts w:ascii="Verdana" w:hAnsi="Verdana"/>
          <w:b/>
          <w:sz w:val="20"/>
          <w:szCs w:val="20"/>
          <w:lang w:val="en-US"/>
        </w:rPr>
        <w:t>Proposed implementation date and procedure.</w:t>
      </w:r>
    </w:p>
    <w:p w:rsidR="00C85327" w:rsidRDefault="00C85327" w:rsidP="00C85327">
      <w:pPr>
        <w:pStyle w:val="ListParagraph"/>
        <w:jc w:val="both"/>
        <w:rPr>
          <w:rFonts w:ascii="Verdana" w:hAnsi="Verdana"/>
          <w:sz w:val="20"/>
          <w:szCs w:val="20"/>
          <w:lang w:val="en-US"/>
        </w:rPr>
      </w:pPr>
      <w:r>
        <w:rPr>
          <w:rFonts w:ascii="Verdana" w:hAnsi="Verdana"/>
          <w:sz w:val="20"/>
          <w:szCs w:val="20"/>
          <w:lang w:val="en-US"/>
        </w:rPr>
        <w:t>November 2019 Fast Track 2019-2</w:t>
      </w:r>
    </w:p>
    <w:p w:rsidR="00E43669" w:rsidRDefault="00E43669" w:rsidP="00E43669">
      <w:pPr>
        <w:jc w:val="both"/>
        <w:rPr>
          <w:rFonts w:ascii="Verdana" w:hAnsi="Verdana"/>
          <w:sz w:val="20"/>
          <w:szCs w:val="20"/>
          <w:lang w:val="en-US"/>
        </w:rPr>
      </w:pPr>
    </w:p>
    <w:p w:rsidR="00E43669" w:rsidRPr="005D3369" w:rsidRDefault="00E43669" w:rsidP="00E43669">
      <w:pPr>
        <w:pStyle w:val="ListParagraph"/>
        <w:numPr>
          <w:ilvl w:val="0"/>
          <w:numId w:val="2"/>
        </w:numPr>
        <w:jc w:val="both"/>
        <w:rPr>
          <w:rFonts w:ascii="Verdana" w:hAnsi="Verdana"/>
          <w:b/>
          <w:sz w:val="20"/>
          <w:szCs w:val="20"/>
          <w:lang w:val="en-US"/>
        </w:rPr>
      </w:pPr>
      <w:r w:rsidRPr="005D3369">
        <w:rPr>
          <w:rFonts w:ascii="Verdana" w:hAnsi="Verdana"/>
          <w:b/>
          <w:sz w:val="20"/>
          <w:szCs w:val="20"/>
          <w:lang w:val="en-US"/>
        </w:rPr>
        <w:t>Result and period of discussions</w:t>
      </w:r>
    </w:p>
    <w:p w:rsidR="00E43669" w:rsidRDefault="00E43669" w:rsidP="00E43669">
      <w:pPr>
        <w:pStyle w:val="ListParagraph"/>
        <w:jc w:val="both"/>
        <w:rPr>
          <w:rFonts w:ascii="Verdana" w:hAnsi="Verdana"/>
          <w:sz w:val="20"/>
          <w:szCs w:val="20"/>
          <w:lang w:val="en-US"/>
        </w:rPr>
      </w:pPr>
      <w:r>
        <w:rPr>
          <w:rFonts w:ascii="Verdana" w:hAnsi="Verdana"/>
          <w:sz w:val="20"/>
          <w:szCs w:val="20"/>
          <w:lang w:val="en-US"/>
        </w:rPr>
        <w:t xml:space="preserve">Prior to the validation, the sequence was circulated to Team Members. A record of the feedback </w:t>
      </w:r>
      <w:r w:rsidR="0017261B">
        <w:rPr>
          <w:rFonts w:ascii="Verdana" w:hAnsi="Verdana"/>
          <w:sz w:val="20"/>
          <w:szCs w:val="20"/>
          <w:lang w:val="en-US"/>
        </w:rPr>
        <w:t xml:space="preserve">received </w:t>
      </w:r>
      <w:r>
        <w:rPr>
          <w:rFonts w:ascii="Verdana" w:hAnsi="Verdana"/>
          <w:sz w:val="20"/>
          <w:szCs w:val="20"/>
          <w:lang w:val="en-US"/>
        </w:rPr>
        <w:t xml:space="preserve">and answers given </w:t>
      </w:r>
      <w:r w:rsidR="005D3369">
        <w:rPr>
          <w:rFonts w:ascii="Verdana" w:hAnsi="Verdana"/>
          <w:sz w:val="20"/>
          <w:szCs w:val="20"/>
          <w:lang w:val="en-US"/>
        </w:rPr>
        <w:t>are</w:t>
      </w:r>
      <w:r w:rsidR="0017261B">
        <w:rPr>
          <w:rFonts w:ascii="Verdana" w:hAnsi="Verdana"/>
          <w:sz w:val="20"/>
          <w:szCs w:val="20"/>
          <w:lang w:val="en-US"/>
        </w:rPr>
        <w:t xml:space="preserve"> as </w:t>
      </w:r>
      <w:r>
        <w:rPr>
          <w:rFonts w:ascii="Verdana" w:hAnsi="Verdana"/>
          <w:sz w:val="20"/>
          <w:szCs w:val="20"/>
          <w:lang w:val="en-US"/>
        </w:rPr>
        <w:t xml:space="preserve"> listed below –</w:t>
      </w:r>
    </w:p>
    <w:p w:rsidR="00E43669" w:rsidRPr="005D3369" w:rsidRDefault="00E43669" w:rsidP="00E43669">
      <w:pPr>
        <w:pStyle w:val="ListParagraph"/>
        <w:jc w:val="both"/>
        <w:rPr>
          <w:rFonts w:ascii="Verdana" w:hAnsi="Verdana"/>
          <w:b/>
          <w:sz w:val="20"/>
          <w:szCs w:val="20"/>
          <w:lang w:val="en-US"/>
        </w:rPr>
      </w:pPr>
    </w:p>
    <w:p w:rsidR="005D3369" w:rsidRPr="005D3369" w:rsidRDefault="005D3369" w:rsidP="005D3369">
      <w:pPr>
        <w:pStyle w:val="ListParagraph"/>
        <w:numPr>
          <w:ilvl w:val="0"/>
          <w:numId w:val="8"/>
        </w:numPr>
        <w:rPr>
          <w:rFonts w:ascii="Times New Roman" w:eastAsia="Times New Roman" w:hAnsi="Times New Roman"/>
          <w:snapToGrid/>
          <w:color w:val="FF0000"/>
          <w:sz w:val="24"/>
          <w:szCs w:val="24"/>
          <w:lang w:eastAsia="en-GB"/>
        </w:rPr>
      </w:pPr>
      <w:r w:rsidRPr="005D3369">
        <w:rPr>
          <w:rFonts w:ascii="Calibri" w:eastAsia="Times New Roman" w:hAnsi="Calibri"/>
          <w:b/>
          <w:snapToGrid/>
          <w:color w:val="000000"/>
          <w:sz w:val="24"/>
          <w:szCs w:val="24"/>
          <w:lang w:val="en-AU" w:eastAsia="en-GB"/>
        </w:rPr>
        <w:t>Why do we need a new template? What is proposed application/user requirement that this will address?</w:t>
      </w:r>
      <w:r w:rsidRPr="005D3369">
        <w:rPr>
          <w:rFonts w:ascii="Calibri" w:eastAsia="Times New Roman" w:hAnsi="Calibri"/>
          <w:snapToGrid/>
          <w:color w:val="1F497D"/>
          <w:sz w:val="24"/>
          <w:szCs w:val="24"/>
          <w:lang w:val="en-AU" w:eastAsia="en-GB"/>
        </w:rPr>
        <w:br/>
        <w:t xml:space="preserve">When the E-AMDAR Programme was first established in 1999 the main purpose was to serve NWP user needs and to provide single level AMDAR (aircraft) data. User needs have evolved over the years. Today especially the forecasting sections of NMHSs have strong needs to use AMDAR profile data in a similar way and in addition to radiosonde soundings (i.e. profiles) but not all </w:t>
      </w:r>
      <w:proofErr w:type="spellStart"/>
      <w:r w:rsidRPr="005D3369">
        <w:rPr>
          <w:rFonts w:ascii="Calibri" w:eastAsia="Times New Roman" w:hAnsi="Calibri"/>
          <w:snapToGrid/>
          <w:color w:val="1F497D"/>
          <w:sz w:val="24"/>
          <w:szCs w:val="24"/>
          <w:lang w:val="en-AU" w:eastAsia="en-GB"/>
        </w:rPr>
        <w:t>NMHSes</w:t>
      </w:r>
      <w:proofErr w:type="spellEnd"/>
      <w:r w:rsidRPr="005D3369">
        <w:rPr>
          <w:rFonts w:ascii="Calibri" w:eastAsia="Times New Roman" w:hAnsi="Calibri"/>
          <w:snapToGrid/>
          <w:color w:val="1F497D"/>
          <w:sz w:val="24"/>
          <w:szCs w:val="24"/>
          <w:lang w:val="en-AU" w:eastAsia="en-GB"/>
        </w:rPr>
        <w:t xml:space="preserve"> seem to be in the position to produce and display AMDAR profiles for forecasting purposes because AMDAR data are only distributed as single level reports. Besides the use of AMDAR data in near-real time for forecasting new user needs have evolved requiring AMDAR data for airport wind shear analyses or for aviation accident investigations. For the latter purpose non-real time AMDAR profile data are required. The majority of NMHSs store AMDAR data as single level reports but not as profiles.</w:t>
      </w:r>
      <w:r w:rsidRPr="005D3369">
        <w:rPr>
          <w:rFonts w:ascii="Calibri" w:eastAsia="Times New Roman" w:hAnsi="Calibri"/>
          <w:snapToGrid/>
          <w:sz w:val="24"/>
          <w:szCs w:val="24"/>
          <w:lang w:val="en-AU" w:eastAsia="en-GB"/>
        </w:rPr>
        <w:t xml:space="preserve"> </w:t>
      </w:r>
      <w:r w:rsidRPr="005D3369">
        <w:rPr>
          <w:rFonts w:ascii="Calibri" w:eastAsia="Times New Roman" w:hAnsi="Calibri"/>
          <w:snapToGrid/>
          <w:color w:val="FF0000"/>
          <w:sz w:val="24"/>
          <w:szCs w:val="24"/>
          <w:lang w:val="en-AU" w:eastAsia="en-GB"/>
        </w:rPr>
        <w:t>SS: Many European (smaller) NMHSs do not have the capability to visualise the single level data as a profile, hence the need to generate a new ‘Profile Product’ that can be viewed in similar way to a radiosonde ascent.</w:t>
      </w:r>
    </w:p>
    <w:p w:rsidR="005D3369" w:rsidRPr="005D3369" w:rsidRDefault="005D3369" w:rsidP="005D3369">
      <w:pPr>
        <w:ind w:left="720"/>
        <w:rPr>
          <w:rFonts w:ascii="Times New Roman" w:eastAsia="Times New Roman" w:hAnsi="Times New Roman"/>
          <w:snapToGrid/>
          <w:sz w:val="24"/>
          <w:szCs w:val="24"/>
          <w:lang w:eastAsia="en-GB"/>
        </w:rPr>
      </w:pPr>
      <w:r w:rsidRPr="005D3369">
        <w:rPr>
          <w:rFonts w:ascii="Calibri" w:eastAsia="Times New Roman" w:hAnsi="Calibri"/>
          <w:snapToGrid/>
          <w:color w:val="1F497D"/>
          <w:sz w:val="24"/>
          <w:szCs w:val="24"/>
          <w:lang w:val="en-AU" w:eastAsia="en-GB"/>
        </w:rPr>
        <w:t xml:space="preserve">The use of the WIGOS AMDAR BUFR template (sequence 3 11 010) doesn´t allow the reporting of all levels of a particular profile in one BUFR message with replications of the various parameters needed for a profile product as it is the case for radiosonde soundings. Therefore, this sequence doesn´t seem to be appropriate for reporting AMDAR profile data. Due to the fact that aircraft humidity observations are of large interest the already existing BUFR sequences for AMDAR profile data reporting 3 11 008 and 3 11 009 are not sufficient because these don´t consider any humidity values. </w:t>
      </w:r>
      <w:r w:rsidRPr="005D3369">
        <w:rPr>
          <w:rFonts w:ascii="Calibri" w:eastAsia="Times New Roman" w:hAnsi="Calibri"/>
          <w:snapToGrid/>
          <w:color w:val="1F497D"/>
          <w:sz w:val="24"/>
          <w:szCs w:val="24"/>
          <w:lang w:val="en-AU" w:eastAsia="en-GB"/>
        </w:rPr>
        <w:lastRenderedPageBreak/>
        <w:t>Furthermore, other essential information on departure or destination airport and time of each reported level are missing in these sequences as well. Therefore it is proposed to introduce a new sequence for AMDAR profile data reporting</w:t>
      </w:r>
    </w:p>
    <w:p w:rsidR="00C85327" w:rsidRPr="005D3369" w:rsidRDefault="00C85327" w:rsidP="005D3369">
      <w:pPr>
        <w:jc w:val="both"/>
        <w:rPr>
          <w:rFonts w:ascii="Verdana" w:hAnsi="Verdana"/>
          <w:sz w:val="20"/>
          <w:szCs w:val="20"/>
          <w:lang w:val="en-US"/>
        </w:rPr>
      </w:pPr>
    </w:p>
    <w:p w:rsidR="005D3369" w:rsidRPr="005D3369" w:rsidRDefault="005D3369" w:rsidP="005D3369">
      <w:pPr>
        <w:pStyle w:val="ListParagraph"/>
        <w:numPr>
          <w:ilvl w:val="0"/>
          <w:numId w:val="8"/>
        </w:numPr>
        <w:spacing w:after="240"/>
        <w:rPr>
          <w:rFonts w:ascii="Times New Roman" w:eastAsia="Times New Roman" w:hAnsi="Times New Roman"/>
          <w:snapToGrid/>
          <w:color w:val="FF0000"/>
          <w:sz w:val="24"/>
          <w:szCs w:val="24"/>
          <w:lang w:eastAsia="en-GB"/>
        </w:rPr>
      </w:pPr>
      <w:r w:rsidRPr="005D3369">
        <w:rPr>
          <w:rFonts w:ascii="Calibri" w:eastAsia="Times New Roman" w:hAnsi="Calibri"/>
          <w:b/>
          <w:snapToGrid/>
          <w:color w:val="000000"/>
          <w:sz w:val="24"/>
          <w:szCs w:val="24"/>
          <w:lang w:val="en-AU" w:eastAsia="en-GB"/>
        </w:rPr>
        <w:t>Is the template only for AMDAR? Or can it be used for Aircraft Derived Data or ADS-C?</w:t>
      </w:r>
      <w:r w:rsidRPr="005D3369">
        <w:rPr>
          <w:rFonts w:ascii="Calibri" w:eastAsia="Times New Roman" w:hAnsi="Calibri"/>
          <w:b/>
          <w:snapToGrid/>
          <w:color w:val="1F497D"/>
          <w:sz w:val="24"/>
          <w:szCs w:val="24"/>
          <w:lang w:val="en-AU" w:eastAsia="en-GB"/>
        </w:rPr>
        <w:br/>
      </w:r>
      <w:r w:rsidRPr="005D3369">
        <w:rPr>
          <w:rFonts w:ascii="Calibri" w:eastAsia="Times New Roman" w:hAnsi="Calibri"/>
          <w:snapToGrid/>
          <w:color w:val="1F497D"/>
          <w:sz w:val="24"/>
          <w:szCs w:val="24"/>
          <w:lang w:val="en-AU" w:eastAsia="en-GB"/>
        </w:rPr>
        <w:t>From my perspective the template could be also used for profiles consisting of Aircraft Derived Data or ADS-C data.</w:t>
      </w:r>
      <w:r w:rsidRPr="005D3369">
        <w:rPr>
          <w:rFonts w:ascii="Calibri" w:eastAsia="Times New Roman" w:hAnsi="Calibri"/>
          <w:snapToGrid/>
          <w:sz w:val="24"/>
          <w:szCs w:val="24"/>
          <w:lang w:val="en-AU" w:eastAsia="en-GB"/>
        </w:rPr>
        <w:t xml:space="preserve"> </w:t>
      </w:r>
      <w:r w:rsidRPr="005D3369">
        <w:rPr>
          <w:rFonts w:ascii="Calibri" w:eastAsia="Times New Roman" w:hAnsi="Calibri"/>
          <w:snapToGrid/>
          <w:color w:val="FF0000"/>
          <w:sz w:val="24"/>
          <w:szCs w:val="24"/>
          <w:lang w:val="en-AU" w:eastAsia="en-GB"/>
        </w:rPr>
        <w:t>SS: When we eventually have operational Mode-S data (within next few years in Europe) I would very much expect profiles at some/many airports will be generated using Mode-S only,  or even as a combination of Mode-S/AMDAR.</w:t>
      </w:r>
    </w:p>
    <w:p w:rsidR="005D3369" w:rsidRPr="005D3369" w:rsidRDefault="005D3369" w:rsidP="005D3369">
      <w:pPr>
        <w:pStyle w:val="ListParagraph"/>
        <w:spacing w:after="240"/>
        <w:rPr>
          <w:rFonts w:ascii="Times New Roman" w:eastAsia="Times New Roman" w:hAnsi="Times New Roman"/>
          <w:snapToGrid/>
          <w:color w:val="FF0000"/>
          <w:sz w:val="24"/>
          <w:szCs w:val="24"/>
          <w:lang w:eastAsia="en-GB"/>
        </w:rPr>
      </w:pPr>
    </w:p>
    <w:p w:rsidR="005D3369" w:rsidRPr="005D3369" w:rsidRDefault="005D3369" w:rsidP="005D3369">
      <w:pPr>
        <w:pStyle w:val="ListParagraph"/>
        <w:numPr>
          <w:ilvl w:val="0"/>
          <w:numId w:val="8"/>
        </w:numPr>
        <w:spacing w:after="240"/>
        <w:rPr>
          <w:rFonts w:ascii="Times New Roman" w:eastAsia="Times New Roman" w:hAnsi="Times New Roman"/>
          <w:snapToGrid/>
          <w:color w:val="FF0000"/>
          <w:sz w:val="24"/>
          <w:szCs w:val="24"/>
          <w:lang w:eastAsia="en-GB"/>
        </w:rPr>
      </w:pPr>
      <w:r w:rsidRPr="005D3369">
        <w:rPr>
          <w:rFonts w:ascii="Calibri" w:hAnsi="Calibri"/>
          <w:b/>
          <w:lang w:val="en-AU"/>
        </w:rPr>
        <w:t>Why is the aircraft identifier required if the WIGOS identifier is already present?</w:t>
      </w:r>
      <w:r w:rsidRPr="005D3369">
        <w:rPr>
          <w:rFonts w:ascii="Calibri" w:hAnsi="Calibri"/>
          <w:b/>
          <w:color w:val="1F497D"/>
          <w:lang w:val="en-AU"/>
        </w:rPr>
        <w:br/>
      </w:r>
      <w:r w:rsidRPr="005D3369">
        <w:rPr>
          <w:rFonts w:ascii="Calibri" w:hAnsi="Calibri"/>
          <w:color w:val="1F497D"/>
          <w:lang w:val="en-AU"/>
        </w:rPr>
        <w:t xml:space="preserve">At the moment WIGOS station identifier aren´t implemented and used for </w:t>
      </w:r>
      <w:r w:rsidRPr="005D3369">
        <w:rPr>
          <w:rStyle w:val="highlight"/>
          <w:rFonts w:ascii="Calibri" w:hAnsi="Calibri"/>
          <w:color w:val="1F497D"/>
          <w:lang w:val="en-AU"/>
        </w:rPr>
        <w:t>AMDAR</w:t>
      </w:r>
      <w:r w:rsidRPr="005D3369">
        <w:rPr>
          <w:rFonts w:ascii="Calibri" w:hAnsi="Calibri"/>
          <w:color w:val="1F497D"/>
          <w:lang w:val="en-AU"/>
        </w:rPr>
        <w:t xml:space="preserve"> aircraft. To be able to start using the new </w:t>
      </w:r>
      <w:r w:rsidRPr="005D3369">
        <w:rPr>
          <w:rStyle w:val="highlight"/>
          <w:rFonts w:ascii="Calibri" w:hAnsi="Calibri"/>
          <w:color w:val="1F497D"/>
          <w:lang w:val="en-AU"/>
        </w:rPr>
        <w:t>sequence</w:t>
      </w:r>
      <w:r w:rsidRPr="005D3369">
        <w:rPr>
          <w:rFonts w:ascii="Calibri" w:hAnsi="Calibri"/>
          <w:color w:val="1F497D"/>
          <w:lang w:val="en-AU"/>
        </w:rPr>
        <w:t xml:space="preserve"> as soon as possible after validation and approval the aircraft identifier is still required. Furthermore, at least in E-</w:t>
      </w:r>
      <w:r w:rsidRPr="005D3369">
        <w:rPr>
          <w:rStyle w:val="highlight"/>
          <w:rFonts w:ascii="Calibri" w:hAnsi="Calibri"/>
          <w:color w:val="1F497D"/>
          <w:lang w:val="en-AU"/>
        </w:rPr>
        <w:t>AMDAR</w:t>
      </w:r>
      <w:r w:rsidRPr="005D3369">
        <w:rPr>
          <w:rFonts w:ascii="Calibri" w:hAnsi="Calibri"/>
          <w:color w:val="1F497D"/>
          <w:lang w:val="en-AU"/>
        </w:rPr>
        <w:t xml:space="preserve"> some airlines create the BUFR single level reports by using identifiers according to their airlines´ database which considers the aircraft identifier only. The WIGOS identifier will be added to the </w:t>
      </w:r>
      <w:r w:rsidRPr="005D3369">
        <w:rPr>
          <w:rStyle w:val="highlight"/>
          <w:rFonts w:ascii="Calibri" w:hAnsi="Calibri"/>
          <w:color w:val="1F497D"/>
          <w:lang w:val="en-AU"/>
        </w:rPr>
        <w:t>AMDAR</w:t>
      </w:r>
      <w:r w:rsidRPr="005D3369">
        <w:rPr>
          <w:rFonts w:ascii="Calibri" w:hAnsi="Calibri"/>
          <w:color w:val="1F497D"/>
          <w:lang w:val="en-AU"/>
        </w:rPr>
        <w:t xml:space="preserve"> profile data BUFR message generated out of the single level reports by the EUMETNET </w:t>
      </w:r>
      <w:r w:rsidRPr="005D3369">
        <w:rPr>
          <w:rStyle w:val="highlight"/>
          <w:rFonts w:ascii="Calibri" w:hAnsi="Calibri"/>
          <w:color w:val="1F497D"/>
          <w:lang w:val="en-AU"/>
        </w:rPr>
        <w:t>AMDAR</w:t>
      </w:r>
      <w:r w:rsidRPr="005D3369">
        <w:rPr>
          <w:rFonts w:ascii="Calibri" w:hAnsi="Calibri"/>
          <w:color w:val="1F497D"/>
          <w:lang w:val="en-AU"/>
        </w:rPr>
        <w:t xml:space="preserve"> Data Acquisition System before ingesting the profiles to the GTS</w:t>
      </w:r>
    </w:p>
    <w:p w:rsidR="005D3369" w:rsidRPr="005D3369" w:rsidRDefault="005D3369" w:rsidP="005D3369">
      <w:pPr>
        <w:numPr>
          <w:ilvl w:val="0"/>
          <w:numId w:val="8"/>
        </w:numPr>
        <w:rPr>
          <w:rFonts w:ascii="Times New Roman" w:eastAsia="Times New Roman" w:hAnsi="Times New Roman"/>
          <w:snapToGrid/>
          <w:color w:val="000000"/>
          <w:sz w:val="24"/>
          <w:szCs w:val="24"/>
          <w:lang w:eastAsia="en-GB"/>
        </w:rPr>
      </w:pPr>
      <w:r w:rsidRPr="005D3369">
        <w:rPr>
          <w:rFonts w:ascii="Calibri" w:eastAsia="Times New Roman" w:hAnsi="Calibri"/>
          <w:b/>
          <w:snapToGrid/>
          <w:color w:val="000000"/>
          <w:sz w:val="24"/>
          <w:szCs w:val="24"/>
          <w:lang w:val="en-AU" w:eastAsia="en-GB"/>
        </w:rPr>
        <w:t xml:space="preserve">Why is dew point temperature reported rather than the measured parameter? </w:t>
      </w:r>
      <w:r w:rsidRPr="005D3369">
        <w:rPr>
          <w:rFonts w:ascii="Calibri" w:eastAsia="Times New Roman" w:hAnsi="Calibri"/>
          <w:b/>
          <w:snapToGrid/>
          <w:color w:val="1F497D"/>
          <w:sz w:val="24"/>
          <w:szCs w:val="24"/>
          <w:lang w:val="en-AU" w:eastAsia="en-GB"/>
        </w:rPr>
        <w:br/>
      </w:r>
      <w:r w:rsidRPr="005D3369">
        <w:rPr>
          <w:rFonts w:ascii="Calibri" w:eastAsia="Times New Roman" w:hAnsi="Calibri"/>
          <w:snapToGrid/>
          <w:color w:val="1F497D"/>
          <w:sz w:val="24"/>
          <w:szCs w:val="24"/>
          <w:lang w:val="en-AU" w:eastAsia="en-GB"/>
        </w:rPr>
        <w:t>The proposed sequence considers the reporting of the originally measured parameter mixing ratio. Due to the fact that forecasters prefer a similar display of AMDAR profile data as for radiosonde soundings it is proposed to report dew point temperature and relative humidity in addition. Hence, the comment ‘Value derived from Mixing ratio’ was added to the element description.</w:t>
      </w:r>
      <w:r w:rsidRPr="005D3369">
        <w:rPr>
          <w:rFonts w:ascii="Calibri" w:eastAsia="Times New Roman" w:hAnsi="Calibri"/>
          <w:snapToGrid/>
          <w:sz w:val="24"/>
          <w:szCs w:val="24"/>
          <w:lang w:val="en-AU" w:eastAsia="en-GB"/>
        </w:rPr>
        <w:t xml:space="preserve"> </w:t>
      </w:r>
      <w:r w:rsidRPr="005D3369">
        <w:rPr>
          <w:rFonts w:ascii="Calibri" w:eastAsia="Times New Roman" w:hAnsi="Calibri"/>
          <w:snapToGrid/>
          <w:color w:val="FF0000"/>
          <w:sz w:val="24"/>
          <w:szCs w:val="24"/>
          <w:lang w:val="en-AU" w:eastAsia="en-GB"/>
        </w:rPr>
        <w:t>SS: As mentioned by Tanja, the measured parameter, water vapour mixing ratio, is reported along with the derived values of Dewpoint temperature and Humidity. This sensor producing humidity is the approved WVSS-II, reported in g/kg.</w:t>
      </w:r>
    </w:p>
    <w:p w:rsidR="005D3369" w:rsidRPr="005D3369" w:rsidRDefault="005D3369" w:rsidP="005D3369">
      <w:pPr>
        <w:ind w:left="720"/>
        <w:rPr>
          <w:rFonts w:ascii="Times New Roman" w:eastAsia="Times New Roman" w:hAnsi="Times New Roman"/>
          <w:snapToGrid/>
          <w:sz w:val="24"/>
          <w:szCs w:val="24"/>
          <w:lang w:eastAsia="en-GB"/>
        </w:rPr>
      </w:pPr>
      <w:r w:rsidRPr="005D3369">
        <w:rPr>
          <w:rFonts w:ascii="Calibri" w:eastAsia="Times New Roman" w:hAnsi="Calibri"/>
          <w:snapToGrid/>
          <w:color w:val="000000"/>
          <w:sz w:val="24"/>
          <w:szCs w:val="24"/>
          <w:lang w:val="en-AU" w:eastAsia="en-GB"/>
        </w:rPr>
        <w:t>[The only sensor currently endorsed by WMO for aircraft humidity measurement outputs the data as a water concentration [g/kg = grams water per kilogram of air].  This will mean that the dewpoint will need to be calculated/derived.]</w:t>
      </w:r>
    </w:p>
    <w:p w:rsidR="00C85327" w:rsidRDefault="00C85327" w:rsidP="005D3369">
      <w:pPr>
        <w:ind w:left="360"/>
        <w:jc w:val="both"/>
        <w:rPr>
          <w:rFonts w:ascii="Verdana" w:hAnsi="Verdana"/>
          <w:sz w:val="20"/>
          <w:szCs w:val="20"/>
          <w:lang w:val="en-US"/>
        </w:rPr>
      </w:pPr>
    </w:p>
    <w:p w:rsidR="002D0154" w:rsidRDefault="00907407" w:rsidP="0017261B">
      <w:pPr>
        <w:jc w:val="both"/>
        <w:rPr>
          <w:rFonts w:ascii="Verdana" w:hAnsi="Verdana"/>
          <w:b/>
          <w:sz w:val="20"/>
          <w:szCs w:val="20"/>
          <w:lang w:val="en-US"/>
        </w:rPr>
      </w:pPr>
      <w:r w:rsidRPr="00D5456D">
        <w:rPr>
          <w:rFonts w:ascii="Verdana" w:hAnsi="Verdana"/>
          <w:b/>
          <w:sz w:val="20"/>
          <w:szCs w:val="20"/>
          <w:lang w:val="en-US"/>
        </w:rPr>
        <w:t xml:space="preserve">Software </w:t>
      </w:r>
    </w:p>
    <w:p w:rsidR="0017261B" w:rsidRDefault="00D5456D" w:rsidP="0017261B">
      <w:pPr>
        <w:jc w:val="both"/>
        <w:rPr>
          <w:rFonts w:ascii="Verdana" w:hAnsi="Verdana"/>
          <w:sz w:val="20"/>
          <w:szCs w:val="20"/>
          <w:lang w:val="en-US"/>
        </w:rPr>
      </w:pPr>
      <w:r w:rsidRPr="00D5456D">
        <w:rPr>
          <w:rFonts w:ascii="Verdana" w:hAnsi="Verdana"/>
          <w:sz w:val="20"/>
          <w:szCs w:val="20"/>
          <w:lang w:val="en-US"/>
        </w:rPr>
        <w:t>Met Office: BUFR / GRIB Decoder</w:t>
      </w:r>
    </w:p>
    <w:p w:rsidR="00D5456D" w:rsidRDefault="00D5456D" w:rsidP="0017261B">
      <w:pPr>
        <w:jc w:val="both"/>
        <w:rPr>
          <w:rFonts w:ascii="Verdana" w:hAnsi="Verdana"/>
          <w:sz w:val="20"/>
          <w:szCs w:val="20"/>
          <w:lang w:val="en-US"/>
        </w:rPr>
      </w:pPr>
      <w:r>
        <w:rPr>
          <w:rFonts w:ascii="Verdana" w:hAnsi="Verdana"/>
          <w:sz w:val="20"/>
          <w:szCs w:val="20"/>
          <w:lang w:val="en-US"/>
        </w:rPr>
        <w:t xml:space="preserve">DWD : </w:t>
      </w:r>
      <w:r w:rsidR="00753B08">
        <w:rPr>
          <w:rFonts w:ascii="Verdana" w:hAnsi="Verdana"/>
          <w:sz w:val="20"/>
          <w:szCs w:val="20"/>
          <w:lang w:val="en-US"/>
        </w:rPr>
        <w:t>DWD BUFR Software</w:t>
      </w:r>
    </w:p>
    <w:p w:rsidR="00753B08" w:rsidRPr="00D5456D" w:rsidRDefault="00753B08" w:rsidP="0017261B">
      <w:pPr>
        <w:jc w:val="both"/>
        <w:rPr>
          <w:rFonts w:ascii="Verdana" w:hAnsi="Verdana"/>
          <w:sz w:val="20"/>
          <w:szCs w:val="20"/>
          <w:lang w:val="en-US"/>
        </w:rPr>
      </w:pPr>
      <w:r>
        <w:rPr>
          <w:rFonts w:ascii="Verdana" w:hAnsi="Verdana"/>
          <w:sz w:val="20"/>
          <w:szCs w:val="20"/>
          <w:lang w:val="en-US"/>
        </w:rPr>
        <w:t xml:space="preserve">BOM: BOM Decoder (Written in Python, developed by BOM) </w:t>
      </w:r>
    </w:p>
    <w:p w:rsidR="00907407" w:rsidRDefault="00907407" w:rsidP="005D3369">
      <w:pPr>
        <w:ind w:left="360"/>
        <w:jc w:val="both"/>
        <w:rPr>
          <w:rFonts w:ascii="Verdana" w:hAnsi="Verdana"/>
          <w:sz w:val="20"/>
          <w:szCs w:val="20"/>
          <w:lang w:val="en-US"/>
        </w:rPr>
      </w:pPr>
    </w:p>
    <w:p w:rsidR="00753B08" w:rsidRPr="006345B4" w:rsidRDefault="00753B08" w:rsidP="0017261B">
      <w:pPr>
        <w:jc w:val="both"/>
        <w:rPr>
          <w:rFonts w:ascii="Verdana" w:hAnsi="Verdana"/>
          <w:b/>
          <w:sz w:val="20"/>
          <w:szCs w:val="20"/>
          <w:lang w:val="en-US"/>
        </w:rPr>
      </w:pPr>
      <w:r w:rsidRPr="006345B4">
        <w:rPr>
          <w:rFonts w:ascii="Verdana" w:hAnsi="Verdana"/>
          <w:b/>
          <w:sz w:val="20"/>
          <w:szCs w:val="20"/>
          <w:lang w:val="en-US"/>
        </w:rPr>
        <w:t>Test Files:</w:t>
      </w:r>
    </w:p>
    <w:p w:rsidR="00324F21" w:rsidRDefault="00324F21" w:rsidP="0017261B">
      <w:pPr>
        <w:jc w:val="both"/>
        <w:rPr>
          <w:rFonts w:ascii="Verdana" w:hAnsi="Verdana"/>
          <w:sz w:val="20"/>
          <w:szCs w:val="20"/>
          <w:lang w:val="en-US"/>
        </w:rPr>
      </w:pPr>
      <w:r w:rsidRPr="00324F21">
        <w:rPr>
          <w:rFonts w:ascii="Verdana" w:hAnsi="Verdana"/>
          <w:sz w:val="20"/>
          <w:szCs w:val="20"/>
          <w:lang w:val="en-US"/>
        </w:rPr>
        <w:t>MET20190215122611A.dat</w:t>
      </w:r>
      <w:r>
        <w:rPr>
          <w:rFonts w:ascii="Verdana" w:hAnsi="Verdana"/>
          <w:sz w:val="20"/>
          <w:szCs w:val="20"/>
          <w:lang w:val="en-US"/>
        </w:rPr>
        <w:t xml:space="preserve">  (BUFR - Encoded by UK Met Office)</w:t>
      </w:r>
    </w:p>
    <w:p w:rsidR="00324F21" w:rsidRDefault="00324F21" w:rsidP="0017261B">
      <w:pPr>
        <w:jc w:val="both"/>
        <w:rPr>
          <w:rFonts w:ascii="Verdana" w:hAnsi="Verdana"/>
          <w:sz w:val="20"/>
          <w:szCs w:val="20"/>
          <w:lang w:val="en-US"/>
        </w:rPr>
      </w:pPr>
      <w:r w:rsidRPr="00324F21">
        <w:rPr>
          <w:rFonts w:ascii="Verdana" w:hAnsi="Verdana"/>
          <w:sz w:val="20"/>
          <w:szCs w:val="20"/>
          <w:lang w:val="en-US"/>
        </w:rPr>
        <w:t>MET20190215122611A.dat-reencoded.bufr</w:t>
      </w:r>
      <w:r>
        <w:rPr>
          <w:rFonts w:ascii="Verdana" w:hAnsi="Verdana"/>
          <w:sz w:val="20"/>
          <w:szCs w:val="20"/>
          <w:lang w:val="en-US"/>
        </w:rPr>
        <w:t xml:space="preserve"> (BUFR re-encoded by DWD)</w:t>
      </w:r>
    </w:p>
    <w:p w:rsidR="006345B4" w:rsidRDefault="006345B4" w:rsidP="005D3369">
      <w:pPr>
        <w:ind w:left="360"/>
        <w:jc w:val="both"/>
        <w:rPr>
          <w:rFonts w:ascii="Verdana" w:hAnsi="Verdana"/>
          <w:b/>
          <w:sz w:val="20"/>
          <w:szCs w:val="20"/>
          <w:lang w:val="en-US"/>
        </w:rPr>
      </w:pPr>
    </w:p>
    <w:p w:rsidR="006345B4" w:rsidRDefault="006345B4" w:rsidP="006345B4">
      <w:pPr>
        <w:jc w:val="both"/>
        <w:rPr>
          <w:rFonts w:ascii="Verdana" w:hAnsi="Verdana"/>
          <w:b/>
          <w:sz w:val="20"/>
          <w:szCs w:val="20"/>
          <w:lang w:val="en-US"/>
        </w:rPr>
      </w:pPr>
      <w:r w:rsidRPr="006345B4">
        <w:rPr>
          <w:rFonts w:ascii="Verdana" w:hAnsi="Verdana"/>
          <w:b/>
          <w:sz w:val="20"/>
          <w:szCs w:val="20"/>
          <w:lang w:val="en-US"/>
        </w:rPr>
        <w:t>Decode evidence</w:t>
      </w:r>
      <w:r>
        <w:rPr>
          <w:rFonts w:ascii="Verdana" w:hAnsi="Verdana"/>
          <w:b/>
          <w:sz w:val="20"/>
          <w:szCs w:val="20"/>
          <w:lang w:val="en-US"/>
        </w:rPr>
        <w:t>:</w:t>
      </w:r>
    </w:p>
    <w:p w:rsidR="000034B5" w:rsidRPr="001960A9" w:rsidRDefault="000034B5" w:rsidP="006345B4">
      <w:pPr>
        <w:jc w:val="both"/>
        <w:rPr>
          <w:rFonts w:ascii="Verdana" w:hAnsi="Verdana"/>
          <w:sz w:val="20"/>
          <w:szCs w:val="20"/>
          <w:lang w:val="en-US"/>
        </w:rPr>
      </w:pPr>
      <w:r w:rsidRPr="001960A9">
        <w:rPr>
          <w:rFonts w:ascii="Verdana" w:hAnsi="Verdana"/>
          <w:sz w:val="20"/>
          <w:szCs w:val="20"/>
          <w:lang w:val="en-US"/>
        </w:rPr>
        <w:t>311012_decode_stdout</w:t>
      </w:r>
      <w:r w:rsidR="0077224F">
        <w:rPr>
          <w:rFonts w:ascii="Verdana" w:hAnsi="Verdana"/>
          <w:sz w:val="20"/>
          <w:szCs w:val="20"/>
          <w:lang w:val="en-US"/>
        </w:rPr>
        <w:t>.txt</w:t>
      </w:r>
    </w:p>
    <w:p w:rsidR="000034B5" w:rsidRPr="001960A9" w:rsidRDefault="001960A9" w:rsidP="006345B4">
      <w:pPr>
        <w:jc w:val="both"/>
        <w:rPr>
          <w:rFonts w:ascii="Verdana" w:hAnsi="Verdana"/>
          <w:sz w:val="20"/>
          <w:szCs w:val="20"/>
          <w:lang w:val="en-US"/>
        </w:rPr>
      </w:pPr>
      <w:r w:rsidRPr="001960A9">
        <w:rPr>
          <w:rFonts w:ascii="Verdana" w:hAnsi="Verdana"/>
          <w:sz w:val="20"/>
          <w:szCs w:val="20"/>
          <w:lang w:val="en-US"/>
        </w:rPr>
        <w:t xml:space="preserve">(Decode of </w:t>
      </w:r>
      <w:r w:rsidRPr="00324F21">
        <w:rPr>
          <w:rFonts w:ascii="Verdana" w:hAnsi="Verdana"/>
          <w:sz w:val="20"/>
          <w:szCs w:val="20"/>
          <w:lang w:val="en-US"/>
        </w:rPr>
        <w:t>MET20190215122611A.dat</w:t>
      </w:r>
      <w:r>
        <w:rPr>
          <w:rFonts w:ascii="Verdana" w:hAnsi="Verdana"/>
          <w:sz w:val="20"/>
          <w:szCs w:val="20"/>
          <w:lang w:val="en-US"/>
        </w:rPr>
        <w:t xml:space="preserve">  by UK Met Office)</w:t>
      </w:r>
    </w:p>
    <w:p w:rsidR="000034B5" w:rsidRDefault="000034B5" w:rsidP="006345B4">
      <w:pPr>
        <w:jc w:val="both"/>
        <w:rPr>
          <w:rFonts w:ascii="Verdana" w:hAnsi="Verdana"/>
          <w:b/>
          <w:sz w:val="20"/>
          <w:szCs w:val="20"/>
          <w:lang w:val="en-US"/>
        </w:rPr>
      </w:pPr>
    </w:p>
    <w:p w:rsidR="001960A9" w:rsidRPr="006345B4" w:rsidRDefault="001960A9" w:rsidP="006345B4">
      <w:pPr>
        <w:jc w:val="both"/>
        <w:rPr>
          <w:rFonts w:ascii="Verdana" w:hAnsi="Verdana"/>
          <w:b/>
          <w:sz w:val="20"/>
          <w:szCs w:val="20"/>
          <w:lang w:val="en-US"/>
        </w:rPr>
      </w:pPr>
    </w:p>
    <w:p w:rsidR="00D803E6" w:rsidRDefault="006345B4" w:rsidP="006345B4">
      <w:pPr>
        <w:jc w:val="both"/>
        <w:rPr>
          <w:rFonts w:ascii="Verdana" w:hAnsi="Verdana"/>
          <w:sz w:val="20"/>
          <w:szCs w:val="20"/>
          <w:lang w:val="en-US"/>
        </w:rPr>
      </w:pPr>
      <w:r w:rsidRPr="006345B4">
        <w:rPr>
          <w:rFonts w:ascii="Verdana" w:hAnsi="Verdana"/>
          <w:sz w:val="20"/>
          <w:szCs w:val="20"/>
          <w:lang w:val="en-US"/>
        </w:rPr>
        <w:t>BOM-AMDAR-Decode.doc</w:t>
      </w:r>
      <w:r>
        <w:rPr>
          <w:rFonts w:ascii="Verdana" w:hAnsi="Verdana"/>
          <w:sz w:val="20"/>
          <w:szCs w:val="20"/>
          <w:lang w:val="en-US"/>
        </w:rPr>
        <w:t xml:space="preserve">  </w:t>
      </w:r>
      <w:bookmarkStart w:id="2" w:name="_Hlk5710498"/>
      <w:r>
        <w:rPr>
          <w:rFonts w:ascii="Verdana" w:hAnsi="Verdana"/>
          <w:sz w:val="20"/>
          <w:szCs w:val="20"/>
          <w:lang w:val="en-US"/>
        </w:rPr>
        <w:t xml:space="preserve">                     </w:t>
      </w:r>
      <w:r w:rsidR="00D803E6">
        <w:rPr>
          <w:rFonts w:ascii="Verdana" w:hAnsi="Verdana"/>
          <w:sz w:val="20"/>
          <w:szCs w:val="20"/>
          <w:lang w:val="en-US"/>
        </w:rPr>
        <w:t xml:space="preserve">    </w:t>
      </w:r>
    </w:p>
    <w:p w:rsidR="00D803E6" w:rsidRDefault="006345B4" w:rsidP="006345B4">
      <w:pPr>
        <w:jc w:val="both"/>
        <w:rPr>
          <w:rFonts w:ascii="Verdana" w:hAnsi="Verdana"/>
          <w:sz w:val="20"/>
          <w:szCs w:val="20"/>
          <w:lang w:val="en-US"/>
        </w:rPr>
      </w:pPr>
      <w:r>
        <w:rPr>
          <w:rFonts w:ascii="Verdana" w:hAnsi="Verdana"/>
          <w:sz w:val="20"/>
          <w:szCs w:val="20"/>
          <w:lang w:val="en-US"/>
        </w:rPr>
        <w:t xml:space="preserve">(Decode of </w:t>
      </w:r>
      <w:r w:rsidRPr="00324F21">
        <w:rPr>
          <w:rFonts w:ascii="Verdana" w:hAnsi="Verdana"/>
          <w:sz w:val="20"/>
          <w:szCs w:val="20"/>
          <w:lang w:val="en-US"/>
        </w:rPr>
        <w:t>MET20190215122611A.dat</w:t>
      </w:r>
      <w:r>
        <w:rPr>
          <w:rFonts w:ascii="Verdana" w:hAnsi="Verdana"/>
          <w:sz w:val="20"/>
          <w:szCs w:val="20"/>
          <w:lang w:val="en-US"/>
        </w:rPr>
        <w:t xml:space="preserve">  from BOM)</w:t>
      </w:r>
      <w:bookmarkEnd w:id="2"/>
      <w:r>
        <w:rPr>
          <w:rFonts w:ascii="Verdana" w:hAnsi="Verdana"/>
          <w:sz w:val="20"/>
          <w:szCs w:val="20"/>
          <w:lang w:val="en-US"/>
        </w:rPr>
        <w:t xml:space="preserve">   </w:t>
      </w:r>
    </w:p>
    <w:p w:rsidR="0077224F" w:rsidRDefault="0077224F" w:rsidP="006345B4">
      <w:pPr>
        <w:jc w:val="both"/>
        <w:rPr>
          <w:rFonts w:ascii="Verdana" w:hAnsi="Verdana"/>
          <w:sz w:val="20"/>
          <w:szCs w:val="20"/>
          <w:lang w:val="en-US"/>
        </w:rPr>
      </w:pPr>
    </w:p>
    <w:p w:rsidR="00D803E6" w:rsidRDefault="006345B4" w:rsidP="006345B4">
      <w:pPr>
        <w:jc w:val="both"/>
        <w:rPr>
          <w:rFonts w:ascii="Verdana" w:hAnsi="Verdana"/>
          <w:sz w:val="20"/>
          <w:szCs w:val="20"/>
          <w:lang w:val="en-US"/>
        </w:rPr>
      </w:pPr>
      <w:r w:rsidRPr="006345B4">
        <w:rPr>
          <w:rFonts w:ascii="Verdana" w:hAnsi="Verdana"/>
          <w:sz w:val="20"/>
          <w:szCs w:val="20"/>
          <w:lang w:val="en-US"/>
        </w:rPr>
        <w:t>MET20190215122611A.dat.readbufrx</w:t>
      </w:r>
      <w:r w:rsidR="0077224F">
        <w:rPr>
          <w:rFonts w:ascii="Verdana" w:hAnsi="Verdana"/>
          <w:sz w:val="20"/>
          <w:szCs w:val="20"/>
          <w:lang w:val="en-US"/>
        </w:rPr>
        <w:t>.txt</w:t>
      </w:r>
      <w:r>
        <w:rPr>
          <w:rFonts w:ascii="Verdana" w:hAnsi="Verdana"/>
          <w:sz w:val="20"/>
          <w:szCs w:val="20"/>
          <w:lang w:val="en-US"/>
        </w:rPr>
        <w:t xml:space="preserve"> </w:t>
      </w:r>
      <w:r w:rsidR="00D803E6">
        <w:rPr>
          <w:rFonts w:ascii="Verdana" w:hAnsi="Verdana"/>
          <w:sz w:val="20"/>
          <w:szCs w:val="20"/>
          <w:lang w:val="en-US"/>
        </w:rPr>
        <w:t xml:space="preserve">  </w:t>
      </w:r>
      <w:bookmarkStart w:id="3" w:name="_Hlk5710696"/>
      <w:r w:rsidR="00D803E6">
        <w:rPr>
          <w:rFonts w:ascii="Verdana" w:hAnsi="Verdana"/>
          <w:sz w:val="20"/>
          <w:szCs w:val="20"/>
          <w:lang w:val="en-US"/>
        </w:rPr>
        <w:t xml:space="preserve"> </w:t>
      </w:r>
    </w:p>
    <w:p w:rsidR="00D803E6" w:rsidRDefault="006345B4" w:rsidP="006345B4">
      <w:pPr>
        <w:jc w:val="both"/>
        <w:rPr>
          <w:rFonts w:ascii="Verdana" w:hAnsi="Verdana"/>
          <w:sz w:val="20"/>
          <w:szCs w:val="20"/>
          <w:lang w:val="en-US"/>
        </w:rPr>
      </w:pPr>
      <w:r>
        <w:rPr>
          <w:rFonts w:ascii="Verdana" w:hAnsi="Verdana"/>
          <w:sz w:val="20"/>
          <w:szCs w:val="20"/>
          <w:lang w:val="en-US"/>
        </w:rPr>
        <w:t xml:space="preserve">(Decode of </w:t>
      </w:r>
      <w:r w:rsidRPr="00324F21">
        <w:rPr>
          <w:rFonts w:ascii="Verdana" w:hAnsi="Verdana"/>
          <w:sz w:val="20"/>
          <w:szCs w:val="20"/>
          <w:lang w:val="en-US"/>
        </w:rPr>
        <w:t>MET20190215122611A.dat</w:t>
      </w:r>
      <w:r>
        <w:rPr>
          <w:rFonts w:ascii="Verdana" w:hAnsi="Verdana"/>
          <w:sz w:val="20"/>
          <w:szCs w:val="20"/>
          <w:lang w:val="en-US"/>
        </w:rPr>
        <w:t xml:space="preserve">  from </w:t>
      </w:r>
      <w:r w:rsidR="00D803E6">
        <w:rPr>
          <w:rFonts w:ascii="Verdana" w:hAnsi="Verdana"/>
          <w:sz w:val="20"/>
          <w:szCs w:val="20"/>
          <w:lang w:val="en-US"/>
        </w:rPr>
        <w:t>DWD</w:t>
      </w:r>
      <w:r>
        <w:rPr>
          <w:rFonts w:ascii="Verdana" w:hAnsi="Verdana"/>
          <w:sz w:val="20"/>
          <w:szCs w:val="20"/>
          <w:lang w:val="en-US"/>
        </w:rPr>
        <w:t>)</w:t>
      </w:r>
      <w:bookmarkEnd w:id="3"/>
    </w:p>
    <w:p w:rsidR="0077224F" w:rsidRDefault="0077224F" w:rsidP="006345B4">
      <w:pPr>
        <w:jc w:val="both"/>
        <w:rPr>
          <w:rFonts w:ascii="Verdana" w:hAnsi="Verdana"/>
          <w:sz w:val="20"/>
          <w:szCs w:val="20"/>
          <w:lang w:val="en-US"/>
        </w:rPr>
      </w:pPr>
    </w:p>
    <w:p w:rsidR="0077224F" w:rsidRDefault="0077224F" w:rsidP="006345B4">
      <w:pPr>
        <w:jc w:val="both"/>
        <w:rPr>
          <w:rFonts w:ascii="Verdana" w:hAnsi="Verdana"/>
          <w:sz w:val="20"/>
          <w:szCs w:val="20"/>
          <w:lang w:val="en-US"/>
        </w:rPr>
      </w:pPr>
      <w:r w:rsidRPr="0077224F">
        <w:rPr>
          <w:rFonts w:ascii="Verdana" w:hAnsi="Verdana"/>
          <w:sz w:val="20"/>
          <w:szCs w:val="20"/>
          <w:lang w:val="en-US"/>
        </w:rPr>
        <w:t>MET20190215122611A.dat-reencoded.bufr.readbufrx</w:t>
      </w:r>
      <w:r>
        <w:rPr>
          <w:rFonts w:ascii="Verdana" w:hAnsi="Verdana"/>
          <w:sz w:val="20"/>
          <w:szCs w:val="20"/>
          <w:lang w:val="en-US"/>
        </w:rPr>
        <w:t>.txt</w:t>
      </w:r>
    </w:p>
    <w:p w:rsidR="0077224F" w:rsidRDefault="0077224F" w:rsidP="0077224F">
      <w:pPr>
        <w:jc w:val="both"/>
        <w:rPr>
          <w:rFonts w:ascii="Verdana" w:hAnsi="Verdana"/>
          <w:sz w:val="20"/>
          <w:szCs w:val="20"/>
          <w:lang w:val="en-US"/>
        </w:rPr>
      </w:pPr>
      <w:r>
        <w:rPr>
          <w:rFonts w:ascii="Verdana" w:hAnsi="Verdana"/>
          <w:sz w:val="20"/>
          <w:szCs w:val="20"/>
          <w:lang w:val="en-US"/>
        </w:rPr>
        <w:t xml:space="preserve">(decode of </w:t>
      </w:r>
      <w:r w:rsidRPr="00324F21">
        <w:rPr>
          <w:rFonts w:ascii="Verdana" w:hAnsi="Verdana"/>
          <w:sz w:val="20"/>
          <w:szCs w:val="20"/>
          <w:lang w:val="en-US"/>
        </w:rPr>
        <w:t>MET20190215122611A.dat-reencoded.bufr</w:t>
      </w:r>
      <w:r>
        <w:rPr>
          <w:rFonts w:ascii="Verdana" w:hAnsi="Verdana"/>
          <w:sz w:val="20"/>
          <w:szCs w:val="20"/>
          <w:lang w:val="en-US"/>
        </w:rPr>
        <w:t xml:space="preserve"> (BUFR re-encoded by DWD))</w:t>
      </w:r>
    </w:p>
    <w:p w:rsidR="0077224F" w:rsidRDefault="0077224F" w:rsidP="006345B4">
      <w:pPr>
        <w:jc w:val="both"/>
        <w:rPr>
          <w:rFonts w:ascii="Verdana" w:hAnsi="Verdana"/>
          <w:sz w:val="20"/>
          <w:szCs w:val="20"/>
          <w:lang w:val="en-US"/>
        </w:rPr>
      </w:pPr>
    </w:p>
    <w:p w:rsidR="00D803E6" w:rsidRDefault="00D803E6" w:rsidP="00D803E6">
      <w:pPr>
        <w:rPr>
          <w:rFonts w:ascii="Verdana" w:hAnsi="Verdana"/>
          <w:sz w:val="20"/>
          <w:szCs w:val="20"/>
          <w:lang w:val="en-US"/>
        </w:rPr>
      </w:pPr>
      <w:r w:rsidRPr="00D803E6">
        <w:rPr>
          <w:rFonts w:ascii="Verdana" w:hAnsi="Verdana"/>
          <w:sz w:val="20"/>
          <w:szCs w:val="20"/>
          <w:lang w:val="en-US"/>
        </w:rPr>
        <w:t>MET20190215122611A.dat-reencoded.bufr.readbufrx.Int</w:t>
      </w:r>
      <w:r w:rsidR="0077224F">
        <w:rPr>
          <w:rFonts w:ascii="Verdana" w:hAnsi="Verdana"/>
          <w:sz w:val="20"/>
          <w:szCs w:val="20"/>
          <w:lang w:val="en-US"/>
        </w:rPr>
        <w:t>.txt</w:t>
      </w:r>
      <w:r w:rsidR="006345B4">
        <w:rPr>
          <w:rFonts w:ascii="Verdana" w:hAnsi="Verdana"/>
          <w:sz w:val="20"/>
          <w:szCs w:val="20"/>
          <w:lang w:val="en-US"/>
        </w:rPr>
        <w:t xml:space="preserve">  </w:t>
      </w:r>
    </w:p>
    <w:p w:rsidR="00D803E6" w:rsidRDefault="00D803E6" w:rsidP="00D803E6">
      <w:pPr>
        <w:rPr>
          <w:rFonts w:ascii="Verdana" w:hAnsi="Verdana"/>
          <w:sz w:val="20"/>
          <w:szCs w:val="20"/>
          <w:lang w:val="en-US"/>
        </w:rPr>
      </w:pPr>
      <w:r>
        <w:rPr>
          <w:rFonts w:ascii="Verdana" w:hAnsi="Verdana"/>
          <w:sz w:val="20"/>
          <w:szCs w:val="20"/>
          <w:lang w:val="en-US"/>
        </w:rPr>
        <w:t xml:space="preserve">(Decode of </w:t>
      </w:r>
      <w:r w:rsidRPr="00D803E6">
        <w:rPr>
          <w:rFonts w:ascii="Verdana" w:hAnsi="Verdana"/>
          <w:sz w:val="20"/>
          <w:szCs w:val="20"/>
          <w:lang w:val="en-US"/>
        </w:rPr>
        <w:t>MET20190215122611A.dat-reencoded.bufr</w:t>
      </w:r>
      <w:r w:rsidR="0077224F">
        <w:rPr>
          <w:rFonts w:ascii="Verdana" w:hAnsi="Verdana"/>
          <w:sz w:val="20"/>
          <w:szCs w:val="20"/>
          <w:lang w:val="en-US"/>
        </w:rPr>
        <w:t xml:space="preserve"> through DWD Java tools)</w:t>
      </w:r>
    </w:p>
    <w:p w:rsidR="006345B4" w:rsidRDefault="006345B4" w:rsidP="00D803E6">
      <w:pPr>
        <w:rPr>
          <w:rFonts w:ascii="Verdana" w:hAnsi="Verdana"/>
          <w:sz w:val="20"/>
          <w:szCs w:val="20"/>
          <w:lang w:val="en-US"/>
        </w:rPr>
      </w:pPr>
    </w:p>
    <w:p w:rsidR="00D803E6" w:rsidRPr="00D803E6" w:rsidRDefault="00D803E6" w:rsidP="00D803E6">
      <w:pPr>
        <w:rPr>
          <w:rFonts w:ascii="Verdana" w:hAnsi="Verdana"/>
          <w:sz w:val="20"/>
          <w:szCs w:val="20"/>
          <w:lang w:val="en-US"/>
        </w:rPr>
      </w:pPr>
    </w:p>
    <w:sectPr w:rsidR="00D803E6" w:rsidRPr="00D803E6"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1FB2"/>
    <w:multiLevelType w:val="hybridMultilevel"/>
    <w:tmpl w:val="3EF00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86FC6"/>
    <w:multiLevelType w:val="multilevel"/>
    <w:tmpl w:val="BA5C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3B3B4E"/>
    <w:multiLevelType w:val="multilevel"/>
    <w:tmpl w:val="B92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467AFB"/>
    <w:multiLevelType w:val="multilevel"/>
    <w:tmpl w:val="8B8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5">
    <w:nsid w:val="530120E7"/>
    <w:multiLevelType w:val="hybridMultilevel"/>
    <w:tmpl w:val="55D2B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85D8A"/>
    <w:multiLevelType w:val="hybridMultilevel"/>
    <w:tmpl w:val="9656C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8C028DF"/>
    <w:multiLevelType w:val="hybridMultilevel"/>
    <w:tmpl w:val="5EAA1F0E"/>
    <w:lvl w:ilvl="0" w:tplc="661A766A">
      <w:start w:val="1"/>
      <w:numFmt w:val="bullet"/>
      <w:lvlText w:val=""/>
      <w:lvlJc w:val="left"/>
      <w:pPr>
        <w:ind w:left="1440" w:hanging="589"/>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9B30898"/>
    <w:multiLevelType w:val="hybridMultilevel"/>
    <w:tmpl w:val="B5A656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0F42C7"/>
    <w:multiLevelType w:val="multilevel"/>
    <w:tmpl w:val="0D78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7"/>
  </w:num>
  <w:num w:numId="5">
    <w:abstractNumId w:val="6"/>
  </w:num>
  <w:num w:numId="6">
    <w:abstractNumId w:val="8"/>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34B5"/>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21EDC"/>
    <w:rsid w:val="00153912"/>
    <w:rsid w:val="00154663"/>
    <w:rsid w:val="0015739E"/>
    <w:rsid w:val="00160129"/>
    <w:rsid w:val="0017015C"/>
    <w:rsid w:val="0017261B"/>
    <w:rsid w:val="00174D5A"/>
    <w:rsid w:val="00175E86"/>
    <w:rsid w:val="00183272"/>
    <w:rsid w:val="001960A9"/>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9469F"/>
    <w:rsid w:val="002A2002"/>
    <w:rsid w:val="002A7D7D"/>
    <w:rsid w:val="002D0154"/>
    <w:rsid w:val="002D5A02"/>
    <w:rsid w:val="002E6C79"/>
    <w:rsid w:val="0030266F"/>
    <w:rsid w:val="003028E6"/>
    <w:rsid w:val="00302C7D"/>
    <w:rsid w:val="0030385D"/>
    <w:rsid w:val="003079BB"/>
    <w:rsid w:val="00313484"/>
    <w:rsid w:val="00320A0D"/>
    <w:rsid w:val="00324E25"/>
    <w:rsid w:val="00324F21"/>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92174"/>
    <w:rsid w:val="00494E35"/>
    <w:rsid w:val="004A7BAF"/>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C30DD"/>
    <w:rsid w:val="005D3369"/>
    <w:rsid w:val="005D39D4"/>
    <w:rsid w:val="005D5A4C"/>
    <w:rsid w:val="00624295"/>
    <w:rsid w:val="006250CC"/>
    <w:rsid w:val="00634323"/>
    <w:rsid w:val="006345B4"/>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53B08"/>
    <w:rsid w:val="007635BE"/>
    <w:rsid w:val="00771765"/>
    <w:rsid w:val="0077224F"/>
    <w:rsid w:val="00774097"/>
    <w:rsid w:val="00777294"/>
    <w:rsid w:val="007A602D"/>
    <w:rsid w:val="007B3EF4"/>
    <w:rsid w:val="007D135B"/>
    <w:rsid w:val="007D3759"/>
    <w:rsid w:val="007D488A"/>
    <w:rsid w:val="007D7EC9"/>
    <w:rsid w:val="007F1D18"/>
    <w:rsid w:val="007F571D"/>
    <w:rsid w:val="00810F6C"/>
    <w:rsid w:val="00822564"/>
    <w:rsid w:val="00854CF1"/>
    <w:rsid w:val="0087795A"/>
    <w:rsid w:val="00882178"/>
    <w:rsid w:val="00882C08"/>
    <w:rsid w:val="008A4415"/>
    <w:rsid w:val="008A48FF"/>
    <w:rsid w:val="008E669E"/>
    <w:rsid w:val="008F426C"/>
    <w:rsid w:val="00907407"/>
    <w:rsid w:val="00910EDE"/>
    <w:rsid w:val="00911012"/>
    <w:rsid w:val="00913F4C"/>
    <w:rsid w:val="00914F89"/>
    <w:rsid w:val="00916862"/>
    <w:rsid w:val="009251AE"/>
    <w:rsid w:val="00942A1A"/>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A0210"/>
    <w:rsid w:val="00AC098E"/>
    <w:rsid w:val="00AD434F"/>
    <w:rsid w:val="00AD5FD8"/>
    <w:rsid w:val="00AF060A"/>
    <w:rsid w:val="00B1295F"/>
    <w:rsid w:val="00B136AB"/>
    <w:rsid w:val="00B31840"/>
    <w:rsid w:val="00B36487"/>
    <w:rsid w:val="00B50C60"/>
    <w:rsid w:val="00B64D01"/>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327"/>
    <w:rsid w:val="00C85A94"/>
    <w:rsid w:val="00C91B0B"/>
    <w:rsid w:val="00CA73DC"/>
    <w:rsid w:val="00CB32EA"/>
    <w:rsid w:val="00CD3FA6"/>
    <w:rsid w:val="00CE2D9D"/>
    <w:rsid w:val="00D02230"/>
    <w:rsid w:val="00D078E7"/>
    <w:rsid w:val="00D2274D"/>
    <w:rsid w:val="00D47603"/>
    <w:rsid w:val="00D478AD"/>
    <w:rsid w:val="00D51173"/>
    <w:rsid w:val="00D5456D"/>
    <w:rsid w:val="00D564D5"/>
    <w:rsid w:val="00D571DE"/>
    <w:rsid w:val="00D632E9"/>
    <w:rsid w:val="00D64CE3"/>
    <w:rsid w:val="00D726C7"/>
    <w:rsid w:val="00D803E6"/>
    <w:rsid w:val="00D87EBC"/>
    <w:rsid w:val="00D96433"/>
    <w:rsid w:val="00DA14BC"/>
    <w:rsid w:val="00DA1B05"/>
    <w:rsid w:val="00DC3E1A"/>
    <w:rsid w:val="00DF744B"/>
    <w:rsid w:val="00E118FA"/>
    <w:rsid w:val="00E176CA"/>
    <w:rsid w:val="00E263EC"/>
    <w:rsid w:val="00E40B80"/>
    <w:rsid w:val="00E43669"/>
    <w:rsid w:val="00E467A6"/>
    <w:rsid w:val="00E65F3F"/>
    <w:rsid w:val="00E740BE"/>
    <w:rsid w:val="00E743BB"/>
    <w:rsid w:val="00E75B6E"/>
    <w:rsid w:val="00EA0729"/>
    <w:rsid w:val="00EA132C"/>
    <w:rsid w:val="00EB7A96"/>
    <w:rsid w:val="00EC4EE3"/>
    <w:rsid w:val="00EC5A71"/>
    <w:rsid w:val="00EE6561"/>
    <w:rsid w:val="00EF54F0"/>
    <w:rsid w:val="00EF7C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Header">
    <w:name w:val="header"/>
    <w:basedOn w:val="Normal"/>
    <w:link w:val="HeaderChar"/>
    <w:rsid w:val="00B64D01"/>
    <w:pPr>
      <w:tabs>
        <w:tab w:val="center" w:pos="4513"/>
        <w:tab w:val="right" w:pos="9026"/>
      </w:tabs>
    </w:pPr>
    <w:rPr>
      <w:rFonts w:eastAsia="PMingLiU"/>
      <w:snapToGrid/>
      <w:lang w:eastAsia="zh-TW"/>
    </w:rPr>
  </w:style>
  <w:style w:type="character" w:customStyle="1" w:styleId="HeaderChar">
    <w:name w:val="Header Char"/>
    <w:basedOn w:val="DefaultParagraphFont"/>
    <w:link w:val="Header"/>
    <w:rsid w:val="00B64D01"/>
    <w:rPr>
      <w:rFonts w:ascii="Arial" w:eastAsia="PMingLiU" w:hAnsi="Arial"/>
      <w:sz w:val="22"/>
      <w:szCs w:val="22"/>
      <w:lang w:eastAsia="zh-TW"/>
    </w:rPr>
  </w:style>
  <w:style w:type="table" w:styleId="TableGrid">
    <w:name w:val="Table Grid"/>
    <w:basedOn w:val="TableNormal"/>
    <w:rsid w:val="00E176C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A1A"/>
    <w:pPr>
      <w:ind w:left="720"/>
      <w:contextualSpacing/>
    </w:pPr>
  </w:style>
  <w:style w:type="character" w:customStyle="1" w:styleId="highlight">
    <w:name w:val="highlight"/>
    <w:basedOn w:val="DefaultParagraphFont"/>
    <w:rsid w:val="00E43669"/>
  </w:style>
  <w:style w:type="character" w:customStyle="1" w:styleId="currenthithighlight">
    <w:name w:val="currenthithighlight"/>
    <w:basedOn w:val="DefaultParagraphFont"/>
    <w:rsid w:val="005D3369"/>
  </w:style>
  <w:style w:type="paragraph" w:styleId="NormalWeb">
    <w:name w:val="Normal (Web)"/>
    <w:basedOn w:val="Normal"/>
    <w:uiPriority w:val="99"/>
    <w:unhideWhenUsed/>
    <w:rsid w:val="005D3369"/>
    <w:pPr>
      <w:spacing w:before="100" w:beforeAutospacing="1" w:after="100" w:afterAutospacing="1"/>
    </w:pPr>
    <w:rPr>
      <w:rFonts w:ascii="Times New Roman" w:eastAsia="Times New Roman" w:hAnsi="Times New Roman"/>
      <w:snapToGrid/>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Header">
    <w:name w:val="header"/>
    <w:basedOn w:val="Normal"/>
    <w:link w:val="HeaderChar"/>
    <w:rsid w:val="00B64D01"/>
    <w:pPr>
      <w:tabs>
        <w:tab w:val="center" w:pos="4513"/>
        <w:tab w:val="right" w:pos="9026"/>
      </w:tabs>
    </w:pPr>
    <w:rPr>
      <w:rFonts w:eastAsia="PMingLiU"/>
      <w:snapToGrid/>
      <w:lang w:eastAsia="zh-TW"/>
    </w:rPr>
  </w:style>
  <w:style w:type="character" w:customStyle="1" w:styleId="HeaderChar">
    <w:name w:val="Header Char"/>
    <w:basedOn w:val="DefaultParagraphFont"/>
    <w:link w:val="Header"/>
    <w:rsid w:val="00B64D01"/>
    <w:rPr>
      <w:rFonts w:ascii="Arial" w:eastAsia="PMingLiU" w:hAnsi="Arial"/>
      <w:sz w:val="22"/>
      <w:szCs w:val="22"/>
      <w:lang w:eastAsia="zh-TW"/>
    </w:rPr>
  </w:style>
  <w:style w:type="table" w:styleId="TableGrid">
    <w:name w:val="Table Grid"/>
    <w:basedOn w:val="TableNormal"/>
    <w:rsid w:val="00E176C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A1A"/>
    <w:pPr>
      <w:ind w:left="720"/>
      <w:contextualSpacing/>
    </w:pPr>
  </w:style>
  <w:style w:type="character" w:customStyle="1" w:styleId="highlight">
    <w:name w:val="highlight"/>
    <w:basedOn w:val="DefaultParagraphFont"/>
    <w:rsid w:val="00E43669"/>
  </w:style>
  <w:style w:type="character" w:customStyle="1" w:styleId="currenthithighlight">
    <w:name w:val="currenthithighlight"/>
    <w:basedOn w:val="DefaultParagraphFont"/>
    <w:rsid w:val="005D3369"/>
  </w:style>
  <w:style w:type="paragraph" w:styleId="NormalWeb">
    <w:name w:val="Normal (Web)"/>
    <w:basedOn w:val="Normal"/>
    <w:uiPriority w:val="99"/>
    <w:unhideWhenUsed/>
    <w:rsid w:val="005D3369"/>
    <w:pPr>
      <w:spacing w:before="100" w:beforeAutospacing="1" w:after="100" w:afterAutospacing="1"/>
    </w:pPr>
    <w:rPr>
      <w:rFonts w:ascii="Times New Roman" w:eastAsia="Times New Roman" w:hAnsi="Times New Roman"/>
      <w:snapToGri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155">
      <w:bodyDiv w:val="1"/>
      <w:marLeft w:val="0"/>
      <w:marRight w:val="0"/>
      <w:marTop w:val="0"/>
      <w:marBottom w:val="0"/>
      <w:divBdr>
        <w:top w:val="none" w:sz="0" w:space="0" w:color="auto"/>
        <w:left w:val="none" w:sz="0" w:space="0" w:color="auto"/>
        <w:bottom w:val="none" w:sz="0" w:space="0" w:color="auto"/>
        <w:right w:val="none" w:sz="0" w:space="0" w:color="auto"/>
      </w:divBdr>
    </w:div>
    <w:div w:id="636842954">
      <w:bodyDiv w:val="1"/>
      <w:marLeft w:val="0"/>
      <w:marRight w:val="0"/>
      <w:marTop w:val="0"/>
      <w:marBottom w:val="0"/>
      <w:divBdr>
        <w:top w:val="none" w:sz="0" w:space="0" w:color="auto"/>
        <w:left w:val="none" w:sz="0" w:space="0" w:color="auto"/>
        <w:bottom w:val="none" w:sz="0" w:space="0" w:color="auto"/>
        <w:right w:val="none" w:sz="0" w:space="0" w:color="auto"/>
      </w:divBdr>
    </w:div>
    <w:div w:id="771972260">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581673245">
      <w:bodyDiv w:val="1"/>
      <w:marLeft w:val="0"/>
      <w:marRight w:val="0"/>
      <w:marTop w:val="0"/>
      <w:marBottom w:val="0"/>
      <w:divBdr>
        <w:top w:val="none" w:sz="0" w:space="0" w:color="auto"/>
        <w:left w:val="none" w:sz="0" w:space="0" w:color="auto"/>
        <w:bottom w:val="none" w:sz="0" w:space="0" w:color="auto"/>
        <w:right w:val="none" w:sz="0" w:space="0" w:color="auto"/>
      </w:divBdr>
    </w:div>
    <w:div w:id="17335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D183-29FD-4078-80EC-4DB89D6C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1594</Words>
  <Characters>8766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2019-04-10T13:34:00Z</dcterms:created>
  <dcterms:modified xsi:type="dcterms:W3CDTF">2019-04-10T13:34:00Z</dcterms:modified>
</cp:coreProperties>
</file>