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31C5ABE8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449ADB6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03E03DA4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4CA95EAC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18A1B8C4" w14:textId="77777777"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0F39E73C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3B68ACD5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9BB3E85" w14:textId="77777777"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5F5A57AB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27E235C8" w14:textId="77777777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A60AB2">
              <w:rPr>
                <w:rFonts w:ascii="Verdana" w:hAnsi="Verdana"/>
                <w:sz w:val="20"/>
                <w:szCs w:val="20"/>
              </w:rPr>
              <w:t>8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A60AB2">
              <w:rPr>
                <w:rFonts w:ascii="Verdana" w:hAnsi="Verdana"/>
                <w:sz w:val="20"/>
                <w:szCs w:val="20"/>
              </w:rPr>
              <w:t>2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A60AB2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14:paraId="2C35FA65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A60AB2">
              <w:rPr>
                <w:rFonts w:ascii="Verdana" w:hAnsi="Verdana"/>
                <w:sz w:val="20"/>
                <w:szCs w:val="20"/>
              </w:rPr>
              <w:t>22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0AB2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14:paraId="2DD3CC22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314B0D38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2746E128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A60AB2">
              <w:rPr>
                <w:rFonts w:ascii="Verdana" w:hAnsi="Verdana"/>
                <w:sz w:val="20"/>
                <w:szCs w:val="20"/>
              </w:rPr>
              <w:t>8.2</w:t>
            </w:r>
          </w:p>
          <w:p w14:paraId="65387DC4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433DB7EC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0760AE97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23167906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302DAE6D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bookmarkStart w:id="1" w:name="Text1"/>
    <w:p w14:paraId="63895DDE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Upper-level subject, e.g. BUFR AND CREX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A60AB2">
        <w:rPr>
          <w:rFonts w:ascii="Verdana" w:hAnsi="Verdana"/>
          <w:noProof/>
          <w:sz w:val="20"/>
          <w:szCs w:val="20"/>
        </w:rPr>
        <w:t>Status of migration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1"/>
    </w:p>
    <w:bookmarkStart w:id="2" w:name="Text2"/>
    <w:p w14:paraId="27E2F86C" w14:textId="2507DA42" w:rsidR="009F245F" w:rsidRPr="00F35A04" w:rsidRDefault="009F245F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F35A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itle of proposal"/>
            </w:textInput>
          </w:ffData>
        </w:fldChar>
      </w:r>
      <w:r w:rsidRPr="00F35A0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F35A04">
        <w:rPr>
          <w:rFonts w:ascii="Verdana" w:hAnsi="Verdana" w:cs="Arial"/>
          <w:b/>
          <w:sz w:val="20"/>
          <w:szCs w:val="20"/>
        </w:rPr>
      </w:r>
      <w:r w:rsidRPr="00F35A04">
        <w:rPr>
          <w:rFonts w:ascii="Verdana" w:hAnsi="Verdana" w:cs="Arial"/>
          <w:b/>
          <w:sz w:val="20"/>
          <w:szCs w:val="20"/>
        </w:rPr>
        <w:fldChar w:fldCharType="separate"/>
      </w:r>
      <w:r w:rsidR="00BA06DC">
        <w:rPr>
          <w:rFonts w:ascii="Verdana" w:hAnsi="Verdana" w:cs="Arial"/>
          <w:b/>
          <w:sz w:val="20"/>
          <w:szCs w:val="20"/>
        </w:rPr>
        <w:t xml:space="preserve">Status of migration to TDCFs within </w:t>
      </w:r>
      <w:r w:rsidR="00A60AB2">
        <w:rPr>
          <w:rFonts w:ascii="Verdana" w:hAnsi="Verdana" w:cs="Arial"/>
          <w:b/>
          <w:noProof/>
          <w:sz w:val="20"/>
          <w:szCs w:val="20"/>
        </w:rPr>
        <w:t>JCOMM</w:t>
      </w:r>
      <w:r w:rsidRPr="00F35A04"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14:paraId="49611ADB" w14:textId="77777777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Pr="00F35A04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35A04">
        <w:rPr>
          <w:rFonts w:ascii="Verdana" w:hAnsi="Verdana"/>
          <w:i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i/>
          <w:sz w:val="20"/>
          <w:szCs w:val="20"/>
        </w:rPr>
      </w:r>
      <w:r w:rsidRPr="00F35A04">
        <w:rPr>
          <w:rFonts w:ascii="Verdana" w:hAnsi="Verdana"/>
          <w:i/>
          <w:sz w:val="20"/>
          <w:szCs w:val="20"/>
        </w:rPr>
        <w:fldChar w:fldCharType="separate"/>
      </w:r>
      <w:r w:rsidR="00A60AB2">
        <w:rPr>
          <w:rFonts w:ascii="Verdana" w:hAnsi="Verdana"/>
          <w:i/>
          <w:noProof/>
          <w:sz w:val="20"/>
          <w:szCs w:val="20"/>
        </w:rPr>
        <w:t>David Berry (on behalf of JCOMM)</w:t>
      </w:r>
      <w:r w:rsidRPr="00F35A04">
        <w:rPr>
          <w:rFonts w:ascii="Verdana" w:hAnsi="Verdana"/>
          <w:i/>
          <w:sz w:val="20"/>
          <w:szCs w:val="20"/>
        </w:rPr>
        <w:fldChar w:fldCharType="end"/>
      </w:r>
      <w:bookmarkEnd w:id="3"/>
    </w:p>
    <w:p w14:paraId="2D50124F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73DB36DD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BD4B824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6AA920A8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7556B63A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4" w:name="Text4"/>
    <w:p w14:paraId="1A99D02D" w14:textId="77777777" w:rsidR="009F245F" w:rsidRPr="00F35A04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A60AB2">
        <w:rPr>
          <w:rFonts w:ascii="Verdana" w:hAnsi="Verdana"/>
          <w:noProof/>
          <w:sz w:val="20"/>
          <w:szCs w:val="20"/>
        </w:rPr>
        <w:t>Th</w:t>
      </w:r>
      <w:r w:rsidR="00FD7DC8">
        <w:rPr>
          <w:rFonts w:ascii="Verdana" w:hAnsi="Verdana"/>
          <w:noProof/>
          <w:sz w:val="20"/>
          <w:szCs w:val="20"/>
        </w:rPr>
        <w:t>is</w:t>
      </w:r>
      <w:r w:rsidR="00A60AB2">
        <w:rPr>
          <w:rFonts w:ascii="Verdana" w:hAnsi="Verdana"/>
          <w:noProof/>
          <w:sz w:val="20"/>
          <w:szCs w:val="20"/>
        </w:rPr>
        <w:t xml:space="preserve"> document</w:t>
      </w:r>
      <w:r w:rsidR="00FD7DC8">
        <w:rPr>
          <w:rFonts w:ascii="Verdana" w:hAnsi="Verdana"/>
          <w:noProof/>
          <w:sz w:val="20"/>
          <w:szCs w:val="20"/>
        </w:rPr>
        <w:t xml:space="preserve"> summarises the templates for reporting marine observations  on BUFR on the GTS.</w:t>
      </w:r>
      <w:r w:rsidR="00A60AB2">
        <w:rPr>
          <w:rFonts w:ascii="Verdana" w:hAnsi="Verdana"/>
          <w:noProof/>
          <w:sz w:val="20"/>
          <w:szCs w:val="20"/>
        </w:rPr>
        <w:t xml:space="preserve"> 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14:paraId="19D400A1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7528CF64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9A9244B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28E2198E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04FB1AEE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3044D4BC" w14:textId="0154DB92"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317DC3">
        <w:rPr>
          <w:rFonts w:ascii="Verdana" w:hAnsi="Verdana"/>
          <w:sz w:val="20"/>
          <w:szCs w:val="20"/>
        </w:rPr>
        <w:t>The team are invited to n</w:t>
      </w:r>
      <w:r w:rsidR="006D562C">
        <w:rPr>
          <w:rFonts w:ascii="Verdana" w:hAnsi="Verdana"/>
          <w:noProof/>
          <w:sz w:val="20"/>
          <w:szCs w:val="20"/>
        </w:rPr>
        <w:t>ote the progress to table driven codes within the marine community.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5"/>
    </w:p>
    <w:p w14:paraId="5BA1F395" w14:textId="77777777"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14:paraId="6F0A7950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7FDCD843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56617940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74757047" w14:textId="77777777"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14:paraId="58614070" w14:textId="77777777"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6" w:name="Text6"/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6D562C">
        <w:rPr>
          <w:rFonts w:ascii="Verdana" w:hAnsi="Verdana"/>
          <w:noProof/>
          <w:sz w:val="20"/>
          <w:szCs w:val="20"/>
        </w:rPr>
        <w:t>List of BUFR templates in use within JCOMM observations programme area.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6"/>
    </w:p>
    <w:p w14:paraId="25F1F137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4DBF8D5E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489F2671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1C9287FB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bookmarkStart w:id="7" w:name="Text7"/>
    <w:p w14:paraId="3C77743D" w14:textId="74E90C1C" w:rsidR="00DD7BC6" w:rsidRDefault="009F245F" w:rsidP="006D562C">
      <w:pPr>
        <w:jc w:val="both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Background of the proposal, e.g. requirements and purpose in detail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="0089481F">
        <w:rPr>
          <w:rFonts w:ascii="Verdana" w:hAnsi="Verdana"/>
          <w:sz w:val="20"/>
          <w:szCs w:val="20"/>
        </w:rPr>
      </w:r>
      <w:r w:rsidR="0089481F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7"/>
      <w:r w:rsidR="006D562C">
        <w:rPr>
          <w:rFonts w:ascii="Verdana" w:hAnsi="Verdana"/>
          <w:sz w:val="20"/>
          <w:szCs w:val="20"/>
        </w:rPr>
        <w:t xml:space="preserve">Annex I summarises the templates for reporting marine meteorological and oceanographic observations in BUFR. The majority of marine observations </w:t>
      </w:r>
      <w:r w:rsidR="00DE0665">
        <w:rPr>
          <w:rFonts w:ascii="Verdana" w:hAnsi="Verdana"/>
          <w:sz w:val="20"/>
          <w:szCs w:val="20"/>
        </w:rPr>
        <w:t xml:space="preserve">for buoys, VOS and profiling Argo floats </w:t>
      </w:r>
      <w:r w:rsidR="006D562C">
        <w:rPr>
          <w:rFonts w:ascii="Verdana" w:hAnsi="Verdana"/>
          <w:sz w:val="20"/>
          <w:szCs w:val="20"/>
        </w:rPr>
        <w:t>are now reported in either TAC and BUFR or BUFR only</w:t>
      </w:r>
      <w:r w:rsidR="003B6A3E">
        <w:rPr>
          <w:rFonts w:ascii="Verdana" w:hAnsi="Verdana"/>
          <w:sz w:val="20"/>
          <w:szCs w:val="20"/>
        </w:rPr>
        <w:t>. Table 1 lists the nu</w:t>
      </w:r>
      <w:r w:rsidR="00E6562C">
        <w:rPr>
          <w:rFonts w:ascii="Verdana" w:hAnsi="Verdana"/>
          <w:sz w:val="20"/>
          <w:szCs w:val="20"/>
        </w:rPr>
        <w:t xml:space="preserve">mber of reports distributed in </w:t>
      </w:r>
      <w:r w:rsidR="002E17EA">
        <w:rPr>
          <w:rFonts w:ascii="Verdana" w:hAnsi="Verdana"/>
          <w:sz w:val="20"/>
          <w:szCs w:val="20"/>
        </w:rPr>
        <w:t xml:space="preserve">BUFR and TAC </w:t>
      </w:r>
      <w:r w:rsidR="00E6562C">
        <w:rPr>
          <w:rFonts w:ascii="Verdana" w:hAnsi="Verdana"/>
          <w:sz w:val="20"/>
          <w:szCs w:val="20"/>
        </w:rPr>
        <w:t>on t</w:t>
      </w:r>
      <w:r w:rsidR="002E17EA">
        <w:rPr>
          <w:rFonts w:ascii="Verdana" w:hAnsi="Verdana"/>
          <w:sz w:val="20"/>
          <w:szCs w:val="20"/>
        </w:rPr>
        <w:t xml:space="preserve">he GTS </w:t>
      </w:r>
      <w:r w:rsidR="00E6562C">
        <w:rPr>
          <w:rFonts w:ascii="Verdana" w:hAnsi="Verdana"/>
          <w:sz w:val="20"/>
          <w:szCs w:val="20"/>
        </w:rPr>
        <w:t xml:space="preserve">and retrieved </w:t>
      </w:r>
      <w:r w:rsidR="002E17EA">
        <w:rPr>
          <w:rFonts w:ascii="Verdana" w:hAnsi="Verdana"/>
          <w:sz w:val="20"/>
          <w:szCs w:val="20"/>
        </w:rPr>
        <w:t>by the sources listed.</w:t>
      </w:r>
      <w:r w:rsidR="00E6562C">
        <w:rPr>
          <w:rFonts w:ascii="Verdana" w:hAnsi="Verdana"/>
          <w:sz w:val="20"/>
          <w:szCs w:val="20"/>
        </w:rPr>
        <w:t xml:space="preserve"> Migration to BUFR for E-ASAP observations was completed in 2016.</w:t>
      </w:r>
      <w:r w:rsidR="00DD7BC6">
        <w:rPr>
          <w:rFonts w:ascii="Verdana" w:hAnsi="Verdana"/>
          <w:sz w:val="20"/>
          <w:szCs w:val="20"/>
        </w:rPr>
        <w:t xml:space="preserve"> Migration of</w:t>
      </w:r>
      <w:r w:rsidR="00DE0665">
        <w:rPr>
          <w:rFonts w:ascii="Verdana" w:hAnsi="Verdana"/>
          <w:sz w:val="20"/>
          <w:szCs w:val="20"/>
        </w:rPr>
        <w:t xml:space="preserve"> BATHY </w:t>
      </w:r>
      <w:r w:rsidR="00DD7BC6">
        <w:rPr>
          <w:rFonts w:ascii="Verdana" w:hAnsi="Verdana"/>
          <w:sz w:val="20"/>
          <w:szCs w:val="20"/>
        </w:rPr>
        <w:t xml:space="preserve">reports to BUFR is underway and </w:t>
      </w:r>
      <w:r w:rsidR="00CC6711">
        <w:rPr>
          <w:rFonts w:ascii="Verdana" w:hAnsi="Verdana"/>
          <w:sz w:val="20"/>
          <w:szCs w:val="20"/>
        </w:rPr>
        <w:t xml:space="preserve">is </w:t>
      </w:r>
      <w:r w:rsidR="00DD7BC6">
        <w:rPr>
          <w:rFonts w:ascii="Verdana" w:hAnsi="Verdana"/>
          <w:sz w:val="20"/>
          <w:szCs w:val="20"/>
        </w:rPr>
        <w:t>almost complete</w:t>
      </w:r>
      <w:r w:rsidR="00CC6711">
        <w:rPr>
          <w:rStyle w:val="FootnoteReference"/>
          <w:rFonts w:ascii="Verdana" w:hAnsi="Verdana"/>
          <w:sz w:val="20"/>
          <w:szCs w:val="20"/>
        </w:rPr>
        <w:footnoteReference w:id="1"/>
      </w:r>
      <w:r w:rsidR="00DD7BC6">
        <w:rPr>
          <w:rFonts w:ascii="Verdana" w:hAnsi="Verdana"/>
          <w:sz w:val="20"/>
          <w:szCs w:val="20"/>
        </w:rPr>
        <w:t>.  A BUFR template for TRACKOB is available but has been reported to include limited metadata and to be of limited effectiveness</w:t>
      </w:r>
      <w:r w:rsidR="00CC6711">
        <w:rPr>
          <w:rFonts w:ascii="Verdana" w:hAnsi="Verdana"/>
          <w:sz w:val="20"/>
          <w:szCs w:val="20"/>
          <w:vertAlign w:val="superscript"/>
        </w:rPr>
        <w:t>1</w:t>
      </w:r>
      <w:r w:rsidR="00DD7BC6">
        <w:rPr>
          <w:rFonts w:ascii="Verdana" w:hAnsi="Verdana"/>
          <w:sz w:val="20"/>
          <w:szCs w:val="20"/>
        </w:rPr>
        <w:t>. Efforts are underway within the JCOMM S</w:t>
      </w:r>
      <w:r w:rsidR="00DF12FB">
        <w:rPr>
          <w:rFonts w:ascii="Verdana" w:hAnsi="Verdana"/>
          <w:sz w:val="20"/>
          <w:szCs w:val="20"/>
        </w:rPr>
        <w:t xml:space="preserve">hips </w:t>
      </w:r>
      <w:r w:rsidR="00DD7BC6">
        <w:rPr>
          <w:rFonts w:ascii="Verdana" w:hAnsi="Verdana"/>
          <w:sz w:val="20"/>
          <w:szCs w:val="20"/>
        </w:rPr>
        <w:t>O</w:t>
      </w:r>
      <w:r w:rsidR="00DF12FB">
        <w:rPr>
          <w:rFonts w:ascii="Verdana" w:hAnsi="Verdana"/>
          <w:sz w:val="20"/>
          <w:szCs w:val="20"/>
        </w:rPr>
        <w:t xml:space="preserve">f </w:t>
      </w:r>
      <w:r w:rsidR="00DD7BC6">
        <w:rPr>
          <w:rFonts w:ascii="Verdana" w:hAnsi="Verdana"/>
          <w:sz w:val="20"/>
          <w:szCs w:val="20"/>
        </w:rPr>
        <w:t>O</w:t>
      </w:r>
      <w:r w:rsidR="00DF12FB">
        <w:rPr>
          <w:rFonts w:ascii="Verdana" w:hAnsi="Verdana"/>
          <w:sz w:val="20"/>
          <w:szCs w:val="20"/>
        </w:rPr>
        <w:t xml:space="preserve">pportunity </w:t>
      </w:r>
      <w:r w:rsidR="00DD7BC6">
        <w:rPr>
          <w:rFonts w:ascii="Verdana" w:hAnsi="Verdana"/>
          <w:sz w:val="20"/>
          <w:szCs w:val="20"/>
        </w:rPr>
        <w:t>P</w:t>
      </w:r>
      <w:r w:rsidR="00DF12FB">
        <w:rPr>
          <w:rFonts w:ascii="Verdana" w:hAnsi="Verdana"/>
          <w:sz w:val="20"/>
          <w:szCs w:val="20"/>
        </w:rPr>
        <w:t>rogramme</w:t>
      </w:r>
      <w:r w:rsidR="00DD7BC6">
        <w:rPr>
          <w:rFonts w:ascii="Verdana" w:hAnsi="Verdana"/>
          <w:sz w:val="20"/>
          <w:szCs w:val="20"/>
        </w:rPr>
        <w:t xml:space="preserve"> to revise the template.</w:t>
      </w:r>
    </w:p>
    <w:p w14:paraId="4DB309A6" w14:textId="77777777" w:rsidR="009C0D61" w:rsidRDefault="009C0D61" w:rsidP="006D562C">
      <w:pPr>
        <w:jc w:val="both"/>
        <w:rPr>
          <w:rFonts w:ascii="Verdana" w:hAnsi="Verdana"/>
          <w:sz w:val="20"/>
          <w:szCs w:val="20"/>
        </w:rPr>
      </w:pPr>
    </w:p>
    <w:p w14:paraId="6885F5B3" w14:textId="77777777" w:rsidR="00AF468D" w:rsidRPr="00CC6711" w:rsidRDefault="009C0D61" w:rsidP="002E17EA">
      <w:pPr>
        <w:jc w:val="center"/>
        <w:rPr>
          <w:rFonts w:ascii="Verdana" w:hAnsi="Verdana"/>
          <w:b/>
          <w:sz w:val="20"/>
          <w:szCs w:val="20"/>
        </w:rPr>
      </w:pPr>
      <w:r w:rsidRPr="00CC6711">
        <w:rPr>
          <w:rFonts w:ascii="Verdana" w:hAnsi="Verdana"/>
          <w:b/>
          <w:sz w:val="20"/>
          <w:szCs w:val="20"/>
        </w:rPr>
        <w:t>Table 1:</w:t>
      </w:r>
      <w:r w:rsidR="002E17EA" w:rsidRPr="00CC6711">
        <w:rPr>
          <w:rFonts w:ascii="Verdana" w:hAnsi="Verdana"/>
          <w:b/>
          <w:sz w:val="20"/>
          <w:szCs w:val="20"/>
        </w:rPr>
        <w:t xml:space="preserve"> Number of observations from marine platforms reporting in TAC and BUFR over the periods specified.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977"/>
        <w:gridCol w:w="1275"/>
        <w:gridCol w:w="2376"/>
      </w:tblGrid>
      <w:tr w:rsidR="009C0D61" w:rsidRPr="008D1EB7" w14:paraId="398B7F58" w14:textId="77777777" w:rsidTr="001032BE">
        <w:tc>
          <w:tcPr>
            <w:tcW w:w="1668" w:type="dxa"/>
            <w:vAlign w:val="center"/>
          </w:tcPr>
          <w:p w14:paraId="762FD068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B7">
              <w:rPr>
                <w:rFonts w:ascii="Verdana" w:hAnsi="Verdana" w:cs="Arial"/>
                <w:b/>
                <w:sz w:val="20"/>
                <w:szCs w:val="20"/>
              </w:rPr>
              <w:t>Platform</w:t>
            </w:r>
          </w:p>
        </w:tc>
        <w:tc>
          <w:tcPr>
            <w:tcW w:w="1559" w:type="dxa"/>
            <w:vAlign w:val="center"/>
          </w:tcPr>
          <w:p w14:paraId="235B13B4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B7">
              <w:rPr>
                <w:rFonts w:ascii="Verdana" w:hAnsi="Verdana" w:cs="Arial"/>
                <w:b/>
                <w:sz w:val="20"/>
                <w:szCs w:val="20"/>
              </w:rPr>
              <w:t>Format</w:t>
            </w:r>
          </w:p>
        </w:tc>
        <w:tc>
          <w:tcPr>
            <w:tcW w:w="2977" w:type="dxa"/>
            <w:vAlign w:val="center"/>
          </w:tcPr>
          <w:p w14:paraId="780FA5D9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B7">
              <w:rPr>
                <w:rFonts w:ascii="Verdana" w:hAnsi="Verdana" w:cs="Arial"/>
                <w:b/>
                <w:sz w:val="20"/>
                <w:szCs w:val="20"/>
              </w:rPr>
              <w:t>Sampling period</w:t>
            </w:r>
          </w:p>
        </w:tc>
        <w:tc>
          <w:tcPr>
            <w:tcW w:w="1275" w:type="dxa"/>
            <w:vAlign w:val="center"/>
          </w:tcPr>
          <w:p w14:paraId="0B5A5E49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B7">
              <w:rPr>
                <w:rFonts w:ascii="Verdana" w:hAnsi="Verdana" w:cs="Arial"/>
                <w:b/>
                <w:sz w:val="20"/>
                <w:szCs w:val="20"/>
              </w:rPr>
              <w:t>Count</w:t>
            </w:r>
          </w:p>
        </w:tc>
        <w:tc>
          <w:tcPr>
            <w:tcW w:w="2376" w:type="dxa"/>
            <w:vAlign w:val="center"/>
          </w:tcPr>
          <w:p w14:paraId="24DFD217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B7">
              <w:rPr>
                <w:rFonts w:ascii="Verdana" w:hAnsi="Verdana" w:cs="Arial"/>
                <w:b/>
                <w:sz w:val="20"/>
                <w:szCs w:val="20"/>
              </w:rPr>
              <w:t>Source</w:t>
            </w:r>
          </w:p>
        </w:tc>
      </w:tr>
      <w:tr w:rsidR="009C0D61" w:rsidRPr="008D1EB7" w14:paraId="70BE6417" w14:textId="77777777" w:rsidTr="001032BE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7A11548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VOS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BA3B7B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BUFR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88ACBC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2017/06/01 – 2017/06/30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5773F9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145841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C0902D5" w14:textId="77777777" w:rsidR="008D1EB7" w:rsidRPr="008D1EB7" w:rsidRDefault="009C0D61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JCOMMOPS</w:t>
            </w:r>
            <w:r w:rsidR="001032BE">
              <w:rPr>
                <w:rStyle w:val="FootnoteReference"/>
                <w:rFonts w:ascii="Verdana" w:hAnsi="Verdana" w:cs="Arial"/>
                <w:sz w:val="20"/>
                <w:szCs w:val="20"/>
              </w:rPr>
              <w:footnoteReference w:id="2"/>
            </w:r>
          </w:p>
        </w:tc>
      </w:tr>
      <w:tr w:rsidR="009C0D61" w:rsidRPr="008D1EB7" w14:paraId="228B3CCE" w14:textId="77777777" w:rsidTr="001032BE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312C7D5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890B6D" w14:textId="0CCB8589" w:rsidR="008D1EB7" w:rsidRPr="008D1EB7" w:rsidRDefault="008D1EB7" w:rsidP="00CC671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TAC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E880E4B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2017/06/01 – 2017/06/30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49927D7" w14:textId="77777777" w:rsidR="008D1EB7" w:rsidRPr="008D1EB7" w:rsidRDefault="008D1EB7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159029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29A3FB7" w14:textId="77777777" w:rsidR="008D1EB7" w:rsidRPr="008D1EB7" w:rsidRDefault="009C0D61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JCOMMOPS</w:t>
            </w:r>
          </w:p>
        </w:tc>
      </w:tr>
      <w:tr w:rsidR="009C0D61" w:rsidRPr="008D1EB7" w14:paraId="231B3F4C" w14:textId="77777777" w:rsidTr="001032BE">
        <w:tc>
          <w:tcPr>
            <w:tcW w:w="1668" w:type="dxa"/>
            <w:vAlign w:val="center"/>
          </w:tcPr>
          <w:p w14:paraId="52A85EE9" w14:textId="77777777" w:rsidR="009C0D61" w:rsidRPr="008D1EB7" w:rsidRDefault="009C0D61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4DF3B4" w14:textId="77777777" w:rsidR="009C0D61" w:rsidRPr="008D1EB7" w:rsidRDefault="009C0D61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BUFR</w:t>
            </w:r>
          </w:p>
        </w:tc>
        <w:tc>
          <w:tcPr>
            <w:tcW w:w="2977" w:type="dxa"/>
            <w:vAlign w:val="center"/>
          </w:tcPr>
          <w:p w14:paraId="698AF8CF" w14:textId="77777777" w:rsidR="009C0D61" w:rsidRPr="008D1EB7" w:rsidRDefault="009C0D61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2017/06/29 – 2017/06/29</w:t>
            </w:r>
          </w:p>
        </w:tc>
        <w:tc>
          <w:tcPr>
            <w:tcW w:w="1275" w:type="dxa"/>
            <w:vAlign w:val="center"/>
          </w:tcPr>
          <w:p w14:paraId="137814CA" w14:textId="77777777" w:rsidR="009C0D61" w:rsidRPr="008D1EB7" w:rsidRDefault="009C0D61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6489</w:t>
            </w:r>
          </w:p>
        </w:tc>
        <w:tc>
          <w:tcPr>
            <w:tcW w:w="2376" w:type="dxa"/>
            <w:vAlign w:val="center"/>
          </w:tcPr>
          <w:p w14:paraId="00C238F7" w14:textId="77777777" w:rsidR="002E17EA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Paul Poli </w:t>
            </w:r>
          </w:p>
          <w:p w14:paraId="36101C52" w14:textId="77777777" w:rsidR="009C0D61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</w:t>
            </w:r>
            <w:r w:rsidR="009C0D61">
              <w:rPr>
                <w:rFonts w:ascii="Verdana" w:eastAsia="Times New Roman" w:hAnsi="Verdana" w:cs="Arial"/>
                <w:sz w:val="20"/>
                <w:szCs w:val="20"/>
              </w:rPr>
              <w:t>Météo-France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)</w:t>
            </w:r>
          </w:p>
        </w:tc>
      </w:tr>
      <w:tr w:rsidR="002E17EA" w:rsidRPr="008D1EB7" w14:paraId="6650DAE0" w14:textId="77777777" w:rsidTr="001032BE">
        <w:tc>
          <w:tcPr>
            <w:tcW w:w="1668" w:type="dxa"/>
            <w:vAlign w:val="center"/>
          </w:tcPr>
          <w:p w14:paraId="67580CD1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F08F55" w14:textId="5567DE64" w:rsidR="002E17EA" w:rsidRPr="008D1EB7" w:rsidRDefault="002E17EA" w:rsidP="00CC671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TAC</w:t>
            </w:r>
          </w:p>
        </w:tc>
        <w:tc>
          <w:tcPr>
            <w:tcW w:w="2977" w:type="dxa"/>
            <w:vAlign w:val="center"/>
          </w:tcPr>
          <w:p w14:paraId="22B78ED1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2017/06/29 – 2017/06/29</w:t>
            </w:r>
          </w:p>
        </w:tc>
        <w:tc>
          <w:tcPr>
            <w:tcW w:w="1275" w:type="dxa"/>
            <w:vAlign w:val="center"/>
          </w:tcPr>
          <w:p w14:paraId="76EEA0B8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7281</w:t>
            </w:r>
          </w:p>
        </w:tc>
        <w:tc>
          <w:tcPr>
            <w:tcW w:w="2376" w:type="dxa"/>
            <w:vAlign w:val="center"/>
          </w:tcPr>
          <w:p w14:paraId="3B98A6E9" w14:textId="77777777" w:rsidR="002E17EA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Paul Poli </w:t>
            </w:r>
          </w:p>
          <w:p w14:paraId="6A47FA0E" w14:textId="77777777" w:rsidR="002E17EA" w:rsidRPr="008D1EB7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(Météo-France)</w:t>
            </w:r>
          </w:p>
        </w:tc>
      </w:tr>
      <w:tr w:rsidR="009C0D61" w:rsidRPr="008D1EB7" w14:paraId="5397C0A5" w14:textId="77777777" w:rsidTr="001032BE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6E9C3E0" w14:textId="77777777" w:rsidR="009C0D61" w:rsidRPr="008D1EB7" w:rsidRDefault="009C0D61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Argo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0C55EC" w14:textId="77777777" w:rsidR="009C0D61" w:rsidRPr="008D1EB7" w:rsidRDefault="009C0D61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B7">
              <w:rPr>
                <w:rFonts w:ascii="Verdana" w:hAnsi="Verdana" w:cs="Arial"/>
                <w:sz w:val="20"/>
                <w:szCs w:val="20"/>
              </w:rPr>
              <w:t>BUFR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4907A4" w14:textId="77777777" w:rsidR="009C0D61" w:rsidRPr="008D1EB7" w:rsidRDefault="003B6A3E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2016/03/01 – 2017/02/28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9B6EE4E" w14:textId="77777777" w:rsidR="009C0D61" w:rsidRPr="008D1EB7" w:rsidRDefault="009C0D61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12396</w:t>
            </w:r>
            <w:r w:rsidR="003B6A3E">
              <w:rPr>
                <w:rFonts w:ascii="Verdana" w:eastAsia="Times New Roman" w:hAnsi="Verdana" w:cs="Arial"/>
                <w:sz w:val="20"/>
                <w:szCs w:val="20"/>
              </w:rPr>
              <w:t xml:space="preserve"> / month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9E0E400" w14:textId="77777777" w:rsidR="009C0D61" w:rsidRPr="008D1EB7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Anh Tran (Fisheries and Oceans Canada)</w:t>
            </w:r>
          </w:p>
        </w:tc>
      </w:tr>
      <w:tr w:rsidR="002E17EA" w:rsidRPr="008D1EB7" w14:paraId="533382E6" w14:textId="77777777" w:rsidTr="001032BE">
        <w:trPr>
          <w:trHeight w:val="99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FC66250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B6983C" w14:textId="474C4E62" w:rsidR="002E17EA" w:rsidRPr="008D1EB7" w:rsidRDefault="002E17EA" w:rsidP="00CC671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TAC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FFB3BB2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2016/03/01 – 2017/02/28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42DE5EB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12446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/ month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FDA426F" w14:textId="77777777" w:rsidR="002E17EA" w:rsidRPr="008D1EB7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Anh Tran (Fisheries and Oceans Canada)</w:t>
            </w:r>
          </w:p>
        </w:tc>
      </w:tr>
      <w:tr w:rsidR="002E17EA" w:rsidRPr="008D1EB7" w14:paraId="3CAC6105" w14:textId="77777777" w:rsidTr="001032BE">
        <w:tc>
          <w:tcPr>
            <w:tcW w:w="1668" w:type="dxa"/>
            <w:vAlign w:val="center"/>
          </w:tcPr>
          <w:p w14:paraId="7A31A4F1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Moored buoy</w:t>
            </w:r>
          </w:p>
        </w:tc>
        <w:tc>
          <w:tcPr>
            <w:tcW w:w="1559" w:type="dxa"/>
            <w:vAlign w:val="center"/>
          </w:tcPr>
          <w:p w14:paraId="5D91A743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BUFR</w:t>
            </w:r>
          </w:p>
        </w:tc>
        <w:tc>
          <w:tcPr>
            <w:tcW w:w="2977" w:type="dxa"/>
            <w:vAlign w:val="center"/>
          </w:tcPr>
          <w:p w14:paraId="37CA9CF7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2017/06/29 – 2017/06/29</w:t>
            </w:r>
          </w:p>
        </w:tc>
        <w:tc>
          <w:tcPr>
            <w:tcW w:w="1275" w:type="dxa"/>
            <w:vAlign w:val="center"/>
          </w:tcPr>
          <w:p w14:paraId="72F49196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8867</w:t>
            </w:r>
          </w:p>
        </w:tc>
        <w:tc>
          <w:tcPr>
            <w:tcW w:w="2376" w:type="dxa"/>
            <w:vAlign w:val="center"/>
          </w:tcPr>
          <w:p w14:paraId="2B8209E0" w14:textId="77777777" w:rsidR="002E17EA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Paul Poli </w:t>
            </w:r>
          </w:p>
          <w:p w14:paraId="36C19CE2" w14:textId="77777777" w:rsidR="002E17EA" w:rsidRPr="008D1EB7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(Météo-France)</w:t>
            </w:r>
          </w:p>
        </w:tc>
      </w:tr>
      <w:tr w:rsidR="002E17EA" w:rsidRPr="008D1EB7" w14:paraId="2908672D" w14:textId="77777777" w:rsidTr="001032BE">
        <w:tc>
          <w:tcPr>
            <w:tcW w:w="1668" w:type="dxa"/>
            <w:vAlign w:val="center"/>
          </w:tcPr>
          <w:p w14:paraId="3C12CB44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0CD05D" w14:textId="2CFCE4B2" w:rsidR="002E17EA" w:rsidRPr="008D1EB7" w:rsidRDefault="002E17EA" w:rsidP="00CC671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TAC</w:t>
            </w:r>
          </w:p>
        </w:tc>
        <w:tc>
          <w:tcPr>
            <w:tcW w:w="2977" w:type="dxa"/>
            <w:vAlign w:val="center"/>
          </w:tcPr>
          <w:p w14:paraId="5EA23F66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2017/06/29 – 2017/06/29</w:t>
            </w:r>
          </w:p>
        </w:tc>
        <w:tc>
          <w:tcPr>
            <w:tcW w:w="1275" w:type="dxa"/>
            <w:vAlign w:val="center"/>
          </w:tcPr>
          <w:p w14:paraId="11670E10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8562</w:t>
            </w:r>
          </w:p>
        </w:tc>
        <w:tc>
          <w:tcPr>
            <w:tcW w:w="2376" w:type="dxa"/>
            <w:vAlign w:val="center"/>
          </w:tcPr>
          <w:p w14:paraId="399345C4" w14:textId="77777777" w:rsidR="002E17EA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Paul Poli </w:t>
            </w:r>
          </w:p>
          <w:p w14:paraId="61E854C1" w14:textId="77777777" w:rsidR="002E17EA" w:rsidRPr="008D1EB7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(Météo-France)</w:t>
            </w:r>
          </w:p>
        </w:tc>
      </w:tr>
      <w:tr w:rsidR="002E17EA" w:rsidRPr="008D1EB7" w14:paraId="2E51FA82" w14:textId="77777777" w:rsidTr="001032BE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26AF4E0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Drifting buoy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4112D0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BUFR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77B7C73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2017/06/29 – 2017/06/29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61F4D0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17888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3F98968" w14:textId="77777777" w:rsidR="002E17EA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Paul Poli </w:t>
            </w:r>
          </w:p>
          <w:p w14:paraId="47193D50" w14:textId="77777777" w:rsidR="002E17EA" w:rsidRPr="008D1EB7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(Météo-France)</w:t>
            </w:r>
          </w:p>
        </w:tc>
      </w:tr>
      <w:tr w:rsidR="002E17EA" w:rsidRPr="008D1EB7" w14:paraId="4AB9D1E4" w14:textId="77777777" w:rsidTr="001032BE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A041BE7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AF3C1E" w14:textId="2C11F0B6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TAC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FA22484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2017/06/29 – 2017/06/29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A5F98B9" w14:textId="77777777" w:rsidR="002E17EA" w:rsidRPr="008D1EB7" w:rsidRDefault="002E17EA" w:rsidP="009C0D61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1EB7">
              <w:rPr>
                <w:rFonts w:ascii="Verdana" w:eastAsia="Times New Roman" w:hAnsi="Verdana" w:cs="Arial"/>
                <w:sz w:val="20"/>
                <w:szCs w:val="20"/>
              </w:rPr>
              <w:t>14653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072B099" w14:textId="77777777" w:rsidR="002E17EA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Paul Poli </w:t>
            </w:r>
          </w:p>
          <w:p w14:paraId="3AEDAAAF" w14:textId="77777777" w:rsidR="002E17EA" w:rsidRPr="008D1EB7" w:rsidRDefault="002E17EA" w:rsidP="002E17EA">
            <w:pPr>
              <w:spacing w:before="4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(Météo-France)</w:t>
            </w:r>
          </w:p>
        </w:tc>
      </w:tr>
    </w:tbl>
    <w:p w14:paraId="31661789" w14:textId="77777777"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14:paraId="3B29B138" w14:textId="2F5B5730" w:rsidR="009F245F" w:rsidRPr="0030669C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498077BD" w14:textId="77777777" w:rsidR="00FC7FE8" w:rsidRPr="00F35A04" w:rsidRDefault="001032BE" w:rsidP="00FD7D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None, for information purposes.</w:t>
      </w:r>
    </w:p>
    <w:p w14:paraId="08AB081F" w14:textId="77777777" w:rsidR="00CC6711" w:rsidRPr="00CC6711" w:rsidRDefault="00CC6711">
      <w:pPr>
        <w:jc w:val="both"/>
        <w:rPr>
          <w:rFonts w:ascii="Verdana" w:hAnsi="Verdana"/>
          <w:b/>
          <w:sz w:val="20"/>
          <w:szCs w:val="20"/>
          <w:lang w:val="en-US"/>
        </w:rPr>
        <w:sectPr w:rsidR="00CC6711" w:rsidRPr="00CC6711" w:rsidSect="00205D7D">
          <w:type w:val="continuous"/>
          <w:pgSz w:w="11907" w:h="16840" w:code="9"/>
          <w:pgMar w:top="1134" w:right="1134" w:bottom="1134" w:left="1134" w:header="567" w:footer="567" w:gutter="0"/>
          <w:paperSrc w:first="15" w:other="15"/>
          <w:cols w:space="708"/>
          <w:docGrid w:type="linesAndChars" w:linePitch="326"/>
        </w:sectPr>
      </w:pPr>
    </w:p>
    <w:p w14:paraId="4F2B29F4" w14:textId="77777777" w:rsidR="00D51173" w:rsidRDefault="00FC1D59" w:rsidP="00FC1D59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FC1D59">
        <w:rPr>
          <w:rFonts w:ascii="Verdana" w:hAnsi="Verdana"/>
          <w:b/>
          <w:sz w:val="20"/>
          <w:szCs w:val="20"/>
          <w:lang w:val="en-US"/>
        </w:rPr>
        <w:lastRenderedPageBreak/>
        <w:t>Annex I</w:t>
      </w:r>
    </w:p>
    <w:p w14:paraId="45F560DD" w14:textId="77777777" w:rsidR="00FC1D59" w:rsidRPr="00FC1D59" w:rsidRDefault="00FC1D59" w:rsidP="00FC1D59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4782" w:type="dxa"/>
        <w:tblLook w:val="01E0" w:firstRow="1" w:lastRow="1" w:firstColumn="1" w:lastColumn="1" w:noHBand="0" w:noVBand="0"/>
      </w:tblPr>
      <w:tblGrid>
        <w:gridCol w:w="2100"/>
        <w:gridCol w:w="1410"/>
        <w:gridCol w:w="5112"/>
        <w:gridCol w:w="2543"/>
        <w:gridCol w:w="3617"/>
      </w:tblGrid>
      <w:tr w:rsidR="00FC1D59" w:rsidRPr="00DD700B" w14:paraId="31CFA798" w14:textId="77777777" w:rsidTr="00317DC3">
        <w:tc>
          <w:tcPr>
            <w:tcW w:w="2100" w:type="dxa"/>
            <w:shd w:val="clear" w:color="auto" w:fill="FFFF99"/>
          </w:tcPr>
          <w:p w14:paraId="7191D559" w14:textId="77777777" w:rsidR="00FC1D59" w:rsidRPr="00DD700B" w:rsidRDefault="00FC1D59" w:rsidP="00317DC3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TAC</w:t>
            </w:r>
          </w:p>
        </w:tc>
        <w:tc>
          <w:tcPr>
            <w:tcW w:w="1410" w:type="dxa"/>
            <w:shd w:val="clear" w:color="auto" w:fill="FFFF99"/>
          </w:tcPr>
          <w:p w14:paraId="02B2BA16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5112" w:type="dxa"/>
            <w:shd w:val="clear" w:color="auto" w:fill="FFFF99"/>
          </w:tcPr>
          <w:p w14:paraId="1D99901F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i/>
                <w:iCs/>
                <w:sz w:val="20"/>
                <w:szCs w:val="20"/>
              </w:rPr>
              <w:t>Current template(s)</w:t>
            </w:r>
          </w:p>
        </w:tc>
        <w:tc>
          <w:tcPr>
            <w:tcW w:w="2543" w:type="dxa"/>
            <w:shd w:val="clear" w:color="auto" w:fill="FFFF99"/>
          </w:tcPr>
          <w:p w14:paraId="273ABC99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3617" w:type="dxa"/>
            <w:shd w:val="clear" w:color="auto" w:fill="FFFF99"/>
          </w:tcPr>
          <w:p w14:paraId="13620111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i/>
                <w:iCs/>
                <w:sz w:val="20"/>
                <w:szCs w:val="20"/>
              </w:rPr>
              <w:t>Plans/comments</w:t>
            </w:r>
          </w:p>
        </w:tc>
      </w:tr>
      <w:tr w:rsidR="00FC1D59" w:rsidRPr="00DD700B" w14:paraId="62C02EE0" w14:textId="77777777" w:rsidTr="00317DC3">
        <w:tc>
          <w:tcPr>
            <w:tcW w:w="2100" w:type="dxa"/>
            <w:vMerge w:val="restart"/>
            <w:shd w:val="clear" w:color="auto" w:fill="EEECE1"/>
            <w:vAlign w:val="center"/>
          </w:tcPr>
          <w:p w14:paraId="065D3176" w14:textId="77777777" w:rsidR="00FC1D59" w:rsidRPr="00DD700B" w:rsidRDefault="00FC1D59" w:rsidP="00317DC3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FM13-XIV SHIP</w:t>
            </w:r>
          </w:p>
        </w:tc>
        <w:tc>
          <w:tcPr>
            <w:tcW w:w="1410" w:type="dxa"/>
            <w:shd w:val="clear" w:color="auto" w:fill="EEECE1"/>
          </w:tcPr>
          <w:p w14:paraId="403F3B08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VOS data</w:t>
            </w:r>
          </w:p>
        </w:tc>
        <w:tc>
          <w:tcPr>
            <w:tcW w:w="5112" w:type="dxa"/>
            <w:shd w:val="clear" w:color="auto" w:fill="EEECE1"/>
          </w:tcPr>
          <w:p w14:paraId="54C88077" w14:textId="77777777" w:rsidR="00FC1D59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8" w:history="1">
              <w:r w:rsidR="00FC1D59" w:rsidRPr="00DD700B">
                <w:rPr>
                  <w:rStyle w:val="Hyperlink"/>
                  <w:rFonts w:cs="Arial"/>
                  <w:sz w:val="20"/>
                  <w:szCs w:val="20"/>
                </w:rPr>
                <w:t>B/C10 - Regulations for reporting SHIP data in TDCF</w:t>
              </w:r>
            </w:hyperlink>
            <w:r w:rsidR="00FC1D59" w:rsidRPr="00DD700B">
              <w:rPr>
                <w:rFonts w:cs="Arial"/>
                <w:sz w:val="20"/>
                <w:szCs w:val="20"/>
              </w:rPr>
              <w:t xml:space="preserve"> </w:t>
            </w:r>
          </w:p>
          <w:p w14:paraId="2AF537EA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EEECE1"/>
          </w:tcPr>
          <w:p w14:paraId="1C6EC7F4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Operational (TM308009)</w:t>
            </w:r>
          </w:p>
        </w:tc>
        <w:tc>
          <w:tcPr>
            <w:tcW w:w="3617" w:type="dxa"/>
            <w:shd w:val="clear" w:color="auto" w:fill="EEECE1"/>
          </w:tcPr>
          <w:p w14:paraId="60F99B1A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C1D59" w:rsidRPr="00DD700B" w14:paraId="56D03CFF" w14:textId="77777777" w:rsidTr="00317DC3">
        <w:tc>
          <w:tcPr>
            <w:tcW w:w="2100" w:type="dxa"/>
            <w:vMerge/>
            <w:shd w:val="clear" w:color="auto" w:fill="EEECE1"/>
            <w:vAlign w:val="center"/>
          </w:tcPr>
          <w:p w14:paraId="01D33FF0" w14:textId="77777777" w:rsidR="00FC1D59" w:rsidRPr="00DD700B" w:rsidRDefault="00FC1D59" w:rsidP="00317D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EEECE1"/>
          </w:tcPr>
          <w:p w14:paraId="204897A2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VOS data</w:t>
            </w:r>
          </w:p>
        </w:tc>
        <w:tc>
          <w:tcPr>
            <w:tcW w:w="5112" w:type="dxa"/>
            <w:shd w:val="clear" w:color="auto" w:fill="EEECE1"/>
          </w:tcPr>
          <w:p w14:paraId="1BEDD33C" w14:textId="77777777" w:rsidR="00FC1D59" w:rsidRPr="00DD700B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9" w:history="1">
              <w:r w:rsidR="00FC1D59" w:rsidRPr="00DD700B">
                <w:rPr>
                  <w:rStyle w:val="Hyperlink"/>
                  <w:rFonts w:cs="Arial"/>
                  <w:sz w:val="20"/>
                  <w:szCs w:val="20"/>
                </w:rPr>
                <w:t>Synoptic reports from sea stations suitable for SHIP observation data from VOS stations</w:t>
              </w:r>
            </w:hyperlink>
            <w:r w:rsidR="00FC1D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43" w:type="dxa"/>
            <w:shd w:val="clear" w:color="auto" w:fill="EEECE1"/>
          </w:tcPr>
          <w:p w14:paraId="0DCD63D1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Operational (TM308014)</w:t>
            </w:r>
          </w:p>
        </w:tc>
        <w:tc>
          <w:tcPr>
            <w:tcW w:w="3617" w:type="dxa"/>
            <w:shd w:val="clear" w:color="auto" w:fill="EEECE1"/>
          </w:tcPr>
          <w:p w14:paraId="1B7AF330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Replaces / supersedes TM308009</w:t>
            </w:r>
          </w:p>
        </w:tc>
      </w:tr>
      <w:tr w:rsidR="00FC1D59" w:rsidRPr="00DD700B" w14:paraId="30E29551" w14:textId="77777777" w:rsidTr="00317DC3">
        <w:tc>
          <w:tcPr>
            <w:tcW w:w="2100" w:type="dxa"/>
            <w:shd w:val="clear" w:color="auto" w:fill="EEECE1"/>
            <w:vAlign w:val="center"/>
          </w:tcPr>
          <w:p w14:paraId="0DC0E432" w14:textId="77777777" w:rsidR="00FC1D59" w:rsidRPr="00DD700B" w:rsidRDefault="00FC1D59" w:rsidP="00317D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EEECE1"/>
          </w:tcPr>
          <w:p w14:paraId="3BFF18AC" w14:textId="77777777" w:rsidR="00FC1D59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Offshore platforms</w:t>
            </w:r>
          </w:p>
        </w:tc>
        <w:tc>
          <w:tcPr>
            <w:tcW w:w="5112" w:type="dxa"/>
            <w:shd w:val="clear" w:color="auto" w:fill="EEECE1"/>
          </w:tcPr>
          <w:p w14:paraId="44625567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Template for the representation of observations from offshore platforms </w:t>
            </w:r>
          </w:p>
        </w:tc>
        <w:tc>
          <w:tcPr>
            <w:tcW w:w="2543" w:type="dxa"/>
            <w:shd w:val="clear" w:color="auto" w:fill="EEECE1"/>
          </w:tcPr>
          <w:p w14:paraId="0B731EDF" w14:textId="77777777" w:rsidR="00FC1D59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Validated (TM308017)</w:t>
            </w:r>
          </w:p>
        </w:tc>
        <w:tc>
          <w:tcPr>
            <w:tcW w:w="3617" w:type="dxa"/>
            <w:shd w:val="clear" w:color="auto" w:fill="EEECE1"/>
          </w:tcPr>
          <w:p w14:paraId="5A740B4E" w14:textId="77777777" w:rsidR="00FC1D59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Proposed FT2017-2 implementation</w:t>
            </w:r>
          </w:p>
        </w:tc>
      </w:tr>
      <w:tr w:rsidR="00FC1D59" w:rsidRPr="00DD700B" w14:paraId="767C50C1" w14:textId="77777777" w:rsidTr="00317DC3">
        <w:tc>
          <w:tcPr>
            <w:tcW w:w="2100" w:type="dxa"/>
            <w:vMerge w:val="restart"/>
            <w:vAlign w:val="center"/>
          </w:tcPr>
          <w:p w14:paraId="7F870011" w14:textId="77777777" w:rsidR="00FC1D59" w:rsidRPr="00692AFC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2AFC">
              <w:rPr>
                <w:rFonts w:cs="Arial"/>
                <w:b/>
                <w:sz w:val="20"/>
                <w:szCs w:val="20"/>
              </w:rPr>
              <w:t>FM18-XII BUOY</w:t>
            </w:r>
          </w:p>
        </w:tc>
        <w:tc>
          <w:tcPr>
            <w:tcW w:w="1410" w:type="dxa"/>
          </w:tcPr>
          <w:p w14:paraId="791A7C7D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Drifting buoy data</w:t>
            </w:r>
          </w:p>
        </w:tc>
        <w:tc>
          <w:tcPr>
            <w:tcW w:w="5112" w:type="dxa"/>
          </w:tcPr>
          <w:p w14:paraId="0826D268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Template for the representation from drifting buoys</w:t>
            </w:r>
          </w:p>
        </w:tc>
        <w:tc>
          <w:tcPr>
            <w:tcW w:w="2543" w:type="dxa"/>
          </w:tcPr>
          <w:p w14:paraId="54629128" w14:textId="77316CF2" w:rsidR="00FC1D59" w:rsidRPr="00DD700B" w:rsidRDefault="003D21BA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Operational (TM</w:t>
            </w:r>
            <w:r w:rsidR="00FC1D59">
              <w:rPr>
                <w:rFonts w:cs="Arial"/>
                <w:sz w:val="20"/>
                <w:szCs w:val="20"/>
              </w:rPr>
              <w:t>315009)</w:t>
            </w:r>
          </w:p>
        </w:tc>
        <w:tc>
          <w:tcPr>
            <w:tcW w:w="3617" w:type="dxa"/>
          </w:tcPr>
          <w:p w14:paraId="6467A045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Simplified template specific to drifting buoys</w:t>
            </w:r>
          </w:p>
        </w:tc>
      </w:tr>
      <w:tr w:rsidR="00FC1D59" w:rsidRPr="00DD700B" w14:paraId="3211EE98" w14:textId="77777777" w:rsidTr="00317DC3">
        <w:tc>
          <w:tcPr>
            <w:tcW w:w="2100" w:type="dxa"/>
            <w:vMerge/>
            <w:vAlign w:val="center"/>
          </w:tcPr>
          <w:p w14:paraId="1A32E637" w14:textId="77777777" w:rsidR="00FC1D59" w:rsidRPr="00692AFC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2DB68740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Moored buoy data</w:t>
            </w:r>
          </w:p>
        </w:tc>
        <w:tc>
          <w:tcPr>
            <w:tcW w:w="5112" w:type="dxa"/>
          </w:tcPr>
          <w:p w14:paraId="4E6F6FBA" w14:textId="77777777" w:rsidR="00FC1D59" w:rsidRPr="000F0ED7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Template</w:t>
            </w:r>
            <w:r w:rsidRPr="000F0ED7">
              <w:rPr>
                <w:rFonts w:cs="Arial"/>
                <w:sz w:val="20"/>
                <w:szCs w:val="20"/>
              </w:rPr>
              <w:t xml:space="preserve"> for the representation of data from moored buoys</w:t>
            </w:r>
          </w:p>
        </w:tc>
        <w:tc>
          <w:tcPr>
            <w:tcW w:w="2543" w:type="dxa"/>
          </w:tcPr>
          <w:p w14:paraId="241E055E" w14:textId="7187BCDB" w:rsidR="00FC1D59" w:rsidRPr="00DD700B" w:rsidRDefault="003D21BA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Operational (TM</w:t>
            </w:r>
            <w:r w:rsidR="00FC1D59">
              <w:rPr>
                <w:rFonts w:cs="Arial"/>
                <w:sz w:val="20"/>
                <w:szCs w:val="20"/>
              </w:rPr>
              <w:t>315008)</w:t>
            </w:r>
          </w:p>
        </w:tc>
        <w:tc>
          <w:tcPr>
            <w:tcW w:w="3617" w:type="dxa"/>
          </w:tcPr>
          <w:p w14:paraId="2EC0B5F9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Simplified template specific to moored buoys, including directional and non-directional wave data</w:t>
            </w:r>
          </w:p>
        </w:tc>
      </w:tr>
      <w:tr w:rsidR="00FC1D59" w:rsidRPr="00DD700B" w14:paraId="181A19AB" w14:textId="77777777" w:rsidTr="00317DC3">
        <w:tc>
          <w:tcPr>
            <w:tcW w:w="2100" w:type="dxa"/>
            <w:vMerge/>
            <w:vAlign w:val="center"/>
          </w:tcPr>
          <w:p w14:paraId="74FB0E97" w14:textId="77777777" w:rsidR="00FC1D59" w:rsidRPr="00692AFC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E6B9ABC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Wave buoy data</w:t>
            </w:r>
          </w:p>
        </w:tc>
        <w:tc>
          <w:tcPr>
            <w:tcW w:w="5112" w:type="dxa"/>
          </w:tcPr>
          <w:p w14:paraId="611BFD14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Template</w:t>
            </w:r>
            <w:r w:rsidRPr="000F0ED7">
              <w:rPr>
                <w:rFonts w:cs="Arial"/>
                <w:sz w:val="20"/>
                <w:szCs w:val="20"/>
              </w:rPr>
              <w:t xml:space="preserve"> for the representation of data from moored buoys</w:t>
            </w:r>
          </w:p>
        </w:tc>
        <w:tc>
          <w:tcPr>
            <w:tcW w:w="2543" w:type="dxa"/>
          </w:tcPr>
          <w:p w14:paraId="09C8DFDB" w14:textId="60906912" w:rsidR="00FC1D59" w:rsidRPr="00DD700B" w:rsidRDefault="003D21BA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Operational (TM</w:t>
            </w:r>
            <w:r w:rsidR="00FC1D59">
              <w:rPr>
                <w:rFonts w:cs="Arial"/>
                <w:sz w:val="20"/>
                <w:szCs w:val="20"/>
              </w:rPr>
              <w:t>315008)</w:t>
            </w:r>
          </w:p>
        </w:tc>
        <w:tc>
          <w:tcPr>
            <w:tcW w:w="3617" w:type="dxa"/>
          </w:tcPr>
          <w:p w14:paraId="7A408423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Plans to update template to include additional wave parameters. </w:t>
            </w:r>
          </w:p>
        </w:tc>
      </w:tr>
      <w:tr w:rsidR="00FC1D59" w:rsidRPr="00DD700B" w14:paraId="12538309" w14:textId="77777777" w:rsidTr="00317DC3">
        <w:tc>
          <w:tcPr>
            <w:tcW w:w="2100" w:type="dxa"/>
            <w:vMerge/>
            <w:vAlign w:val="center"/>
          </w:tcPr>
          <w:p w14:paraId="3C577EC7" w14:textId="77777777" w:rsidR="00FC1D59" w:rsidRPr="0000615C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03A760FA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Argo data</w:t>
            </w:r>
          </w:p>
        </w:tc>
        <w:tc>
          <w:tcPr>
            <w:tcW w:w="5112" w:type="dxa"/>
          </w:tcPr>
          <w:p w14:paraId="474011A4" w14:textId="77777777" w:rsidR="00FC1D59" w:rsidRPr="00DD700B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10" w:history="1">
              <w:r w:rsidR="00FC1D59" w:rsidRPr="00DD700B">
                <w:rPr>
                  <w:rStyle w:val="Hyperlink"/>
                  <w:rFonts w:cs="Arial"/>
                  <w:sz w:val="20"/>
                  <w:szCs w:val="20"/>
                </w:rPr>
                <w:t>Sub-surface profiling floats</w:t>
              </w:r>
            </w:hyperlink>
            <w:r w:rsidR="00FC1D59" w:rsidRPr="00DD700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14:paraId="7FF18A9B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Operational (TM315003)</w:t>
            </w:r>
          </w:p>
        </w:tc>
        <w:tc>
          <w:tcPr>
            <w:tcW w:w="3617" w:type="dxa"/>
          </w:tcPr>
          <w:p w14:paraId="705F47D4" w14:textId="0784B562" w:rsidR="00FC1D59" w:rsidRPr="00DD700B" w:rsidRDefault="00BA06DC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sequences being defined as required to extend template.</w:t>
            </w:r>
          </w:p>
        </w:tc>
      </w:tr>
      <w:tr w:rsidR="00FC1D59" w:rsidRPr="00DD700B" w14:paraId="1263C570" w14:textId="77777777" w:rsidTr="00317DC3">
        <w:tc>
          <w:tcPr>
            <w:tcW w:w="2100" w:type="dxa"/>
            <w:vMerge w:val="restart"/>
            <w:shd w:val="clear" w:color="auto" w:fill="EEECE1"/>
            <w:vAlign w:val="center"/>
          </w:tcPr>
          <w:p w14:paraId="28D69CDB" w14:textId="77777777" w:rsidR="00FC1D59" w:rsidRPr="00692AFC" w:rsidRDefault="00FC1D59" w:rsidP="00317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AFC">
              <w:rPr>
                <w:rFonts w:cs="Arial"/>
                <w:b/>
                <w:bCs/>
                <w:sz w:val="20"/>
                <w:szCs w:val="20"/>
              </w:rPr>
              <w:t>FM36-XI Ext. TEMP SHIP</w:t>
            </w:r>
          </w:p>
        </w:tc>
        <w:tc>
          <w:tcPr>
            <w:tcW w:w="1410" w:type="dxa"/>
            <w:shd w:val="clear" w:color="auto" w:fill="EEECE1"/>
          </w:tcPr>
          <w:p w14:paraId="4C4C33F5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ASAP data</w:t>
            </w:r>
          </w:p>
        </w:tc>
        <w:tc>
          <w:tcPr>
            <w:tcW w:w="5112" w:type="dxa"/>
            <w:shd w:val="clear" w:color="auto" w:fill="EEECE1"/>
          </w:tcPr>
          <w:p w14:paraId="227212E6" w14:textId="77777777" w:rsidR="00FC1D59" w:rsidRPr="00DD700B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11" w:history="1">
              <w:r w:rsidR="00FC1D59" w:rsidRPr="00DD700B">
                <w:rPr>
                  <w:rStyle w:val="Hyperlink"/>
                  <w:rFonts w:cs="Arial"/>
                  <w:bCs/>
                  <w:sz w:val="20"/>
                  <w:szCs w:val="20"/>
                </w:rPr>
                <w:t>B/C25 - Regulations for reporting TEMP, TEMP SHIP, TEMP MOBIL data in TDCF</w:t>
              </w:r>
            </w:hyperlink>
          </w:p>
        </w:tc>
        <w:tc>
          <w:tcPr>
            <w:tcW w:w="2543" w:type="dxa"/>
            <w:shd w:val="clear" w:color="auto" w:fill="EEECE1"/>
          </w:tcPr>
          <w:p w14:paraId="0D4BD3AE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Operational (TM309052)</w:t>
            </w:r>
          </w:p>
        </w:tc>
        <w:tc>
          <w:tcPr>
            <w:tcW w:w="3617" w:type="dxa"/>
            <w:shd w:val="clear" w:color="auto" w:fill="EEECE1"/>
          </w:tcPr>
          <w:p w14:paraId="310470AF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No specific plan for this template</w:t>
            </w:r>
          </w:p>
        </w:tc>
      </w:tr>
      <w:tr w:rsidR="00FC1D59" w:rsidRPr="00DD700B" w14:paraId="6DDFEBA8" w14:textId="77777777" w:rsidTr="00317DC3">
        <w:tc>
          <w:tcPr>
            <w:tcW w:w="2100" w:type="dxa"/>
            <w:vMerge/>
            <w:shd w:val="clear" w:color="auto" w:fill="EEECE1"/>
            <w:vAlign w:val="center"/>
          </w:tcPr>
          <w:p w14:paraId="189A27B1" w14:textId="77777777" w:rsidR="00FC1D59" w:rsidRPr="00DD700B" w:rsidRDefault="00FC1D59" w:rsidP="00317DC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EEECE1"/>
          </w:tcPr>
          <w:p w14:paraId="6CF16825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ASAP data</w:t>
            </w:r>
          </w:p>
        </w:tc>
        <w:tc>
          <w:tcPr>
            <w:tcW w:w="5112" w:type="dxa"/>
            <w:shd w:val="clear" w:color="auto" w:fill="EEECE1"/>
          </w:tcPr>
          <w:p w14:paraId="04355226" w14:textId="77777777" w:rsidR="00FC1D59" w:rsidRPr="00DD700B" w:rsidRDefault="00FC1D59" w:rsidP="00317DC3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DD700B">
              <w:rPr>
                <w:rFonts w:cs="Arial"/>
                <w:bCs/>
                <w:sz w:val="20"/>
                <w:szCs w:val="20"/>
              </w:rPr>
              <w:t>UKMO template for representation of radiosonde data with geopotential height as the vertical coordinate</w:t>
            </w:r>
          </w:p>
        </w:tc>
        <w:tc>
          <w:tcPr>
            <w:tcW w:w="2543" w:type="dxa"/>
            <w:shd w:val="clear" w:color="auto" w:fill="EEECE1"/>
          </w:tcPr>
          <w:p w14:paraId="0C9D3547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 xml:space="preserve">Operational </w:t>
            </w:r>
            <w:r w:rsidRPr="00DD700B">
              <w:rPr>
                <w:rFonts w:cs="Arial"/>
                <w:bCs/>
                <w:sz w:val="20"/>
                <w:szCs w:val="20"/>
              </w:rPr>
              <w:t>(revisited in July 2010)</w:t>
            </w:r>
          </w:p>
        </w:tc>
        <w:tc>
          <w:tcPr>
            <w:tcW w:w="3617" w:type="dxa"/>
            <w:shd w:val="clear" w:color="auto" w:fill="EEECE1"/>
          </w:tcPr>
          <w:p w14:paraId="0611A47C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C1D59" w:rsidRPr="00DD700B" w14:paraId="41DA1088" w14:textId="77777777" w:rsidTr="00317DC3">
        <w:tc>
          <w:tcPr>
            <w:tcW w:w="2100" w:type="dxa"/>
            <w:vAlign w:val="center"/>
          </w:tcPr>
          <w:p w14:paraId="4260783A" w14:textId="77777777" w:rsidR="00FC1D59" w:rsidRPr="00692AFC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2AFC">
              <w:rPr>
                <w:rFonts w:cs="Arial"/>
                <w:b/>
                <w:sz w:val="20"/>
                <w:szCs w:val="20"/>
              </w:rPr>
              <w:t>FM62-VIII Ext. TRACKOB</w:t>
            </w:r>
          </w:p>
        </w:tc>
        <w:tc>
          <w:tcPr>
            <w:tcW w:w="1410" w:type="dxa"/>
          </w:tcPr>
          <w:p w14:paraId="09F12E01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TRACKOB data</w:t>
            </w:r>
          </w:p>
        </w:tc>
        <w:tc>
          <w:tcPr>
            <w:tcW w:w="5112" w:type="dxa"/>
          </w:tcPr>
          <w:p w14:paraId="047E832E" w14:textId="77777777" w:rsidR="00FC1D59" w:rsidRPr="00DD700B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12" w:history="1">
              <w:r w:rsidR="00FC1D59" w:rsidRPr="00DD700B">
                <w:rPr>
                  <w:rStyle w:val="Hyperlink"/>
                  <w:rFonts w:cs="Arial"/>
                  <w:sz w:val="20"/>
                  <w:szCs w:val="20"/>
                </w:rPr>
                <w:t>TRACKOB data</w:t>
              </w:r>
            </w:hyperlink>
            <w:r w:rsidR="00FC1D59" w:rsidRPr="00DD700B">
              <w:rPr>
                <w:rFonts w:cs="Arial"/>
                <w:sz w:val="20"/>
                <w:szCs w:val="20"/>
              </w:rPr>
              <w:t xml:space="preserve"> – ThermoSalinoGraph (TSG) data and metadata</w:t>
            </w:r>
          </w:p>
        </w:tc>
        <w:tc>
          <w:tcPr>
            <w:tcW w:w="2543" w:type="dxa"/>
          </w:tcPr>
          <w:p w14:paraId="047B32A3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Operational (TM308010)</w:t>
            </w:r>
          </w:p>
        </w:tc>
        <w:tc>
          <w:tcPr>
            <w:tcW w:w="3617" w:type="dxa"/>
          </w:tcPr>
          <w:p w14:paraId="0552502A" w14:textId="6419B1E0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Plans to update template</w:t>
            </w:r>
            <w:r w:rsidR="00C72CAF">
              <w:rPr>
                <w:rFonts w:cs="Arial"/>
                <w:sz w:val="20"/>
                <w:szCs w:val="20"/>
              </w:rPr>
              <w:t xml:space="preserve"> to include additional metadata.</w:t>
            </w:r>
          </w:p>
        </w:tc>
      </w:tr>
      <w:tr w:rsidR="00FC1D59" w:rsidRPr="00DD700B" w14:paraId="47B53C50" w14:textId="77777777" w:rsidTr="00317DC3">
        <w:tc>
          <w:tcPr>
            <w:tcW w:w="2100" w:type="dxa"/>
            <w:shd w:val="clear" w:color="auto" w:fill="EEECE1"/>
            <w:vAlign w:val="center"/>
          </w:tcPr>
          <w:p w14:paraId="65B910DD" w14:textId="77777777" w:rsidR="00FC1D59" w:rsidRPr="00C741ED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41ED">
              <w:rPr>
                <w:rFonts w:cs="Arial"/>
                <w:b/>
                <w:sz w:val="20"/>
                <w:szCs w:val="20"/>
              </w:rPr>
              <w:t>FM63-XI Ext. BATHY</w:t>
            </w:r>
          </w:p>
        </w:tc>
        <w:tc>
          <w:tcPr>
            <w:tcW w:w="1410" w:type="dxa"/>
            <w:shd w:val="clear" w:color="auto" w:fill="EEECE1"/>
          </w:tcPr>
          <w:p w14:paraId="07C8D7DD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XBT data</w:t>
            </w:r>
          </w:p>
        </w:tc>
        <w:tc>
          <w:tcPr>
            <w:tcW w:w="5112" w:type="dxa"/>
            <w:shd w:val="clear" w:color="auto" w:fill="EEECE1"/>
          </w:tcPr>
          <w:p w14:paraId="3F0DEA24" w14:textId="77777777" w:rsidR="00FC1D59" w:rsidRPr="00DD700B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13" w:history="1">
              <w:r w:rsidR="00FC1D59" w:rsidRPr="00DD700B">
                <w:rPr>
                  <w:rStyle w:val="Hyperlink"/>
                  <w:rFonts w:cs="Arial"/>
                  <w:sz w:val="20"/>
                  <w:szCs w:val="20"/>
                </w:rPr>
                <w:t>New BUFR template for XBT Temperature Profile data</w:t>
              </w:r>
            </w:hyperlink>
          </w:p>
        </w:tc>
        <w:tc>
          <w:tcPr>
            <w:tcW w:w="2543" w:type="dxa"/>
            <w:shd w:val="clear" w:color="auto" w:fill="EEECE1"/>
          </w:tcPr>
          <w:p w14:paraId="13DC2B0B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Operational </w:t>
            </w:r>
            <w:r w:rsidRPr="00DD700B">
              <w:rPr>
                <w:rFonts w:cs="Arial"/>
                <w:sz w:val="20"/>
                <w:szCs w:val="20"/>
              </w:rPr>
              <w:t xml:space="preserve">(TM315004) </w:t>
            </w:r>
          </w:p>
        </w:tc>
        <w:tc>
          <w:tcPr>
            <w:tcW w:w="3617" w:type="dxa"/>
            <w:shd w:val="clear" w:color="auto" w:fill="EEECE1"/>
          </w:tcPr>
          <w:p w14:paraId="006BEECF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C1D59" w:rsidRPr="00DD700B" w14:paraId="76EB46EB" w14:textId="77777777" w:rsidTr="00317DC3">
        <w:tc>
          <w:tcPr>
            <w:tcW w:w="2100" w:type="dxa"/>
            <w:vAlign w:val="center"/>
          </w:tcPr>
          <w:p w14:paraId="0ED79CFD" w14:textId="77777777" w:rsidR="00FC1D59" w:rsidRPr="00692AFC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2AFC">
              <w:rPr>
                <w:rFonts w:cs="Arial"/>
                <w:b/>
                <w:sz w:val="20"/>
                <w:szCs w:val="20"/>
              </w:rPr>
              <w:t>FM64-XI Ext. TESAC</w:t>
            </w:r>
          </w:p>
        </w:tc>
        <w:tc>
          <w:tcPr>
            <w:tcW w:w="1410" w:type="dxa"/>
          </w:tcPr>
          <w:p w14:paraId="00AE3F46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CTD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/ TESAC</w:t>
            </w:r>
          </w:p>
        </w:tc>
        <w:tc>
          <w:tcPr>
            <w:tcW w:w="5112" w:type="dxa"/>
          </w:tcPr>
          <w:p w14:paraId="37BE1E19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Template for the </w:t>
            </w:r>
            <w:r w:rsidRPr="003968B0">
              <w:rPr>
                <w:rFonts w:cs="Arial"/>
                <w:sz w:val="20"/>
                <w:szCs w:val="20"/>
              </w:rPr>
              <w:t>representation of data derived from a ship based lowered instrument measuring subsurface seawater temperature, salinity and current profiles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14:paraId="13956B5E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Operational (TM 315007)</w:t>
            </w:r>
          </w:p>
        </w:tc>
        <w:tc>
          <w:tcPr>
            <w:tcW w:w="3617" w:type="dxa"/>
          </w:tcPr>
          <w:p w14:paraId="6644C29F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C1D59" w:rsidRPr="00DD700B" w14:paraId="78679AA0" w14:textId="77777777" w:rsidTr="00317DC3">
        <w:tc>
          <w:tcPr>
            <w:tcW w:w="2100" w:type="dxa"/>
            <w:shd w:val="clear" w:color="auto" w:fill="EEECE1"/>
            <w:vAlign w:val="center"/>
          </w:tcPr>
          <w:p w14:paraId="3B0C9A8F" w14:textId="77777777" w:rsidR="00FC1D59" w:rsidRPr="00692AFC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2AFC">
              <w:rPr>
                <w:rFonts w:cs="Arial"/>
                <w:b/>
                <w:sz w:val="20"/>
                <w:szCs w:val="20"/>
              </w:rPr>
              <w:t>FM65-XI Ext. WAVEOB</w:t>
            </w:r>
          </w:p>
        </w:tc>
        <w:tc>
          <w:tcPr>
            <w:tcW w:w="1410" w:type="dxa"/>
            <w:shd w:val="clear" w:color="auto" w:fill="EEECE1"/>
          </w:tcPr>
          <w:p w14:paraId="6D923D15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Wave buoy data</w:t>
            </w:r>
          </w:p>
        </w:tc>
        <w:tc>
          <w:tcPr>
            <w:tcW w:w="5112" w:type="dxa"/>
            <w:shd w:val="clear" w:color="auto" w:fill="EEECE1"/>
          </w:tcPr>
          <w:p w14:paraId="1E3E465E" w14:textId="77777777" w:rsidR="00FC1D59" w:rsidRPr="00DD700B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14" w:history="1">
              <w:r w:rsidR="00FC1D59" w:rsidRPr="00DD700B">
                <w:rPr>
                  <w:rStyle w:val="Hyperlink"/>
                  <w:rFonts w:cs="Arial"/>
                  <w:sz w:val="20"/>
                  <w:szCs w:val="20"/>
                </w:rPr>
                <w:t>Templates for the wave observations from different platforms suitable for WAVEOB data</w:t>
              </w:r>
            </w:hyperlink>
          </w:p>
        </w:tc>
        <w:tc>
          <w:tcPr>
            <w:tcW w:w="2543" w:type="dxa"/>
            <w:shd w:val="clear" w:color="auto" w:fill="EEECE1"/>
          </w:tcPr>
          <w:p w14:paraId="761EA6CC" w14:textId="77777777" w:rsidR="003D21BA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Operational (TM308015</w:t>
            </w:r>
            <w:r w:rsidR="003D21BA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61E41D0" w14:textId="10F1C51E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and </w:t>
            </w:r>
            <w:r w:rsidR="003D21B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TM308016)</w:t>
            </w:r>
          </w:p>
        </w:tc>
        <w:tc>
          <w:tcPr>
            <w:tcW w:w="3617" w:type="dxa"/>
            <w:shd w:val="clear" w:color="auto" w:fill="EEECE1"/>
          </w:tcPr>
          <w:p w14:paraId="61CFB535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C1D59" w:rsidRPr="00DD700B" w14:paraId="3DF4D48E" w14:textId="77777777" w:rsidTr="00317DC3">
        <w:tc>
          <w:tcPr>
            <w:tcW w:w="2100" w:type="dxa"/>
            <w:vMerge w:val="restart"/>
            <w:vAlign w:val="center"/>
          </w:tcPr>
          <w:p w14:paraId="39A3ED4D" w14:textId="77777777" w:rsidR="00FC1D59" w:rsidRPr="00F829A5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N/A</w:t>
            </w:r>
          </w:p>
        </w:tc>
        <w:tc>
          <w:tcPr>
            <w:tcW w:w="1410" w:type="dxa"/>
            <w:shd w:val="clear" w:color="auto" w:fill="auto"/>
          </w:tcPr>
          <w:p w14:paraId="60D38281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Sea-level data</w:t>
            </w:r>
          </w:p>
        </w:tc>
        <w:tc>
          <w:tcPr>
            <w:tcW w:w="5112" w:type="dxa"/>
          </w:tcPr>
          <w:p w14:paraId="2D427F68" w14:textId="77777777" w:rsidR="00FC1D59" w:rsidRPr="00DD700B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15" w:history="1">
              <w:r w:rsidR="00FC1D59" w:rsidRPr="00DD700B">
                <w:rPr>
                  <w:rStyle w:val="Hyperlink"/>
                  <w:rFonts w:cs="Arial"/>
                  <w:sz w:val="20"/>
                  <w:szCs w:val="20"/>
                </w:rPr>
                <w:t xml:space="preserve">BUFR/CREX templates for tsunameter data and dart buoy system messages </w:t>
              </w:r>
            </w:hyperlink>
          </w:p>
        </w:tc>
        <w:tc>
          <w:tcPr>
            <w:tcW w:w="2543" w:type="dxa"/>
          </w:tcPr>
          <w:p w14:paraId="6B1E8BE0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Operational (TM306027)</w:t>
            </w:r>
          </w:p>
        </w:tc>
        <w:tc>
          <w:tcPr>
            <w:tcW w:w="3617" w:type="dxa"/>
          </w:tcPr>
          <w:p w14:paraId="0DE8FB14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No specific plan for this template</w:t>
            </w:r>
          </w:p>
        </w:tc>
      </w:tr>
      <w:tr w:rsidR="00FC1D59" w:rsidRPr="00DD700B" w14:paraId="44E5A8D2" w14:textId="77777777" w:rsidTr="00317DC3">
        <w:tc>
          <w:tcPr>
            <w:tcW w:w="2100" w:type="dxa"/>
            <w:vMerge/>
          </w:tcPr>
          <w:p w14:paraId="748B1E74" w14:textId="77777777" w:rsidR="00FC1D59" w:rsidRPr="00F829A5" w:rsidRDefault="00FC1D59" w:rsidP="00317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81C444D" w14:textId="77777777" w:rsidR="00FC1D59" w:rsidRPr="00DD700B" w:rsidRDefault="00FC1D59" w:rsidP="00317DC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Sea-level data</w:t>
            </w:r>
          </w:p>
        </w:tc>
        <w:tc>
          <w:tcPr>
            <w:tcW w:w="5112" w:type="dxa"/>
          </w:tcPr>
          <w:p w14:paraId="0F74F0B4" w14:textId="77777777" w:rsidR="00FC1D59" w:rsidRPr="00DD700B" w:rsidRDefault="0089481F" w:rsidP="00317DC3">
            <w:pPr>
              <w:jc w:val="both"/>
              <w:rPr>
                <w:rFonts w:cs="Arial"/>
                <w:sz w:val="20"/>
                <w:szCs w:val="20"/>
              </w:rPr>
            </w:pPr>
            <w:hyperlink r:id="rId16" w:history="1">
              <w:r w:rsidR="00FC1D59" w:rsidRPr="00DD700B">
                <w:rPr>
                  <w:rStyle w:val="Hyperlink"/>
                  <w:rFonts w:cs="Arial"/>
                  <w:sz w:val="20"/>
                  <w:szCs w:val="20"/>
                </w:rPr>
                <w:t>BUFR/CREX templates for reporting time series of tide data</w:t>
              </w:r>
            </w:hyperlink>
          </w:p>
        </w:tc>
        <w:tc>
          <w:tcPr>
            <w:tcW w:w="2543" w:type="dxa"/>
          </w:tcPr>
          <w:p w14:paraId="1442DBBF" w14:textId="77777777" w:rsidR="00FC1D59" w:rsidRPr="00DD700B" w:rsidRDefault="00FC1D59" w:rsidP="003D21BA">
            <w:pPr>
              <w:jc w:val="right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Validation</w:t>
            </w:r>
          </w:p>
        </w:tc>
        <w:tc>
          <w:tcPr>
            <w:tcW w:w="3617" w:type="dxa"/>
          </w:tcPr>
          <w:p w14:paraId="63F4E442" w14:textId="77777777" w:rsidR="00FC1D59" w:rsidRPr="00DD700B" w:rsidRDefault="00FC1D59" w:rsidP="00317DC3">
            <w:pPr>
              <w:jc w:val="both"/>
              <w:rPr>
                <w:rFonts w:cs="Arial"/>
                <w:sz w:val="20"/>
                <w:szCs w:val="20"/>
              </w:rPr>
            </w:pPr>
            <w:r w:rsidRPr="00DD700B">
              <w:rPr>
                <w:rFonts w:cs="Arial"/>
                <w:sz w:val="20"/>
                <w:szCs w:val="20"/>
              </w:rPr>
              <w:t>Template should undergo validation</w:t>
            </w:r>
          </w:p>
        </w:tc>
      </w:tr>
    </w:tbl>
    <w:p w14:paraId="398A48E5" w14:textId="77777777" w:rsidR="00FC1D59" w:rsidRPr="00F35A04" w:rsidRDefault="00FC1D59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FC1D59" w:rsidRPr="00F35A04" w:rsidSect="00FC1D59">
      <w:pgSz w:w="16817" w:h="11901" w:orient="landscape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544E4" w14:textId="77777777" w:rsidR="00CC6711" w:rsidRDefault="00CC6711" w:rsidP="001032BE">
      <w:r>
        <w:separator/>
      </w:r>
    </w:p>
  </w:endnote>
  <w:endnote w:type="continuationSeparator" w:id="0">
    <w:p w14:paraId="22636F19" w14:textId="77777777" w:rsidR="00CC6711" w:rsidRDefault="00CC6711" w:rsidP="0010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5369" w14:textId="77777777" w:rsidR="00CC6711" w:rsidRDefault="00CC6711" w:rsidP="001032BE">
      <w:r>
        <w:separator/>
      </w:r>
    </w:p>
  </w:footnote>
  <w:footnote w:type="continuationSeparator" w:id="0">
    <w:p w14:paraId="6AEDB79B" w14:textId="77777777" w:rsidR="00CC6711" w:rsidRDefault="00CC6711" w:rsidP="001032BE">
      <w:r>
        <w:continuationSeparator/>
      </w:r>
    </w:p>
  </w:footnote>
  <w:footnote w:id="1">
    <w:p w14:paraId="482A7250" w14:textId="25E19467" w:rsidR="00CC6711" w:rsidRPr="00CC6711" w:rsidRDefault="00CC6711">
      <w:pPr>
        <w:pStyle w:val="FootnoteText"/>
        <w:rPr>
          <w:bCs/>
        </w:rPr>
      </w:pPr>
      <w:r w:rsidRPr="00CC6711">
        <w:rPr>
          <w:rStyle w:val="FootnoteReference"/>
        </w:rPr>
        <w:footnoteRef/>
      </w:r>
      <w:r w:rsidRPr="00CC6711">
        <w:t xml:space="preserve"> </w:t>
      </w:r>
      <w:hyperlink r:id="rId1" w:history="1">
        <w:r w:rsidRPr="00CC6711">
          <w:rPr>
            <w:rStyle w:val="Hyperlink"/>
            <w:bCs/>
          </w:rPr>
          <w:t>SOT-9-Doc 10.4.2-BUFR Template and implementation for XBT-XCTD-TSG data</w:t>
        </w:r>
      </w:hyperlink>
    </w:p>
  </w:footnote>
  <w:footnote w:id="2">
    <w:p w14:paraId="6AF5612C" w14:textId="77777777" w:rsidR="00CC6711" w:rsidRPr="001032BE" w:rsidRDefault="00CC671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66ACB">
          <w:rPr>
            <w:rStyle w:val="Hyperlink"/>
          </w:rPr>
          <w:t>http://www.jcommops.org/ftp/SOT/MAPS/2017-06-VOS_TAC_TDC.png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032BE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17EA"/>
    <w:rsid w:val="002E6C79"/>
    <w:rsid w:val="0030266F"/>
    <w:rsid w:val="003028E6"/>
    <w:rsid w:val="00302C7D"/>
    <w:rsid w:val="0030385D"/>
    <w:rsid w:val="0030669C"/>
    <w:rsid w:val="003079BB"/>
    <w:rsid w:val="00313484"/>
    <w:rsid w:val="00317DC3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B6A3E"/>
    <w:rsid w:val="003C0543"/>
    <w:rsid w:val="003C2D96"/>
    <w:rsid w:val="003C7242"/>
    <w:rsid w:val="003D21BA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D562C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9481F"/>
    <w:rsid w:val="008A4415"/>
    <w:rsid w:val="008A48FF"/>
    <w:rsid w:val="008D1EB7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0D61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0AB2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AF468D"/>
    <w:rsid w:val="00B1295F"/>
    <w:rsid w:val="00B136AB"/>
    <w:rsid w:val="00B31840"/>
    <w:rsid w:val="00B36487"/>
    <w:rsid w:val="00B50C60"/>
    <w:rsid w:val="00B90A6E"/>
    <w:rsid w:val="00B915E5"/>
    <w:rsid w:val="00BA06DC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AF"/>
    <w:rsid w:val="00C72CC6"/>
    <w:rsid w:val="00C80626"/>
    <w:rsid w:val="00C8416C"/>
    <w:rsid w:val="00C85A94"/>
    <w:rsid w:val="00CA73DC"/>
    <w:rsid w:val="00CB32EA"/>
    <w:rsid w:val="00CC6711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D6049"/>
    <w:rsid w:val="00DD7BC6"/>
    <w:rsid w:val="00DE0665"/>
    <w:rsid w:val="00DF12FB"/>
    <w:rsid w:val="00DF744B"/>
    <w:rsid w:val="00E118FA"/>
    <w:rsid w:val="00E263EC"/>
    <w:rsid w:val="00E467A6"/>
    <w:rsid w:val="00E6562C"/>
    <w:rsid w:val="00E65F3F"/>
    <w:rsid w:val="00E740BE"/>
    <w:rsid w:val="00E743BB"/>
    <w:rsid w:val="00E75B6E"/>
    <w:rsid w:val="00EA0729"/>
    <w:rsid w:val="00EA132C"/>
    <w:rsid w:val="00EB35CE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1D59"/>
    <w:rsid w:val="00FC7FE8"/>
    <w:rsid w:val="00FD21BA"/>
    <w:rsid w:val="00FD66E9"/>
    <w:rsid w:val="00FD7DC8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C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8D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32B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032BE"/>
    <w:rPr>
      <w:rFonts w:ascii="Arial" w:hAnsi="Arial"/>
      <w:snapToGrid w:val="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1032BE"/>
    <w:rPr>
      <w:vertAlign w:val="superscript"/>
    </w:rPr>
  </w:style>
  <w:style w:type="character" w:styleId="Hyperlink">
    <w:name w:val="Hyperlink"/>
    <w:basedOn w:val="DefaultParagraphFont"/>
    <w:rsid w:val="00103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8D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32B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032BE"/>
    <w:rPr>
      <w:rFonts w:ascii="Arial" w:hAnsi="Arial"/>
      <w:snapToGrid w:val="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1032BE"/>
    <w:rPr>
      <w:vertAlign w:val="superscript"/>
    </w:rPr>
  </w:style>
  <w:style w:type="character" w:styleId="Hyperlink">
    <w:name w:val="Hyperlink"/>
    <w:basedOn w:val="DefaultParagraphFont"/>
    <w:rsid w:val="0010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WMOCodes/BC_Regulations/BC10-SHIP.doc" TargetMode="External"/><Relationship Id="rId13" Type="http://schemas.openxmlformats.org/officeDocument/2006/relationships/hyperlink" Target="http://www.wmo.int/pages/prog/www/WMOCodes/Ref_Templates/NEW_Proposed_XBT_Template_revJA_ver10.2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mo.int/pages/prog/www/WMOCodes/Ref_Templates/TRACKOB_TM308010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mo.int/pages/prog/www/WMOCodes/Ref_Templates/TIDE_timeseries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mo.int/pages/prog/www/WMOCodes/BC_Regulations/BC25-TEM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mo.int/pages/prog/www/WMOCodes/Ref_Templates/TSUNAMETER_TM306027.doc" TargetMode="External"/><Relationship Id="rId10" Type="http://schemas.openxmlformats.org/officeDocument/2006/relationships/hyperlink" Target="http://www.wmo.int/pages/prog/www/WMOCodes/Ref_Templates/BUOYTESACBATH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o.int/pages/prog/www/WMOCodes/Ref_Templates/SHIP_VOSobs.doc" TargetMode="External"/><Relationship Id="rId14" Type="http://schemas.openxmlformats.org/officeDocument/2006/relationships/hyperlink" Target="http://www.wmo.int/pages/prog/www/WMOCodes/Ref_Templates/WAVEOB_TM308015_r3.doc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ommops.org/ftp/SOT/MAPS/2017-06-VOS_TAC_TDC.png" TargetMode="External"/><Relationship Id="rId1" Type="http://schemas.openxmlformats.org/officeDocument/2006/relationships/hyperlink" Target="http://jcomm.info/index.php?option=com_oe&amp;task=viewDocumentRecord&amp;docID=18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5137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2017-07-23T10:11:00Z</dcterms:created>
  <dcterms:modified xsi:type="dcterms:W3CDTF">2017-07-23T10:11:00Z</dcterms:modified>
</cp:coreProperties>
</file>