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F35A04">
        <w:trPr>
          <w:jc w:val="center"/>
        </w:trPr>
        <w:tc>
          <w:tcPr>
            <w:tcW w:w="6160" w:type="dxa"/>
            <w:shd w:val="clear" w:color="auto" w:fill="auto"/>
          </w:tcPr>
          <w:p w:rsidR="005554A5" w:rsidRPr="00F35A04" w:rsidRDefault="005554A5" w:rsidP="005554A5">
            <w:pPr>
              <w:jc w:val="center"/>
              <w:rPr>
                <w:rFonts w:ascii="Verdana" w:hAnsi="Verdana" w:cs="Arial"/>
                <w:bCs/>
                <w:sz w:val="20"/>
                <w:szCs w:val="20"/>
              </w:rPr>
            </w:pPr>
            <w:r w:rsidRPr="00F35A04">
              <w:rPr>
                <w:rFonts w:ascii="Verdana" w:hAnsi="Verdana" w:cs="Arial"/>
                <w:bCs/>
                <w:sz w:val="20"/>
                <w:szCs w:val="20"/>
              </w:rPr>
              <w:t>WORLD METEOROLOGICAL ORGANIZATION</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COMMISSION FOR BASIC SYSTEMS</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w:t>
            </w:r>
          </w:p>
          <w:p w:rsidR="005554A5" w:rsidRPr="00F35A04" w:rsidRDefault="00D51173" w:rsidP="005554A5">
            <w:pPr>
              <w:jc w:val="center"/>
              <w:rPr>
                <w:rFonts w:ascii="Verdana" w:hAnsi="Verdana" w:cs="Arial"/>
                <w:sz w:val="20"/>
                <w:szCs w:val="20"/>
              </w:rPr>
            </w:pPr>
            <w:r>
              <w:rPr>
                <w:rFonts w:ascii="Verdana" w:hAnsi="Verdana" w:cs="Arial"/>
                <w:sz w:val="20"/>
                <w:szCs w:val="20"/>
              </w:rPr>
              <w:t>F</w:t>
            </w:r>
            <w:r w:rsidR="0087795A">
              <w:rPr>
                <w:rFonts w:ascii="Verdana" w:hAnsi="Verdana" w:cs="Arial"/>
                <w:sz w:val="20"/>
                <w:szCs w:val="20"/>
              </w:rPr>
              <w:t xml:space="preserve">IRST </w:t>
            </w:r>
            <w:r w:rsidR="005554A5" w:rsidRPr="00F35A04">
              <w:rPr>
                <w:rFonts w:ascii="Verdana" w:hAnsi="Verdana" w:cs="Arial"/>
                <w:sz w:val="20"/>
                <w:szCs w:val="20"/>
              </w:rPr>
              <w:t>MEETING OF</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INTER-PROGRAMME EXPERT TEAM</w:t>
            </w:r>
            <w:r w:rsidR="00205D7D" w:rsidRPr="00F35A04">
              <w:rPr>
                <w:rFonts w:ascii="Verdana" w:hAnsi="Verdana" w:cs="Arial"/>
                <w:sz w:val="20"/>
                <w:szCs w:val="20"/>
              </w:rPr>
              <w:t xml:space="preserve"> ON</w:t>
            </w:r>
            <w:r w:rsidR="00D564D5" w:rsidRPr="00F35A04">
              <w:rPr>
                <w:rFonts w:ascii="Verdana" w:hAnsi="Verdana" w:cs="Arial"/>
                <w:sz w:val="20"/>
                <w:szCs w:val="20"/>
              </w:rPr>
              <w:br/>
            </w:r>
            <w:r w:rsidR="0087795A">
              <w:rPr>
                <w:rFonts w:ascii="Verdana" w:hAnsi="Verdana" w:cs="Arial"/>
                <w:sz w:val="20"/>
                <w:szCs w:val="20"/>
              </w:rPr>
              <w:t>CODES M</w:t>
            </w:r>
            <w:r w:rsidR="00205D7D" w:rsidRPr="00F35A04">
              <w:rPr>
                <w:rFonts w:ascii="Verdana" w:hAnsi="Verdana" w:cs="Arial"/>
                <w:sz w:val="20"/>
                <w:szCs w:val="20"/>
              </w:rPr>
              <w:t>AINTENANCE</w:t>
            </w:r>
          </w:p>
          <w:p w:rsidR="005554A5" w:rsidRPr="00F35A04" w:rsidRDefault="005554A5" w:rsidP="005554A5">
            <w:pPr>
              <w:jc w:val="center"/>
              <w:rPr>
                <w:rFonts w:ascii="Verdana" w:hAnsi="Verdana" w:cs="Arial"/>
                <w:sz w:val="20"/>
                <w:szCs w:val="20"/>
              </w:rPr>
            </w:pPr>
          </w:p>
          <w:p w:rsidR="00634323" w:rsidRPr="00F35A04" w:rsidRDefault="00D51173" w:rsidP="0087795A">
            <w:pPr>
              <w:widowControl w:val="0"/>
              <w:snapToGrid w:val="0"/>
              <w:jc w:val="center"/>
              <w:rPr>
                <w:rFonts w:ascii="Verdana" w:hAnsi="Verdana"/>
                <w:sz w:val="20"/>
                <w:szCs w:val="20"/>
              </w:rPr>
            </w:pPr>
            <w:r>
              <w:rPr>
                <w:rFonts w:ascii="Verdana" w:hAnsi="Verdana" w:cs="Arial"/>
                <w:sz w:val="20"/>
                <w:szCs w:val="20"/>
              </w:rPr>
              <w:t>GENEVA</w:t>
            </w:r>
            <w:r w:rsidR="0015739E" w:rsidRPr="00F35A04">
              <w:rPr>
                <w:rFonts w:ascii="Verdana" w:hAnsi="Verdana" w:cs="Arial"/>
                <w:sz w:val="20"/>
                <w:szCs w:val="20"/>
              </w:rPr>
              <w:t xml:space="preserve">, </w:t>
            </w:r>
            <w:r>
              <w:rPr>
                <w:rFonts w:ascii="Verdana" w:hAnsi="Verdana" w:cs="Arial"/>
                <w:sz w:val="20"/>
                <w:szCs w:val="20"/>
              </w:rPr>
              <w:t>SWITZERLAND</w:t>
            </w:r>
            <w:r w:rsidR="005554A5" w:rsidRPr="00F35A04">
              <w:rPr>
                <w:rFonts w:ascii="Verdana" w:hAnsi="Verdana" w:cs="Arial"/>
                <w:sz w:val="20"/>
                <w:szCs w:val="20"/>
              </w:rPr>
              <w:t xml:space="preserve">, </w:t>
            </w:r>
            <w:r w:rsidR="0087795A">
              <w:rPr>
                <w:rFonts w:ascii="Verdana" w:hAnsi="Verdana" w:cs="Arial"/>
                <w:sz w:val="20"/>
                <w:szCs w:val="20"/>
              </w:rPr>
              <w:t>24</w:t>
            </w:r>
            <w:r>
              <w:rPr>
                <w:rFonts w:ascii="Verdana" w:hAnsi="Verdana" w:cs="Arial"/>
                <w:sz w:val="20"/>
                <w:szCs w:val="20"/>
              </w:rPr>
              <w:t xml:space="preserve"> </w:t>
            </w:r>
            <w:r w:rsidR="005554A5" w:rsidRPr="00F35A04">
              <w:rPr>
                <w:rFonts w:ascii="Verdana" w:hAnsi="Verdana" w:cs="Arial"/>
                <w:sz w:val="20"/>
                <w:szCs w:val="20"/>
              </w:rPr>
              <w:t>-</w:t>
            </w:r>
            <w:r w:rsidR="005870EB" w:rsidRPr="00F35A04">
              <w:rPr>
                <w:rFonts w:ascii="Verdana" w:hAnsi="Verdana" w:cs="Arial"/>
                <w:sz w:val="20"/>
                <w:szCs w:val="20"/>
              </w:rPr>
              <w:t xml:space="preserve"> </w:t>
            </w:r>
            <w:r w:rsidR="0087795A">
              <w:rPr>
                <w:rFonts w:ascii="Verdana" w:hAnsi="Verdana" w:cs="Arial"/>
                <w:sz w:val="20"/>
                <w:szCs w:val="20"/>
              </w:rPr>
              <w:t>28</w:t>
            </w:r>
            <w:r w:rsidR="005554A5" w:rsidRPr="00F35A04">
              <w:rPr>
                <w:rFonts w:ascii="Verdana" w:hAnsi="Verdana" w:cs="Arial"/>
                <w:sz w:val="20"/>
                <w:szCs w:val="20"/>
              </w:rPr>
              <w:t xml:space="preserve"> </w:t>
            </w:r>
            <w:r w:rsidR="001F354A" w:rsidRPr="00F35A04">
              <w:rPr>
                <w:rFonts w:ascii="Verdana" w:hAnsi="Verdana" w:cs="Arial"/>
                <w:sz w:val="20"/>
                <w:szCs w:val="20"/>
              </w:rPr>
              <w:t>JU</w:t>
            </w:r>
            <w:r w:rsidR="0087795A">
              <w:rPr>
                <w:rFonts w:ascii="Verdana" w:hAnsi="Verdana" w:cs="Arial"/>
                <w:sz w:val="20"/>
                <w:szCs w:val="20"/>
              </w:rPr>
              <w:t>LY</w:t>
            </w:r>
            <w:r w:rsidR="005554A5" w:rsidRPr="00F35A04">
              <w:rPr>
                <w:rFonts w:ascii="Verdana" w:hAnsi="Verdana" w:cs="Arial"/>
                <w:sz w:val="20"/>
                <w:szCs w:val="20"/>
              </w:rPr>
              <w:t xml:space="preserve"> 20</w:t>
            </w:r>
            <w:r w:rsidR="005870EB" w:rsidRPr="00F35A04">
              <w:rPr>
                <w:rFonts w:ascii="Verdana" w:hAnsi="Verdana" w:cs="Arial"/>
                <w:sz w:val="20"/>
                <w:szCs w:val="20"/>
              </w:rPr>
              <w:t>1</w:t>
            </w:r>
            <w:r w:rsidR="0087795A">
              <w:rPr>
                <w:rFonts w:ascii="Verdana" w:hAnsi="Verdana" w:cs="Arial"/>
                <w:sz w:val="20"/>
                <w:szCs w:val="20"/>
              </w:rPr>
              <w:t>7</w:t>
            </w:r>
          </w:p>
        </w:tc>
        <w:tc>
          <w:tcPr>
            <w:tcW w:w="283" w:type="dxa"/>
            <w:shd w:val="clear" w:color="auto" w:fill="auto"/>
          </w:tcPr>
          <w:p w:rsidR="00634323" w:rsidRPr="00F35A04" w:rsidRDefault="00634323" w:rsidP="00911012">
            <w:pPr>
              <w:widowControl w:val="0"/>
              <w:snapToGrid w:val="0"/>
              <w:rPr>
                <w:rFonts w:ascii="Verdana" w:hAnsi="Verdana"/>
                <w:sz w:val="20"/>
                <w:szCs w:val="20"/>
              </w:rPr>
            </w:pPr>
          </w:p>
        </w:tc>
        <w:tc>
          <w:tcPr>
            <w:tcW w:w="3890" w:type="dxa"/>
            <w:shd w:val="clear" w:color="auto" w:fill="auto"/>
          </w:tcPr>
          <w:p w:rsidR="005554A5" w:rsidRPr="00F35A04" w:rsidRDefault="005554A5" w:rsidP="00CA4876">
            <w:pPr>
              <w:tabs>
                <w:tab w:val="left" w:pos="601"/>
              </w:tabs>
              <w:rPr>
                <w:rFonts w:ascii="Verdana" w:hAnsi="Verdana" w:cs="Arial"/>
                <w:sz w:val="20"/>
                <w:szCs w:val="20"/>
                <w:lang w:val="en-US"/>
              </w:rPr>
            </w:pPr>
            <w:r w:rsidRPr="00F35A04">
              <w:rPr>
                <w:rFonts w:ascii="Verdana" w:hAnsi="Verdana" w:cs="Arial"/>
                <w:sz w:val="20"/>
                <w:szCs w:val="20"/>
                <w:lang w:val="en-US"/>
              </w:rPr>
              <w:t>IPET-</w:t>
            </w:r>
            <w:r w:rsidR="0087795A">
              <w:rPr>
                <w:rFonts w:ascii="Verdana" w:hAnsi="Verdana" w:cs="Arial"/>
                <w:sz w:val="20"/>
                <w:szCs w:val="20"/>
                <w:lang w:val="en-US"/>
              </w:rPr>
              <w:t>C</w:t>
            </w:r>
            <w:r w:rsidR="00205D7D" w:rsidRPr="00F35A04">
              <w:rPr>
                <w:rFonts w:ascii="Verdana" w:hAnsi="Verdana" w:cs="Arial"/>
                <w:sz w:val="20"/>
                <w:szCs w:val="20"/>
                <w:lang w:val="en-US"/>
              </w:rPr>
              <w:t>M</w:t>
            </w:r>
            <w:r w:rsidR="00C32B0D" w:rsidRPr="00F35A04">
              <w:rPr>
                <w:rFonts w:ascii="Verdana" w:hAnsi="Verdana" w:cs="Arial"/>
                <w:sz w:val="20"/>
                <w:szCs w:val="20"/>
                <w:lang w:val="en-US"/>
              </w:rPr>
              <w:t>-</w:t>
            </w:r>
            <w:r w:rsidR="0015739E" w:rsidRPr="00F35A04">
              <w:rPr>
                <w:rFonts w:ascii="Verdana" w:hAnsi="Verdana" w:cs="Arial"/>
                <w:sz w:val="20"/>
                <w:szCs w:val="20"/>
                <w:lang w:val="en-US"/>
              </w:rPr>
              <w:t>I</w:t>
            </w:r>
            <w:r w:rsidRPr="00F35A04">
              <w:rPr>
                <w:rFonts w:ascii="Verdana" w:hAnsi="Verdana" w:cs="Arial"/>
                <w:sz w:val="20"/>
                <w:szCs w:val="20"/>
                <w:lang w:val="en-US"/>
              </w:rPr>
              <w:t xml:space="preserve"> / </w:t>
            </w:r>
            <w:r w:rsidR="00160129" w:rsidRPr="00F35A04">
              <w:rPr>
                <w:rFonts w:ascii="Verdana" w:hAnsi="Verdana"/>
                <w:sz w:val="20"/>
                <w:szCs w:val="20"/>
              </w:rPr>
              <w:t xml:space="preserve">Doc. </w:t>
            </w:r>
            <w:r w:rsidR="00CA4876">
              <w:rPr>
                <w:rFonts w:ascii="Verdana" w:hAnsi="Verdana"/>
                <w:sz w:val="20"/>
                <w:szCs w:val="20"/>
              </w:rPr>
              <w:t>8.1</w:t>
            </w:r>
            <w:r w:rsidR="00940810">
              <w:rPr>
                <w:rFonts w:ascii="Verdana" w:hAnsi="Verdana" w:cs="Arial"/>
                <w:bCs/>
                <w:sz w:val="20"/>
                <w:szCs w:val="20"/>
              </w:rPr>
              <w:t>(Rev 1)</w:t>
            </w:r>
          </w:p>
          <w:p w:rsidR="005554A5" w:rsidRPr="00F35A04" w:rsidRDefault="005554A5" w:rsidP="00940810">
            <w:pPr>
              <w:rPr>
                <w:rFonts w:ascii="Verdana" w:hAnsi="Verdana"/>
                <w:sz w:val="20"/>
                <w:szCs w:val="20"/>
              </w:rPr>
            </w:pPr>
            <w:r w:rsidRPr="00F35A04">
              <w:rPr>
                <w:rFonts w:ascii="Verdana" w:hAnsi="Verdana"/>
                <w:sz w:val="20"/>
                <w:szCs w:val="20"/>
              </w:rPr>
              <w:t>(</w:t>
            </w:r>
            <w:r w:rsidR="00CA4876">
              <w:rPr>
                <w:rFonts w:ascii="Verdana" w:hAnsi="Verdana"/>
                <w:sz w:val="20"/>
                <w:szCs w:val="20"/>
              </w:rPr>
              <w:t>1</w:t>
            </w:r>
            <w:r w:rsidR="00940810">
              <w:rPr>
                <w:rFonts w:ascii="Verdana" w:hAnsi="Verdana"/>
                <w:sz w:val="20"/>
                <w:szCs w:val="20"/>
              </w:rPr>
              <w:t>20</w:t>
            </w:r>
            <w:r w:rsidRPr="00F35A04">
              <w:rPr>
                <w:rFonts w:ascii="Verdana" w:hAnsi="Verdana"/>
                <w:sz w:val="20"/>
                <w:szCs w:val="20"/>
              </w:rPr>
              <w:t>.</w:t>
            </w:r>
            <w:r w:rsidR="00D564D5" w:rsidRPr="00F35A04">
              <w:rPr>
                <w:rFonts w:ascii="Verdana" w:hAnsi="Verdana"/>
                <w:sz w:val="20"/>
                <w:szCs w:val="20"/>
              </w:rPr>
              <w:t xml:space="preserve"> </w:t>
            </w:r>
            <w:r w:rsidR="00CA4876">
              <w:rPr>
                <w:rFonts w:ascii="Verdana" w:hAnsi="Verdana"/>
                <w:sz w:val="20"/>
                <w:szCs w:val="20"/>
              </w:rPr>
              <w:t>VII</w:t>
            </w:r>
            <w:r w:rsidRPr="00F35A04">
              <w:rPr>
                <w:rFonts w:ascii="Verdana" w:hAnsi="Verdana"/>
                <w:sz w:val="20"/>
                <w:szCs w:val="20"/>
              </w:rPr>
              <w:t>.</w:t>
            </w:r>
            <w:r w:rsidR="00D564D5" w:rsidRPr="00F35A04">
              <w:rPr>
                <w:rFonts w:ascii="Verdana" w:hAnsi="Verdana"/>
                <w:sz w:val="20"/>
                <w:szCs w:val="20"/>
              </w:rPr>
              <w:t xml:space="preserve"> </w:t>
            </w:r>
            <w:r w:rsidRPr="00F35A04">
              <w:rPr>
                <w:rFonts w:ascii="Verdana" w:hAnsi="Verdana"/>
                <w:sz w:val="20"/>
                <w:szCs w:val="20"/>
              </w:rPr>
              <w:t>20</w:t>
            </w:r>
            <w:r w:rsidR="005870EB" w:rsidRPr="00F35A04">
              <w:rPr>
                <w:rFonts w:ascii="Verdana" w:hAnsi="Verdana"/>
                <w:sz w:val="20"/>
                <w:szCs w:val="20"/>
              </w:rPr>
              <w:t>1</w:t>
            </w:r>
            <w:r w:rsidR="0087795A">
              <w:rPr>
                <w:rFonts w:ascii="Verdana" w:hAnsi="Verdana"/>
                <w:sz w:val="20"/>
                <w:szCs w:val="20"/>
              </w:rPr>
              <w:t>7</w:t>
            </w:r>
            <w:r w:rsidRPr="00F35A04">
              <w:rPr>
                <w:rFonts w:ascii="Verdana" w:hAnsi="Verdana"/>
                <w:sz w:val="20"/>
                <w:szCs w:val="20"/>
              </w:rPr>
              <w:t>)</w:t>
            </w:r>
          </w:p>
          <w:p w:rsidR="005554A5" w:rsidRPr="00F35A04" w:rsidRDefault="005554A5" w:rsidP="005554A5">
            <w:pPr>
              <w:rPr>
                <w:rFonts w:ascii="Verdana" w:hAnsi="Verdana" w:cs="Arial"/>
                <w:sz w:val="20"/>
                <w:szCs w:val="20"/>
              </w:rPr>
            </w:pPr>
            <w:r w:rsidRPr="00F35A04">
              <w:rPr>
                <w:rFonts w:ascii="Verdana" w:hAnsi="Verdana" w:cs="Arial"/>
                <w:sz w:val="20"/>
                <w:szCs w:val="20"/>
              </w:rPr>
              <w:t>-------------------------</w:t>
            </w:r>
          </w:p>
          <w:p w:rsidR="005554A5" w:rsidRPr="00F35A04" w:rsidRDefault="005554A5" w:rsidP="005554A5">
            <w:pPr>
              <w:rPr>
                <w:rFonts w:ascii="Verdana" w:hAnsi="Verdana"/>
                <w:sz w:val="20"/>
                <w:szCs w:val="20"/>
              </w:rPr>
            </w:pPr>
          </w:p>
          <w:p w:rsidR="005554A5" w:rsidRPr="00F35A04" w:rsidRDefault="005554A5" w:rsidP="00CA4876">
            <w:pPr>
              <w:rPr>
                <w:rFonts w:ascii="Verdana" w:hAnsi="Verdana"/>
                <w:sz w:val="20"/>
                <w:szCs w:val="20"/>
              </w:rPr>
            </w:pPr>
            <w:r w:rsidRPr="00F35A04">
              <w:rPr>
                <w:rFonts w:ascii="Verdana" w:hAnsi="Verdana"/>
                <w:sz w:val="20"/>
                <w:szCs w:val="20"/>
              </w:rPr>
              <w:t xml:space="preserve">ITEM </w:t>
            </w:r>
            <w:r w:rsidR="00CA4876">
              <w:rPr>
                <w:rFonts w:ascii="Verdana" w:hAnsi="Verdana"/>
                <w:sz w:val="20"/>
                <w:szCs w:val="20"/>
              </w:rPr>
              <w:t>8.1</w:t>
            </w:r>
          </w:p>
          <w:p w:rsidR="005554A5" w:rsidRPr="00F35A04" w:rsidRDefault="005554A5" w:rsidP="005554A5">
            <w:pPr>
              <w:rPr>
                <w:rFonts w:ascii="Verdana" w:hAnsi="Verdana"/>
                <w:sz w:val="20"/>
                <w:szCs w:val="20"/>
              </w:rPr>
            </w:pPr>
          </w:p>
          <w:p w:rsidR="00634323" w:rsidRPr="00F35A04" w:rsidRDefault="005554A5" w:rsidP="005554A5">
            <w:pPr>
              <w:widowControl w:val="0"/>
              <w:snapToGrid w:val="0"/>
              <w:rPr>
                <w:rFonts w:ascii="Verdana" w:hAnsi="Verdana"/>
                <w:sz w:val="20"/>
                <w:szCs w:val="20"/>
              </w:rPr>
            </w:pPr>
            <w:r w:rsidRPr="00F35A04">
              <w:rPr>
                <w:rFonts w:ascii="Verdana" w:hAnsi="Verdana"/>
                <w:sz w:val="20"/>
                <w:szCs w:val="20"/>
              </w:rPr>
              <w:t>ENGLISH ONLY</w:t>
            </w:r>
          </w:p>
        </w:tc>
      </w:tr>
    </w:tbl>
    <w:p w:rsidR="009511E7" w:rsidRPr="00F35A04" w:rsidRDefault="009511E7"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9F245F" w:rsidRPr="00F35A04" w:rsidRDefault="00CA4876" w:rsidP="009F245F">
      <w:pPr>
        <w:jc w:val="center"/>
        <w:rPr>
          <w:rFonts w:ascii="Verdana" w:hAnsi="Verdana"/>
          <w:sz w:val="20"/>
          <w:szCs w:val="20"/>
        </w:rPr>
      </w:pPr>
      <w:r>
        <w:rPr>
          <w:rFonts w:ascii="Verdana" w:hAnsi="Verdana"/>
          <w:sz w:val="20"/>
          <w:szCs w:val="20"/>
        </w:rPr>
        <w:t>Status of migration from the WWW Monitoring exercise</w:t>
      </w:r>
    </w:p>
    <w:p w:rsidR="009F245F" w:rsidRPr="00F35A04" w:rsidRDefault="00CA4876" w:rsidP="009F245F">
      <w:pPr>
        <w:spacing w:before="240"/>
        <w:ind w:left="1208" w:right="1389"/>
        <w:jc w:val="center"/>
        <w:rPr>
          <w:rFonts w:ascii="Verdana" w:hAnsi="Verdana" w:cs="Arial"/>
          <w:b/>
          <w:sz w:val="20"/>
          <w:szCs w:val="20"/>
        </w:rPr>
      </w:pPr>
      <w:r>
        <w:rPr>
          <w:rFonts w:ascii="Verdana" w:hAnsi="Verdana" w:cs="Arial"/>
          <w:b/>
          <w:sz w:val="20"/>
          <w:szCs w:val="20"/>
        </w:rPr>
        <w:t>Comparison of the number of reports received in TD</w:t>
      </w:r>
      <w:r w:rsidR="00A002A6">
        <w:rPr>
          <w:rFonts w:ascii="Verdana" w:hAnsi="Verdana" w:cs="Arial"/>
          <w:b/>
          <w:sz w:val="20"/>
          <w:szCs w:val="20"/>
        </w:rPr>
        <w:t>C</w:t>
      </w:r>
      <w:r>
        <w:rPr>
          <w:rFonts w:ascii="Verdana" w:hAnsi="Verdana" w:cs="Arial"/>
          <w:b/>
          <w:sz w:val="20"/>
          <w:szCs w:val="20"/>
        </w:rPr>
        <w:t>F and TAC during April 2017</w:t>
      </w:r>
    </w:p>
    <w:p w:rsidR="009F245F" w:rsidRPr="00F35A04" w:rsidRDefault="009F245F" w:rsidP="00CA4876">
      <w:pPr>
        <w:spacing w:before="240"/>
        <w:jc w:val="center"/>
        <w:rPr>
          <w:rFonts w:ascii="Verdana" w:hAnsi="Verdana"/>
          <w:i/>
          <w:sz w:val="20"/>
          <w:szCs w:val="20"/>
        </w:rPr>
      </w:pPr>
      <w:r w:rsidRPr="00F35A04">
        <w:rPr>
          <w:rFonts w:ascii="Verdana" w:hAnsi="Verdana"/>
          <w:i/>
          <w:sz w:val="20"/>
          <w:szCs w:val="20"/>
        </w:rPr>
        <w:t xml:space="preserve">Submitted by </w:t>
      </w:r>
      <w:r w:rsidR="00CA4876">
        <w:rPr>
          <w:rFonts w:ascii="Verdana" w:hAnsi="Verdana"/>
          <w:i/>
          <w:sz w:val="20"/>
          <w:szCs w:val="20"/>
        </w:rPr>
        <w:t>Secretariat</w:t>
      </w:r>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tabs>
          <w:tab w:val="center" w:pos="4680"/>
        </w:tabs>
        <w:ind w:left="440" w:right="399"/>
        <w:jc w:val="center"/>
        <w:rPr>
          <w:rFonts w:ascii="Verdana" w:hAnsi="Verdana"/>
          <w:sz w:val="20"/>
          <w:szCs w:val="20"/>
        </w:rPr>
      </w:pPr>
    </w:p>
    <w:p w:rsidR="009F245F" w:rsidRPr="00F35A04" w:rsidRDefault="009F245F" w:rsidP="009F245F">
      <w:pPr>
        <w:tabs>
          <w:tab w:val="center" w:pos="4680"/>
        </w:tabs>
        <w:ind w:left="440" w:right="399"/>
        <w:jc w:val="center"/>
        <w:rPr>
          <w:rFonts w:ascii="Verdana" w:hAnsi="Verdana"/>
          <w:sz w:val="20"/>
          <w:szCs w:val="20"/>
        </w:rPr>
      </w:pPr>
      <w:r w:rsidRPr="00F35A04">
        <w:rPr>
          <w:rFonts w:ascii="Verdana" w:hAnsi="Verdana"/>
          <w:b/>
          <w:sz w:val="20"/>
          <w:szCs w:val="20"/>
        </w:rPr>
        <w:t>Summary and Purpose of Document</w:t>
      </w:r>
    </w:p>
    <w:p w:rsidR="009F245F" w:rsidRPr="00F35A04" w:rsidRDefault="009F245F" w:rsidP="009F245F">
      <w:pPr>
        <w:ind w:left="440" w:right="399"/>
        <w:jc w:val="center"/>
        <w:rPr>
          <w:rFonts w:ascii="Verdana" w:hAnsi="Verdana"/>
          <w:sz w:val="20"/>
          <w:szCs w:val="20"/>
        </w:rPr>
      </w:pPr>
    </w:p>
    <w:p w:rsidR="009F245F" w:rsidRDefault="00CA4876" w:rsidP="009F245F">
      <w:pPr>
        <w:pStyle w:val="BodyText"/>
        <w:ind w:left="770" w:right="839"/>
        <w:rPr>
          <w:rFonts w:ascii="Verdana" w:hAnsi="Verdana"/>
          <w:sz w:val="20"/>
          <w:szCs w:val="20"/>
        </w:rPr>
      </w:pPr>
      <w:r>
        <w:rPr>
          <w:rFonts w:ascii="Verdana" w:hAnsi="Verdana"/>
          <w:sz w:val="20"/>
          <w:szCs w:val="20"/>
        </w:rPr>
        <w:t>IPET-CM is requested to note the status of migration from TAC to TDCF as measured by the receipt of reports on the Main Telecommunication network during 1-15 April 2017.</w:t>
      </w:r>
    </w:p>
    <w:p w:rsidR="00940810" w:rsidRPr="00F35A04" w:rsidRDefault="00940810" w:rsidP="009F245F">
      <w:pPr>
        <w:pStyle w:val="BodyText"/>
        <w:ind w:left="770" w:right="839"/>
        <w:rPr>
          <w:rFonts w:ascii="Verdana" w:hAnsi="Verdana"/>
          <w:sz w:val="20"/>
          <w:szCs w:val="20"/>
        </w:rPr>
      </w:pPr>
      <w:r>
        <w:rPr>
          <w:rFonts w:ascii="Verdana" w:hAnsi="Verdana"/>
          <w:sz w:val="20"/>
          <w:szCs w:val="20"/>
        </w:rPr>
        <w:t>Note: there were days in April 2017 when not all the BUFR reports were recorded in the SMM files used for this analysis.</w:t>
      </w:r>
    </w:p>
    <w:p w:rsidR="009F245F" w:rsidRPr="00F35A04" w:rsidRDefault="009F245F" w:rsidP="009F245F">
      <w:pPr>
        <w:ind w:left="440" w:right="399"/>
        <w:jc w:val="center"/>
        <w:rPr>
          <w:rFonts w:ascii="Verdana" w:hAnsi="Verdana"/>
          <w:sz w:val="20"/>
          <w:szCs w:val="20"/>
          <w:lang w:val="en-US"/>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b/>
          <w:sz w:val="20"/>
          <w:szCs w:val="20"/>
        </w:rPr>
        <w:t>ACTION PROPOSED</w:t>
      </w:r>
    </w:p>
    <w:p w:rsidR="009F245F" w:rsidRPr="00F35A04" w:rsidRDefault="009F245F" w:rsidP="009F245F">
      <w:pPr>
        <w:rPr>
          <w:rFonts w:ascii="Verdana" w:hAnsi="Verdana"/>
          <w:sz w:val="20"/>
          <w:szCs w:val="20"/>
        </w:rPr>
      </w:pPr>
    </w:p>
    <w:p w:rsidR="009F245F" w:rsidRPr="00F35A04" w:rsidRDefault="0092338F" w:rsidP="009F245F">
      <w:pPr>
        <w:pStyle w:val="BodyText"/>
        <w:rPr>
          <w:rFonts w:ascii="Verdana" w:hAnsi="Verdana"/>
          <w:sz w:val="20"/>
          <w:szCs w:val="20"/>
        </w:rPr>
      </w:pPr>
      <w:r>
        <w:rPr>
          <w:rFonts w:ascii="Verdana" w:hAnsi="Verdana"/>
          <w:sz w:val="20"/>
          <w:szCs w:val="20"/>
        </w:rPr>
        <w:t>Note the progress made in migrating to TDCF. Consider actions to assist Regions 1, 2 and 3 with migration.</w:t>
      </w:r>
    </w:p>
    <w:p w:rsidR="009F245F" w:rsidRPr="00F35A04" w:rsidRDefault="009F245F" w:rsidP="009F245F">
      <w:pPr>
        <w:pStyle w:val="BodyText"/>
        <w:rPr>
          <w:rFonts w:ascii="Verdana" w:hAnsi="Verdana"/>
          <w:sz w:val="20"/>
          <w:szCs w:val="20"/>
        </w:rPr>
      </w:pPr>
    </w:p>
    <w:p w:rsidR="009F245F" w:rsidRPr="00F35A04" w:rsidRDefault="009F245F" w:rsidP="009F245F">
      <w:pPr>
        <w:jc w:val="center"/>
        <w:rPr>
          <w:rFonts w:ascii="Verdana" w:hAnsi="Verdana"/>
          <w:sz w:val="20"/>
          <w:szCs w:val="20"/>
        </w:rPr>
      </w:pPr>
    </w:p>
    <w:p w:rsidR="009F245F" w:rsidRPr="00F35A04" w:rsidRDefault="009F245F" w:rsidP="009F245F">
      <w:pPr>
        <w:jc w:val="both"/>
        <w:rPr>
          <w:rFonts w:ascii="Verdana" w:hAnsi="Verdana"/>
          <w:sz w:val="20"/>
          <w:szCs w:val="20"/>
        </w:rPr>
      </w:pPr>
    </w:p>
    <w:p w:rsidR="009F245F" w:rsidRPr="00F35A04" w:rsidRDefault="009F245F" w:rsidP="009F245F">
      <w:pPr>
        <w:spacing w:after="40"/>
        <w:jc w:val="both"/>
        <w:rPr>
          <w:rFonts w:ascii="Verdana" w:hAnsi="Verdana"/>
          <w:sz w:val="20"/>
          <w:szCs w:val="20"/>
        </w:rPr>
      </w:pPr>
    </w:p>
    <w:p w:rsidR="009F245F" w:rsidRDefault="00CA4876" w:rsidP="009F245F">
      <w:pPr>
        <w:rPr>
          <w:rFonts w:ascii="Verdana" w:hAnsi="Verdana"/>
          <w:b/>
          <w:sz w:val="20"/>
          <w:szCs w:val="20"/>
        </w:rPr>
      </w:pPr>
      <w:r>
        <w:rPr>
          <w:rFonts w:ascii="Verdana" w:hAnsi="Verdana"/>
          <w:b/>
          <w:sz w:val="20"/>
          <w:szCs w:val="20"/>
        </w:rPr>
        <w:t>DISCUSSION</w:t>
      </w:r>
    </w:p>
    <w:p w:rsidR="00CA4876" w:rsidRPr="00940810" w:rsidRDefault="00CA4876" w:rsidP="00940810">
      <w:pPr>
        <w:rPr>
          <w:rFonts w:ascii="Verdana" w:hAnsi="Verdana"/>
          <w:bCs/>
          <w:color w:val="FF0000"/>
          <w:sz w:val="20"/>
          <w:szCs w:val="20"/>
        </w:rPr>
      </w:pPr>
      <w:r>
        <w:rPr>
          <w:rFonts w:ascii="Verdana" w:hAnsi="Verdana"/>
          <w:bCs/>
          <w:sz w:val="20"/>
          <w:szCs w:val="20"/>
        </w:rPr>
        <w:t>The Special Main Telecommunication Network Monitoring (SMM) is carried out four times a year. This report is based on the results from the monitoring period 1-15 April 2017.</w:t>
      </w:r>
      <w:r w:rsidR="00940810">
        <w:rPr>
          <w:rFonts w:ascii="Verdana" w:hAnsi="Verdana"/>
          <w:bCs/>
          <w:sz w:val="20"/>
          <w:szCs w:val="20"/>
        </w:rPr>
        <w:t xml:space="preserve"> </w:t>
      </w:r>
      <w:r w:rsidR="00940810">
        <w:rPr>
          <w:rFonts w:ascii="Verdana" w:hAnsi="Verdana"/>
          <w:bCs/>
          <w:color w:val="FF0000"/>
          <w:sz w:val="20"/>
          <w:szCs w:val="20"/>
        </w:rPr>
        <w:t xml:space="preserve">The values quoted in this document are based on the information in the SMM processed files; there were days in April 2017 when not all upper air BUFR reports were recorded in the files, so for some regions the number of upper air BUFR reports </w:t>
      </w:r>
      <w:r w:rsidR="00A002A6">
        <w:rPr>
          <w:rFonts w:ascii="Verdana" w:hAnsi="Verdana"/>
          <w:bCs/>
          <w:color w:val="FF0000"/>
          <w:sz w:val="20"/>
          <w:szCs w:val="20"/>
        </w:rPr>
        <w:t>wa</w:t>
      </w:r>
      <w:bookmarkStart w:id="0" w:name="_GoBack"/>
      <w:bookmarkEnd w:id="0"/>
      <w:r w:rsidR="00940810">
        <w:rPr>
          <w:rFonts w:ascii="Verdana" w:hAnsi="Verdana"/>
          <w:bCs/>
          <w:color w:val="FF0000"/>
          <w:sz w:val="20"/>
          <w:szCs w:val="20"/>
        </w:rPr>
        <w:t>s under-reported. However, statistics were gathered on enough days for a qualitative assessment of progress to be made. Additional charts have been added to this revised document to show the results from the independent analysis for the IWM.</w:t>
      </w:r>
    </w:p>
    <w:p w:rsidR="00CA4876" w:rsidRDefault="00CA4876" w:rsidP="009F245F">
      <w:pPr>
        <w:rPr>
          <w:rFonts w:ascii="Verdana" w:hAnsi="Verdana"/>
          <w:bCs/>
          <w:sz w:val="20"/>
          <w:szCs w:val="20"/>
        </w:rPr>
      </w:pPr>
    </w:p>
    <w:p w:rsidR="00CA4876" w:rsidRDefault="00CA4876" w:rsidP="00940810">
      <w:pPr>
        <w:rPr>
          <w:rFonts w:ascii="Verdana" w:hAnsi="Verdana"/>
          <w:bCs/>
          <w:sz w:val="20"/>
          <w:szCs w:val="20"/>
        </w:rPr>
      </w:pPr>
      <w:r>
        <w:rPr>
          <w:rFonts w:ascii="Verdana" w:hAnsi="Verdana"/>
          <w:bCs/>
          <w:sz w:val="20"/>
          <w:szCs w:val="20"/>
        </w:rPr>
        <w:t xml:space="preserve">The SMM records all messages </w:t>
      </w:r>
      <w:r w:rsidR="00B6007F">
        <w:rPr>
          <w:rFonts w:ascii="Verdana" w:hAnsi="Verdana"/>
          <w:bCs/>
          <w:sz w:val="20"/>
          <w:szCs w:val="20"/>
        </w:rPr>
        <w:t>containin</w:t>
      </w:r>
      <w:r w:rsidR="00940810">
        <w:rPr>
          <w:rFonts w:ascii="Verdana" w:hAnsi="Verdana"/>
          <w:bCs/>
          <w:sz w:val="20"/>
          <w:szCs w:val="20"/>
        </w:rPr>
        <w:t>g</w:t>
      </w:r>
      <w:r w:rsidR="00B6007F">
        <w:rPr>
          <w:rFonts w:ascii="Verdana" w:hAnsi="Verdana"/>
          <w:bCs/>
          <w:sz w:val="20"/>
          <w:szCs w:val="20"/>
        </w:rPr>
        <w:t xml:space="preserve"> observations for stations in the RBSN and RBCN that </w:t>
      </w:r>
      <w:r>
        <w:rPr>
          <w:rFonts w:ascii="Verdana" w:hAnsi="Verdana"/>
          <w:bCs/>
          <w:sz w:val="20"/>
          <w:szCs w:val="20"/>
        </w:rPr>
        <w:t xml:space="preserve">pass through participating Regional Telecommunications Hubs </w:t>
      </w:r>
      <w:r w:rsidR="00B6007F">
        <w:rPr>
          <w:rFonts w:ascii="Verdana" w:hAnsi="Verdana"/>
          <w:bCs/>
          <w:sz w:val="20"/>
          <w:szCs w:val="20"/>
        </w:rPr>
        <w:t xml:space="preserve">(RTHs) </w:t>
      </w:r>
      <w:r>
        <w:rPr>
          <w:rFonts w:ascii="Verdana" w:hAnsi="Verdana"/>
          <w:bCs/>
          <w:sz w:val="20"/>
          <w:szCs w:val="20"/>
        </w:rPr>
        <w:t xml:space="preserve">on the Main Telecommunications Network. </w:t>
      </w:r>
      <w:r w:rsidR="00B6007F">
        <w:rPr>
          <w:rFonts w:ascii="Verdana" w:hAnsi="Verdana"/>
          <w:bCs/>
          <w:sz w:val="20"/>
          <w:szCs w:val="20"/>
        </w:rPr>
        <w:t>The summaries produced by these RTHs are sent to processing centres that produce lists of the times for which observations were available during the monitoring period. In April 2017, the processing of CLIMAT reports by the RTHs was incomplete, so statistics are not available for those reports.</w:t>
      </w:r>
    </w:p>
    <w:p w:rsidR="00B6007F" w:rsidRDefault="00B6007F" w:rsidP="00B6007F">
      <w:pPr>
        <w:rPr>
          <w:rFonts w:ascii="Verdana" w:hAnsi="Verdana"/>
          <w:bCs/>
          <w:sz w:val="20"/>
          <w:szCs w:val="20"/>
        </w:rPr>
      </w:pPr>
    </w:p>
    <w:p w:rsidR="00B6007F" w:rsidRDefault="00B6007F" w:rsidP="00B6007F">
      <w:pPr>
        <w:rPr>
          <w:rFonts w:ascii="Verdana" w:hAnsi="Verdana"/>
          <w:bCs/>
          <w:sz w:val="20"/>
          <w:szCs w:val="20"/>
        </w:rPr>
      </w:pPr>
      <w:r>
        <w:rPr>
          <w:rFonts w:ascii="Verdana" w:hAnsi="Verdana"/>
          <w:bCs/>
          <w:sz w:val="20"/>
          <w:szCs w:val="20"/>
        </w:rPr>
        <w:t>The tables compare the percentage of required reports received from stations in TDCF and in TAC broken down by WMO Region (four reports a day are required from surface stations, two are required each day from upper air stations).</w:t>
      </w:r>
    </w:p>
    <w:p w:rsidR="00B6007F" w:rsidRDefault="00B6007F" w:rsidP="00B6007F">
      <w:pPr>
        <w:rPr>
          <w:rFonts w:ascii="Verdana" w:hAnsi="Verdana"/>
          <w:bCs/>
          <w:sz w:val="20"/>
          <w:szCs w:val="20"/>
        </w:rPr>
      </w:pPr>
    </w:p>
    <w:p w:rsidR="00B6007F" w:rsidRDefault="00B6007F" w:rsidP="00B6007F">
      <w:pPr>
        <w:rPr>
          <w:rFonts w:ascii="Verdana" w:hAnsi="Verdana"/>
          <w:bCs/>
          <w:sz w:val="20"/>
          <w:szCs w:val="20"/>
        </w:rPr>
      </w:pPr>
    </w:p>
    <w:p w:rsidR="00B6007F" w:rsidRDefault="00B6007F" w:rsidP="00B6007F">
      <w:pPr>
        <w:pStyle w:val="Caption"/>
        <w:keepNext/>
      </w:pPr>
      <w:r>
        <w:t xml:space="preserve">Table </w:t>
      </w:r>
      <w:fldSimple w:instr=" SEQ Table \* ARABIC ">
        <w:r w:rsidR="006813CB">
          <w:rPr>
            <w:noProof/>
          </w:rPr>
          <w:t>1</w:t>
        </w:r>
      </w:fldSimple>
      <w:r>
        <w:t>. Percentage of required surface observations</w:t>
      </w:r>
      <w:r>
        <w:rPr>
          <w:noProof/>
        </w:rPr>
        <w:t xml:space="preserve"> received in Table Driven Code format (TDCF) and in Traditional Alphanumeric Code (TAC).</w:t>
      </w:r>
    </w:p>
    <w:tbl>
      <w:tblPr>
        <w:tblStyle w:val="TableGrid"/>
        <w:tblW w:w="0" w:type="auto"/>
        <w:tblLook w:val="04A0" w:firstRow="1" w:lastRow="0" w:firstColumn="1" w:lastColumn="0" w:noHBand="0" w:noVBand="1"/>
      </w:tblPr>
      <w:tblGrid>
        <w:gridCol w:w="1380"/>
        <w:gridCol w:w="1640"/>
        <w:gridCol w:w="1540"/>
      </w:tblGrid>
      <w:tr w:rsidR="00B6007F" w:rsidRPr="00B6007F" w:rsidTr="00B6007F">
        <w:trPr>
          <w:trHeight w:val="300"/>
        </w:trPr>
        <w:tc>
          <w:tcPr>
            <w:tcW w:w="1380" w:type="dxa"/>
            <w:noWrap/>
            <w:hideMark/>
          </w:tcPr>
          <w:p w:rsidR="00B6007F" w:rsidRPr="00B6007F" w:rsidRDefault="00B6007F" w:rsidP="00B6007F">
            <w:pPr>
              <w:rPr>
                <w:rFonts w:ascii="Verdana" w:hAnsi="Verdana"/>
                <w:b/>
                <w:bCs/>
                <w:sz w:val="20"/>
                <w:szCs w:val="20"/>
              </w:rPr>
            </w:pPr>
            <w:r>
              <w:rPr>
                <w:rFonts w:ascii="Verdana" w:hAnsi="Verdana"/>
                <w:b/>
                <w:bCs/>
                <w:sz w:val="20"/>
                <w:szCs w:val="20"/>
              </w:rPr>
              <w:t>WMO Region</w:t>
            </w:r>
          </w:p>
        </w:tc>
        <w:tc>
          <w:tcPr>
            <w:tcW w:w="1640" w:type="dxa"/>
            <w:noWrap/>
            <w:hideMark/>
          </w:tcPr>
          <w:p w:rsidR="00B6007F" w:rsidRPr="00B6007F" w:rsidRDefault="00B6007F" w:rsidP="00B6007F">
            <w:pPr>
              <w:rPr>
                <w:rFonts w:ascii="Verdana" w:hAnsi="Verdana"/>
                <w:b/>
                <w:bCs/>
                <w:sz w:val="20"/>
                <w:szCs w:val="20"/>
              </w:rPr>
            </w:pPr>
            <w:r w:rsidRPr="00B6007F">
              <w:rPr>
                <w:rFonts w:ascii="Verdana" w:hAnsi="Verdana"/>
                <w:b/>
                <w:bCs/>
                <w:sz w:val="20"/>
                <w:szCs w:val="20"/>
              </w:rPr>
              <w:t xml:space="preserve">Average </w:t>
            </w:r>
            <w:r>
              <w:rPr>
                <w:rFonts w:ascii="Verdana" w:hAnsi="Verdana"/>
                <w:b/>
                <w:bCs/>
                <w:sz w:val="20"/>
                <w:szCs w:val="20"/>
              </w:rPr>
              <w:t xml:space="preserve">% </w:t>
            </w:r>
            <w:r w:rsidRPr="00B6007F">
              <w:rPr>
                <w:rFonts w:ascii="Verdana" w:hAnsi="Verdana"/>
                <w:b/>
                <w:bCs/>
                <w:sz w:val="20"/>
                <w:szCs w:val="20"/>
              </w:rPr>
              <w:t>of TDCF</w:t>
            </w:r>
          </w:p>
        </w:tc>
        <w:tc>
          <w:tcPr>
            <w:tcW w:w="1540" w:type="dxa"/>
            <w:noWrap/>
            <w:hideMark/>
          </w:tcPr>
          <w:p w:rsidR="00B6007F" w:rsidRPr="00B6007F" w:rsidRDefault="00B6007F" w:rsidP="00B6007F">
            <w:pPr>
              <w:rPr>
                <w:rFonts w:ascii="Verdana" w:hAnsi="Verdana"/>
                <w:b/>
                <w:bCs/>
                <w:sz w:val="20"/>
                <w:szCs w:val="20"/>
              </w:rPr>
            </w:pPr>
            <w:r w:rsidRPr="00B6007F">
              <w:rPr>
                <w:rFonts w:ascii="Verdana" w:hAnsi="Verdana"/>
                <w:b/>
                <w:bCs/>
                <w:sz w:val="20"/>
                <w:szCs w:val="20"/>
              </w:rPr>
              <w:t xml:space="preserve">Average </w:t>
            </w:r>
            <w:r>
              <w:rPr>
                <w:rFonts w:ascii="Verdana" w:hAnsi="Verdana"/>
                <w:b/>
                <w:bCs/>
                <w:sz w:val="20"/>
                <w:szCs w:val="20"/>
              </w:rPr>
              <w:t xml:space="preserve">% </w:t>
            </w:r>
            <w:r w:rsidRPr="00B6007F">
              <w:rPr>
                <w:rFonts w:ascii="Verdana" w:hAnsi="Verdana"/>
                <w:b/>
                <w:bCs/>
                <w:sz w:val="20"/>
                <w:szCs w:val="20"/>
              </w:rPr>
              <w:t>of TAC</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1</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29</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53</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70</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91</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3</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33</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60</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4</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72</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83</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5</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62</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75</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84</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90</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Pr>
                <w:rFonts w:ascii="Verdana" w:hAnsi="Verdana"/>
                <w:bCs/>
                <w:sz w:val="20"/>
                <w:szCs w:val="20"/>
              </w:rPr>
              <w:t>Antarctica</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33</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44</w:t>
            </w:r>
          </w:p>
        </w:tc>
      </w:tr>
    </w:tbl>
    <w:p w:rsidR="00B6007F" w:rsidRDefault="00B6007F" w:rsidP="00B6007F">
      <w:pPr>
        <w:rPr>
          <w:rFonts w:ascii="Verdana" w:hAnsi="Verdana"/>
          <w:bCs/>
          <w:sz w:val="20"/>
          <w:szCs w:val="20"/>
        </w:rPr>
      </w:pPr>
    </w:p>
    <w:p w:rsidR="00B6007F" w:rsidRDefault="00B6007F" w:rsidP="00B6007F">
      <w:pPr>
        <w:pStyle w:val="Caption"/>
        <w:keepNext/>
      </w:pPr>
      <w:r>
        <w:t xml:space="preserve">Table </w:t>
      </w:r>
      <w:fldSimple w:instr=" SEQ Table \* ARABIC ">
        <w:r w:rsidR="006813CB">
          <w:rPr>
            <w:noProof/>
          </w:rPr>
          <w:t>2</w:t>
        </w:r>
      </w:fldSimple>
      <w:r>
        <w:t xml:space="preserve">. </w:t>
      </w:r>
      <w:r w:rsidRPr="00811B11">
        <w:t xml:space="preserve">Percentage of required </w:t>
      </w:r>
      <w:r>
        <w:t>upper air</w:t>
      </w:r>
      <w:r w:rsidRPr="00811B11">
        <w:t xml:space="preserve"> observations received in Table Driven Code format (TDCF) and in T</w:t>
      </w:r>
      <w:r>
        <w:t>raditional Alphanumeric Code (TA</w:t>
      </w:r>
      <w:r w:rsidRPr="00811B11">
        <w:t>C).</w:t>
      </w:r>
    </w:p>
    <w:tbl>
      <w:tblPr>
        <w:tblStyle w:val="TableGrid"/>
        <w:tblW w:w="0" w:type="auto"/>
        <w:tblLook w:val="04A0" w:firstRow="1" w:lastRow="0" w:firstColumn="1" w:lastColumn="0" w:noHBand="0" w:noVBand="1"/>
      </w:tblPr>
      <w:tblGrid>
        <w:gridCol w:w="1380"/>
        <w:gridCol w:w="1640"/>
        <w:gridCol w:w="1540"/>
      </w:tblGrid>
      <w:tr w:rsidR="00B6007F" w:rsidRPr="00B6007F" w:rsidTr="00B6007F">
        <w:trPr>
          <w:trHeight w:val="300"/>
        </w:trPr>
        <w:tc>
          <w:tcPr>
            <w:tcW w:w="1380" w:type="dxa"/>
            <w:noWrap/>
            <w:hideMark/>
          </w:tcPr>
          <w:p w:rsidR="00B6007F" w:rsidRPr="00B6007F" w:rsidRDefault="00B6007F" w:rsidP="00C25541">
            <w:pPr>
              <w:rPr>
                <w:rFonts w:ascii="Verdana" w:hAnsi="Verdana"/>
                <w:b/>
                <w:bCs/>
                <w:sz w:val="20"/>
                <w:szCs w:val="20"/>
              </w:rPr>
            </w:pPr>
            <w:r>
              <w:rPr>
                <w:rFonts w:ascii="Verdana" w:hAnsi="Verdana"/>
                <w:b/>
                <w:bCs/>
                <w:sz w:val="20"/>
                <w:szCs w:val="20"/>
              </w:rPr>
              <w:t>WMO Region</w:t>
            </w:r>
          </w:p>
        </w:tc>
        <w:tc>
          <w:tcPr>
            <w:tcW w:w="1640" w:type="dxa"/>
            <w:noWrap/>
            <w:hideMark/>
          </w:tcPr>
          <w:p w:rsidR="00B6007F" w:rsidRPr="00B6007F" w:rsidRDefault="00B6007F" w:rsidP="00C25541">
            <w:pPr>
              <w:rPr>
                <w:rFonts w:ascii="Verdana" w:hAnsi="Verdana"/>
                <w:b/>
                <w:bCs/>
                <w:sz w:val="20"/>
                <w:szCs w:val="20"/>
              </w:rPr>
            </w:pPr>
            <w:r w:rsidRPr="00B6007F">
              <w:rPr>
                <w:rFonts w:ascii="Verdana" w:hAnsi="Verdana"/>
                <w:b/>
                <w:bCs/>
                <w:sz w:val="20"/>
                <w:szCs w:val="20"/>
              </w:rPr>
              <w:t xml:space="preserve">Average </w:t>
            </w:r>
            <w:r>
              <w:rPr>
                <w:rFonts w:ascii="Verdana" w:hAnsi="Verdana"/>
                <w:b/>
                <w:bCs/>
                <w:sz w:val="20"/>
                <w:szCs w:val="20"/>
              </w:rPr>
              <w:t xml:space="preserve">% </w:t>
            </w:r>
            <w:r w:rsidRPr="00B6007F">
              <w:rPr>
                <w:rFonts w:ascii="Verdana" w:hAnsi="Verdana"/>
                <w:b/>
                <w:bCs/>
                <w:sz w:val="20"/>
                <w:szCs w:val="20"/>
              </w:rPr>
              <w:t>of TDCF</w:t>
            </w:r>
          </w:p>
        </w:tc>
        <w:tc>
          <w:tcPr>
            <w:tcW w:w="1540" w:type="dxa"/>
            <w:noWrap/>
            <w:hideMark/>
          </w:tcPr>
          <w:p w:rsidR="00B6007F" w:rsidRPr="00B6007F" w:rsidRDefault="00B6007F" w:rsidP="00C25541">
            <w:pPr>
              <w:rPr>
                <w:rFonts w:ascii="Verdana" w:hAnsi="Verdana"/>
                <w:b/>
                <w:bCs/>
                <w:sz w:val="20"/>
                <w:szCs w:val="20"/>
              </w:rPr>
            </w:pPr>
            <w:r w:rsidRPr="00B6007F">
              <w:rPr>
                <w:rFonts w:ascii="Verdana" w:hAnsi="Verdana"/>
                <w:b/>
                <w:bCs/>
                <w:sz w:val="20"/>
                <w:szCs w:val="20"/>
              </w:rPr>
              <w:t xml:space="preserve">Average </w:t>
            </w:r>
            <w:r>
              <w:rPr>
                <w:rFonts w:ascii="Verdana" w:hAnsi="Verdana"/>
                <w:b/>
                <w:bCs/>
                <w:sz w:val="20"/>
                <w:szCs w:val="20"/>
              </w:rPr>
              <w:t xml:space="preserve">% </w:t>
            </w:r>
            <w:r w:rsidRPr="00B6007F">
              <w:rPr>
                <w:rFonts w:ascii="Verdana" w:hAnsi="Verdana"/>
                <w:b/>
                <w:bCs/>
                <w:sz w:val="20"/>
                <w:szCs w:val="20"/>
              </w:rPr>
              <w:t>of TAC</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1</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26</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28</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81</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3</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21</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50</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4</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56</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94</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5</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34</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67</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6</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42</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81</w:t>
            </w:r>
          </w:p>
        </w:tc>
      </w:tr>
      <w:tr w:rsidR="00B6007F" w:rsidRPr="00B6007F" w:rsidTr="00B6007F">
        <w:trPr>
          <w:trHeight w:val="300"/>
        </w:trPr>
        <w:tc>
          <w:tcPr>
            <w:tcW w:w="1380" w:type="dxa"/>
            <w:noWrap/>
            <w:hideMark/>
          </w:tcPr>
          <w:p w:rsidR="00B6007F" w:rsidRPr="00B6007F" w:rsidRDefault="00B6007F" w:rsidP="00B6007F">
            <w:pPr>
              <w:rPr>
                <w:rFonts w:ascii="Verdana" w:hAnsi="Verdana"/>
                <w:bCs/>
                <w:sz w:val="20"/>
                <w:szCs w:val="20"/>
              </w:rPr>
            </w:pPr>
            <w:r>
              <w:rPr>
                <w:rFonts w:ascii="Verdana" w:hAnsi="Verdana"/>
                <w:bCs/>
                <w:sz w:val="20"/>
                <w:szCs w:val="20"/>
              </w:rPr>
              <w:t>Antarctica</w:t>
            </w:r>
          </w:p>
        </w:tc>
        <w:tc>
          <w:tcPr>
            <w:tcW w:w="16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23</w:t>
            </w:r>
          </w:p>
        </w:tc>
        <w:tc>
          <w:tcPr>
            <w:tcW w:w="1540" w:type="dxa"/>
            <w:noWrap/>
            <w:hideMark/>
          </w:tcPr>
          <w:p w:rsidR="00B6007F" w:rsidRPr="00B6007F" w:rsidRDefault="00B6007F" w:rsidP="00B6007F">
            <w:pPr>
              <w:rPr>
                <w:rFonts w:ascii="Verdana" w:hAnsi="Verdana"/>
                <w:bCs/>
                <w:sz w:val="20"/>
                <w:szCs w:val="20"/>
              </w:rPr>
            </w:pPr>
            <w:r w:rsidRPr="00B6007F">
              <w:rPr>
                <w:rFonts w:ascii="Verdana" w:hAnsi="Verdana"/>
                <w:bCs/>
                <w:sz w:val="20"/>
                <w:szCs w:val="20"/>
              </w:rPr>
              <w:t>48</w:t>
            </w:r>
          </w:p>
        </w:tc>
      </w:tr>
    </w:tbl>
    <w:p w:rsidR="00B6007F" w:rsidRDefault="00B6007F" w:rsidP="00B6007F">
      <w:pPr>
        <w:rPr>
          <w:rFonts w:ascii="Verdana" w:hAnsi="Verdana"/>
          <w:bCs/>
          <w:sz w:val="20"/>
          <w:szCs w:val="20"/>
        </w:rPr>
      </w:pPr>
    </w:p>
    <w:p w:rsidR="006813CB" w:rsidRDefault="006813CB" w:rsidP="006813CB">
      <w:pPr>
        <w:pStyle w:val="Caption"/>
        <w:keepNext/>
      </w:pPr>
      <w:r>
        <w:lastRenderedPageBreak/>
        <w:t xml:space="preserve">Table </w:t>
      </w:r>
      <w:fldSimple w:instr=" SEQ Table \* ARABIC ">
        <w:r>
          <w:rPr>
            <w:noProof/>
          </w:rPr>
          <w:t>3</w:t>
        </w:r>
      </w:fldSimple>
      <w:r>
        <w:t>. Comparison of percentage of required surface reports received in TAC (left-pointing arrow) and TDCF (right pointing arrow) in the period 1-15 April 2017. The key is in figure 3.</w:t>
      </w:r>
    </w:p>
    <w:p w:rsidR="00B6007F" w:rsidRDefault="0092338F" w:rsidP="00B6007F">
      <w:pPr>
        <w:rPr>
          <w:noProof/>
          <w:snapToGrid/>
          <w:lang w:eastAsia="zh-CN"/>
        </w:rPr>
      </w:pPr>
      <w:r>
        <w:rPr>
          <w:noProof/>
          <w:snapToGrid/>
          <w:lang w:eastAsia="ja-JP"/>
        </w:rPr>
        <w:drawing>
          <wp:inline distT="0" distB="0" distL="0" distR="0">
            <wp:extent cx="5949950" cy="300101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950" cy="3001010"/>
                    </a:xfrm>
                    <a:prstGeom prst="rect">
                      <a:avLst/>
                    </a:prstGeom>
                    <a:noFill/>
                    <a:ln>
                      <a:noFill/>
                    </a:ln>
                  </pic:spPr>
                </pic:pic>
              </a:graphicData>
            </a:graphic>
          </wp:inline>
        </w:drawing>
      </w:r>
    </w:p>
    <w:p w:rsidR="006813CB" w:rsidRDefault="006813CB" w:rsidP="006813CB">
      <w:pPr>
        <w:pStyle w:val="Caption"/>
        <w:keepNext/>
      </w:pPr>
      <w:r>
        <w:t xml:space="preserve">Table </w:t>
      </w:r>
      <w:fldSimple w:instr=" SEQ Table \* ARABIC ">
        <w:r>
          <w:rPr>
            <w:noProof/>
          </w:rPr>
          <w:t>4</w:t>
        </w:r>
      </w:fldSimple>
      <w:r>
        <w:t xml:space="preserve"> </w:t>
      </w:r>
      <w:r w:rsidRPr="004C5F4E">
        <w:t>Comparison of percentage</w:t>
      </w:r>
      <w:r>
        <w:t xml:space="preserve"> of required upper air</w:t>
      </w:r>
      <w:r w:rsidRPr="004C5F4E">
        <w:t xml:space="preserve"> reports received in TAC (left-pointing arrow) and TDCF (right pointing arrow) in the period 1-15 April 2017</w:t>
      </w:r>
      <w:r>
        <w:t>. The key is in figure 3.</w:t>
      </w:r>
    </w:p>
    <w:p w:rsidR="006813CB" w:rsidRDefault="0092338F" w:rsidP="00B6007F">
      <w:pPr>
        <w:rPr>
          <w:noProof/>
          <w:snapToGrid/>
          <w:lang w:eastAsia="zh-CN"/>
        </w:rPr>
      </w:pPr>
      <w:r>
        <w:rPr>
          <w:noProof/>
          <w:snapToGrid/>
          <w:lang w:eastAsia="ja-JP"/>
        </w:rPr>
        <w:drawing>
          <wp:inline distT="0" distB="0" distL="0" distR="0">
            <wp:extent cx="5949950" cy="2987675"/>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0" cy="2987675"/>
                    </a:xfrm>
                    <a:prstGeom prst="rect">
                      <a:avLst/>
                    </a:prstGeom>
                    <a:noFill/>
                    <a:ln>
                      <a:noFill/>
                    </a:ln>
                  </pic:spPr>
                </pic:pic>
              </a:graphicData>
            </a:graphic>
          </wp:inline>
        </w:drawing>
      </w:r>
    </w:p>
    <w:p w:rsidR="006813CB" w:rsidRDefault="006813CB" w:rsidP="00B6007F">
      <w:pPr>
        <w:rPr>
          <w:rFonts w:ascii="Verdana" w:hAnsi="Verdana"/>
          <w:bCs/>
          <w:sz w:val="20"/>
          <w:szCs w:val="20"/>
        </w:rPr>
      </w:pPr>
    </w:p>
    <w:p w:rsidR="006813CB" w:rsidRDefault="006813CB" w:rsidP="006813CB">
      <w:pPr>
        <w:pStyle w:val="Caption"/>
        <w:keepNext/>
      </w:pPr>
      <w:r>
        <w:t xml:space="preserve">Table </w:t>
      </w:r>
      <w:fldSimple w:instr=" SEQ Table \* ARABIC ">
        <w:r>
          <w:rPr>
            <w:noProof/>
          </w:rPr>
          <w:t>5</w:t>
        </w:r>
      </w:fldSimple>
      <w:r>
        <w:t>. Key for Figures 1 and 2</w:t>
      </w:r>
    </w:p>
    <w:p w:rsidR="00B6007F" w:rsidRDefault="0092338F" w:rsidP="006813CB">
      <w:pPr>
        <w:rPr>
          <w:rFonts w:ascii="Verdana" w:hAnsi="Verdana"/>
          <w:bCs/>
          <w:sz w:val="20"/>
          <w:szCs w:val="20"/>
        </w:rPr>
      </w:pPr>
      <w:r>
        <w:rPr>
          <w:noProof/>
          <w:snapToGrid/>
          <w:lang w:eastAsia="ja-JP"/>
        </w:rPr>
        <w:drawing>
          <wp:inline distT="0" distB="0" distL="0" distR="0">
            <wp:extent cx="1249045" cy="1339215"/>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045" cy="1339215"/>
                    </a:xfrm>
                    <a:prstGeom prst="rect">
                      <a:avLst/>
                    </a:prstGeom>
                    <a:noFill/>
                    <a:ln>
                      <a:noFill/>
                    </a:ln>
                  </pic:spPr>
                </pic:pic>
              </a:graphicData>
            </a:graphic>
          </wp:inline>
        </w:drawing>
      </w:r>
    </w:p>
    <w:p w:rsidR="006813CB" w:rsidRDefault="006813CB" w:rsidP="00B6007F">
      <w:pPr>
        <w:rPr>
          <w:rFonts w:ascii="Verdana" w:hAnsi="Verdana"/>
          <w:bCs/>
          <w:sz w:val="20"/>
          <w:szCs w:val="20"/>
        </w:rPr>
      </w:pPr>
    </w:p>
    <w:p w:rsidR="006813CB" w:rsidRPr="00CA4876" w:rsidRDefault="006813CB" w:rsidP="00B6007F">
      <w:pPr>
        <w:rPr>
          <w:rFonts w:ascii="Verdana" w:hAnsi="Verdana"/>
          <w:bCs/>
          <w:sz w:val="20"/>
          <w:szCs w:val="20"/>
        </w:rPr>
      </w:pPr>
    </w:p>
    <w:p w:rsidR="00940810" w:rsidRDefault="00525E7B" w:rsidP="009F245F">
      <w:pPr>
        <w:rPr>
          <w:rFonts w:ascii="Verdana" w:hAnsi="Verdana"/>
          <w:sz w:val="20"/>
          <w:szCs w:val="20"/>
        </w:rPr>
      </w:pPr>
      <w:r>
        <w:rPr>
          <w:rFonts w:ascii="Verdana" w:hAnsi="Verdana"/>
          <w:noProof/>
          <w:snapToGrid/>
          <w:sz w:val="20"/>
          <w:szCs w:val="20"/>
          <w:lang w:eastAsia="ja-JP"/>
        </w:rPr>
        <w:drawing>
          <wp:inline distT="0" distB="0" distL="0" distR="0">
            <wp:extent cx="6120765" cy="4910004"/>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910004"/>
                    </a:xfrm>
                    <a:prstGeom prst="rect">
                      <a:avLst/>
                    </a:prstGeom>
                    <a:noFill/>
                    <a:ln>
                      <a:noFill/>
                    </a:ln>
                  </pic:spPr>
                </pic:pic>
              </a:graphicData>
            </a:graphic>
          </wp:inline>
        </w:drawing>
      </w:r>
    </w:p>
    <w:p w:rsidR="00940810" w:rsidRDefault="00940810">
      <w:pPr>
        <w:rPr>
          <w:rFonts w:ascii="Verdana" w:hAnsi="Verdana"/>
          <w:sz w:val="20"/>
          <w:szCs w:val="20"/>
        </w:rPr>
      </w:pPr>
      <w:r>
        <w:rPr>
          <w:rFonts w:ascii="Verdana" w:hAnsi="Verdana"/>
          <w:sz w:val="20"/>
          <w:szCs w:val="20"/>
        </w:rPr>
        <w:br w:type="page"/>
      </w:r>
    </w:p>
    <w:p w:rsidR="009F245F" w:rsidRPr="00F35A04" w:rsidRDefault="00525E7B" w:rsidP="009F245F">
      <w:pPr>
        <w:rPr>
          <w:rFonts w:ascii="Verdana" w:hAnsi="Verdana"/>
          <w:sz w:val="20"/>
          <w:szCs w:val="20"/>
        </w:rPr>
      </w:pPr>
      <w:r>
        <w:rPr>
          <w:rFonts w:ascii="Verdana" w:hAnsi="Verdana"/>
          <w:noProof/>
          <w:snapToGrid/>
          <w:sz w:val="20"/>
          <w:szCs w:val="20"/>
          <w:lang w:eastAsia="ja-JP"/>
        </w:rPr>
        <w:lastRenderedPageBreak/>
        <w:drawing>
          <wp:inline distT="0" distB="0" distL="0" distR="0">
            <wp:extent cx="6120765" cy="482123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821230"/>
                    </a:xfrm>
                    <a:prstGeom prst="rect">
                      <a:avLst/>
                    </a:prstGeom>
                    <a:noFill/>
                    <a:ln>
                      <a:noFill/>
                    </a:ln>
                  </pic:spPr>
                </pic:pic>
              </a:graphicData>
            </a:graphic>
          </wp:inline>
        </w:drawing>
      </w:r>
    </w:p>
    <w:sectPr w:rsidR="009F245F" w:rsidRPr="00F35A04" w:rsidSect="00205D7D">
      <w:type w:val="continuous"/>
      <w:pgSz w:w="11907" w:h="16840" w:code="9"/>
      <w:pgMar w:top="1134" w:right="1134" w:bottom="1134" w:left="1134" w:header="567" w:footer="567" w:gutter="0"/>
      <w:paperSrc w:first="15" w:other="15"/>
      <w:cols w:space="708"/>
      <w:docGrid w:type="linesAndChar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64"/>
    <w:rsid w:val="00004EE8"/>
    <w:rsid w:val="00037670"/>
    <w:rsid w:val="000426DF"/>
    <w:rsid w:val="00042E0F"/>
    <w:rsid w:val="00060C75"/>
    <w:rsid w:val="00062207"/>
    <w:rsid w:val="0007095B"/>
    <w:rsid w:val="000736FF"/>
    <w:rsid w:val="00085C60"/>
    <w:rsid w:val="00095535"/>
    <w:rsid w:val="000A2A71"/>
    <w:rsid w:val="000C17B8"/>
    <w:rsid w:val="000C1DFF"/>
    <w:rsid w:val="000F3EFB"/>
    <w:rsid w:val="00102DF6"/>
    <w:rsid w:val="00117B3E"/>
    <w:rsid w:val="00154663"/>
    <w:rsid w:val="0015739E"/>
    <w:rsid w:val="00160129"/>
    <w:rsid w:val="0017015C"/>
    <w:rsid w:val="00174D5A"/>
    <w:rsid w:val="00175E86"/>
    <w:rsid w:val="00183272"/>
    <w:rsid w:val="001A1400"/>
    <w:rsid w:val="001A1B97"/>
    <w:rsid w:val="001B6D4A"/>
    <w:rsid w:val="001B74EA"/>
    <w:rsid w:val="001C6D52"/>
    <w:rsid w:val="001E5BCA"/>
    <w:rsid w:val="001F354A"/>
    <w:rsid w:val="002012ED"/>
    <w:rsid w:val="00202193"/>
    <w:rsid w:val="00205D7D"/>
    <w:rsid w:val="00214F1F"/>
    <w:rsid w:val="002151FB"/>
    <w:rsid w:val="00216E6B"/>
    <w:rsid w:val="0022582B"/>
    <w:rsid w:val="00225E68"/>
    <w:rsid w:val="002305E7"/>
    <w:rsid w:val="00231A50"/>
    <w:rsid w:val="002601CB"/>
    <w:rsid w:val="00287AE7"/>
    <w:rsid w:val="00291039"/>
    <w:rsid w:val="002921A7"/>
    <w:rsid w:val="002A2002"/>
    <w:rsid w:val="002A7D7D"/>
    <w:rsid w:val="002D5A02"/>
    <w:rsid w:val="002E6C79"/>
    <w:rsid w:val="0030266F"/>
    <w:rsid w:val="003028E6"/>
    <w:rsid w:val="00302C7D"/>
    <w:rsid w:val="0030385D"/>
    <w:rsid w:val="003079BB"/>
    <w:rsid w:val="00313484"/>
    <w:rsid w:val="00320A0D"/>
    <w:rsid w:val="00324E25"/>
    <w:rsid w:val="003267A6"/>
    <w:rsid w:val="0032703D"/>
    <w:rsid w:val="00330951"/>
    <w:rsid w:val="003362B8"/>
    <w:rsid w:val="0034399D"/>
    <w:rsid w:val="00352878"/>
    <w:rsid w:val="0036139A"/>
    <w:rsid w:val="00363143"/>
    <w:rsid w:val="00366843"/>
    <w:rsid w:val="00374650"/>
    <w:rsid w:val="00385128"/>
    <w:rsid w:val="0039463C"/>
    <w:rsid w:val="003A246E"/>
    <w:rsid w:val="003B0BF2"/>
    <w:rsid w:val="003B3721"/>
    <w:rsid w:val="003B4D67"/>
    <w:rsid w:val="003B6556"/>
    <w:rsid w:val="003C0543"/>
    <w:rsid w:val="003C2D96"/>
    <w:rsid w:val="003C7242"/>
    <w:rsid w:val="003D460D"/>
    <w:rsid w:val="00403730"/>
    <w:rsid w:val="00415F97"/>
    <w:rsid w:val="0043708B"/>
    <w:rsid w:val="004467D2"/>
    <w:rsid w:val="00455289"/>
    <w:rsid w:val="00455898"/>
    <w:rsid w:val="0046035B"/>
    <w:rsid w:val="00461911"/>
    <w:rsid w:val="004713B4"/>
    <w:rsid w:val="0047387F"/>
    <w:rsid w:val="00473E64"/>
    <w:rsid w:val="0047593A"/>
    <w:rsid w:val="00481C7A"/>
    <w:rsid w:val="00484AEF"/>
    <w:rsid w:val="00491001"/>
    <w:rsid w:val="004F715C"/>
    <w:rsid w:val="005009B7"/>
    <w:rsid w:val="0052330A"/>
    <w:rsid w:val="00525E7B"/>
    <w:rsid w:val="00534E58"/>
    <w:rsid w:val="00552686"/>
    <w:rsid w:val="0055539D"/>
    <w:rsid w:val="005554A5"/>
    <w:rsid w:val="0057784D"/>
    <w:rsid w:val="005839A3"/>
    <w:rsid w:val="005870EB"/>
    <w:rsid w:val="00594DDE"/>
    <w:rsid w:val="00597022"/>
    <w:rsid w:val="005A1704"/>
    <w:rsid w:val="005A2C4C"/>
    <w:rsid w:val="005A344F"/>
    <w:rsid w:val="005A7730"/>
    <w:rsid w:val="005B17EA"/>
    <w:rsid w:val="005B51E9"/>
    <w:rsid w:val="005D39D4"/>
    <w:rsid w:val="005D5A4C"/>
    <w:rsid w:val="00624295"/>
    <w:rsid w:val="006250CC"/>
    <w:rsid w:val="00634323"/>
    <w:rsid w:val="00642B08"/>
    <w:rsid w:val="0065376F"/>
    <w:rsid w:val="00653DCD"/>
    <w:rsid w:val="00661253"/>
    <w:rsid w:val="006613C4"/>
    <w:rsid w:val="00666AB4"/>
    <w:rsid w:val="006813CB"/>
    <w:rsid w:val="0068721F"/>
    <w:rsid w:val="006C0A1F"/>
    <w:rsid w:val="006C339E"/>
    <w:rsid w:val="006C56A1"/>
    <w:rsid w:val="006C7806"/>
    <w:rsid w:val="006C7DBB"/>
    <w:rsid w:val="006D0549"/>
    <w:rsid w:val="006D4AA7"/>
    <w:rsid w:val="006E0205"/>
    <w:rsid w:val="006E38F3"/>
    <w:rsid w:val="006E50C0"/>
    <w:rsid w:val="006F3CE0"/>
    <w:rsid w:val="006F7096"/>
    <w:rsid w:val="006F7540"/>
    <w:rsid w:val="007028AF"/>
    <w:rsid w:val="0070557F"/>
    <w:rsid w:val="00726FD4"/>
    <w:rsid w:val="00731C6C"/>
    <w:rsid w:val="007334CC"/>
    <w:rsid w:val="00737E2D"/>
    <w:rsid w:val="007635BE"/>
    <w:rsid w:val="00771765"/>
    <w:rsid w:val="00774097"/>
    <w:rsid w:val="00777294"/>
    <w:rsid w:val="007A602D"/>
    <w:rsid w:val="007B3EF4"/>
    <w:rsid w:val="007D135B"/>
    <w:rsid w:val="007D3759"/>
    <w:rsid w:val="007D488A"/>
    <w:rsid w:val="007D7EC9"/>
    <w:rsid w:val="007F1D18"/>
    <w:rsid w:val="007F571D"/>
    <w:rsid w:val="00810F6C"/>
    <w:rsid w:val="00822564"/>
    <w:rsid w:val="00854CF1"/>
    <w:rsid w:val="0087795A"/>
    <w:rsid w:val="00882178"/>
    <w:rsid w:val="008A4415"/>
    <w:rsid w:val="008A48FF"/>
    <w:rsid w:val="008E669E"/>
    <w:rsid w:val="00910EDE"/>
    <w:rsid w:val="00911012"/>
    <w:rsid w:val="00916862"/>
    <w:rsid w:val="0092338F"/>
    <w:rsid w:val="009251AE"/>
    <w:rsid w:val="00940810"/>
    <w:rsid w:val="009511E7"/>
    <w:rsid w:val="00955292"/>
    <w:rsid w:val="009558BC"/>
    <w:rsid w:val="00965F8E"/>
    <w:rsid w:val="00970B57"/>
    <w:rsid w:val="00976269"/>
    <w:rsid w:val="00983CED"/>
    <w:rsid w:val="009950B5"/>
    <w:rsid w:val="009C4D6F"/>
    <w:rsid w:val="009C731D"/>
    <w:rsid w:val="009D07EC"/>
    <w:rsid w:val="009D6DA6"/>
    <w:rsid w:val="009E725C"/>
    <w:rsid w:val="009F14D6"/>
    <w:rsid w:val="009F245F"/>
    <w:rsid w:val="00A002A6"/>
    <w:rsid w:val="00A06245"/>
    <w:rsid w:val="00A11090"/>
    <w:rsid w:val="00A17D50"/>
    <w:rsid w:val="00A259DA"/>
    <w:rsid w:val="00A35997"/>
    <w:rsid w:val="00A64379"/>
    <w:rsid w:val="00A6536B"/>
    <w:rsid w:val="00A70764"/>
    <w:rsid w:val="00A710FD"/>
    <w:rsid w:val="00A8078C"/>
    <w:rsid w:val="00A83665"/>
    <w:rsid w:val="00AC098E"/>
    <w:rsid w:val="00AD5FD8"/>
    <w:rsid w:val="00AD7BC6"/>
    <w:rsid w:val="00AF060A"/>
    <w:rsid w:val="00B1295F"/>
    <w:rsid w:val="00B136AB"/>
    <w:rsid w:val="00B31840"/>
    <w:rsid w:val="00B36487"/>
    <w:rsid w:val="00B50C60"/>
    <w:rsid w:val="00B6007F"/>
    <w:rsid w:val="00B90A6E"/>
    <w:rsid w:val="00B915E5"/>
    <w:rsid w:val="00BA1354"/>
    <w:rsid w:val="00BB2D68"/>
    <w:rsid w:val="00BD30E7"/>
    <w:rsid w:val="00BE1C90"/>
    <w:rsid w:val="00BE75F6"/>
    <w:rsid w:val="00BF065C"/>
    <w:rsid w:val="00BF078D"/>
    <w:rsid w:val="00BF5F6F"/>
    <w:rsid w:val="00C17391"/>
    <w:rsid w:val="00C32B0D"/>
    <w:rsid w:val="00C5462E"/>
    <w:rsid w:val="00C56B10"/>
    <w:rsid w:val="00C72CC6"/>
    <w:rsid w:val="00C80626"/>
    <w:rsid w:val="00C8416C"/>
    <w:rsid w:val="00C85A94"/>
    <w:rsid w:val="00CA4876"/>
    <w:rsid w:val="00CA73DC"/>
    <w:rsid w:val="00CB32EA"/>
    <w:rsid w:val="00CD3FA6"/>
    <w:rsid w:val="00CE2D9D"/>
    <w:rsid w:val="00D02230"/>
    <w:rsid w:val="00D078E7"/>
    <w:rsid w:val="00D2274D"/>
    <w:rsid w:val="00D47603"/>
    <w:rsid w:val="00D478AD"/>
    <w:rsid w:val="00D51173"/>
    <w:rsid w:val="00D564D5"/>
    <w:rsid w:val="00D571DE"/>
    <w:rsid w:val="00D632E9"/>
    <w:rsid w:val="00D64CE3"/>
    <w:rsid w:val="00D726C7"/>
    <w:rsid w:val="00D87EBC"/>
    <w:rsid w:val="00D96433"/>
    <w:rsid w:val="00DA14BC"/>
    <w:rsid w:val="00DC3E1A"/>
    <w:rsid w:val="00DF744B"/>
    <w:rsid w:val="00E118FA"/>
    <w:rsid w:val="00E263EC"/>
    <w:rsid w:val="00E467A6"/>
    <w:rsid w:val="00E65F3F"/>
    <w:rsid w:val="00E740BE"/>
    <w:rsid w:val="00E743BB"/>
    <w:rsid w:val="00E75B6E"/>
    <w:rsid w:val="00EA0729"/>
    <w:rsid w:val="00EA132C"/>
    <w:rsid w:val="00EE6561"/>
    <w:rsid w:val="00EF54F0"/>
    <w:rsid w:val="00F018F3"/>
    <w:rsid w:val="00F04F34"/>
    <w:rsid w:val="00F2595D"/>
    <w:rsid w:val="00F35A04"/>
    <w:rsid w:val="00F4589C"/>
    <w:rsid w:val="00F45978"/>
    <w:rsid w:val="00F5434C"/>
    <w:rsid w:val="00FA23EF"/>
    <w:rsid w:val="00FC0337"/>
    <w:rsid w:val="00FC7FE8"/>
    <w:rsid w:val="00FD21BA"/>
    <w:rsid w:val="00FD66E9"/>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table" w:styleId="TableGrid">
    <w:name w:val="Table Grid"/>
    <w:basedOn w:val="TableNormal"/>
    <w:rsid w:val="00B6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6007F"/>
    <w:rPr>
      <w:b/>
      <w:bCs/>
      <w:sz w:val="20"/>
      <w:szCs w:val="20"/>
    </w:rPr>
  </w:style>
  <w:style w:type="character" w:styleId="Hyperlink">
    <w:name w:val="Hyperlink"/>
    <w:basedOn w:val="DefaultParagraphFont"/>
    <w:rsid w:val="006813CB"/>
    <w:rPr>
      <w:color w:val="0000FF" w:themeColor="hyperlink"/>
      <w:u w:val="single"/>
    </w:rPr>
  </w:style>
  <w:style w:type="paragraph" w:styleId="BalloonText">
    <w:name w:val="Balloon Text"/>
    <w:basedOn w:val="Normal"/>
    <w:link w:val="BalloonTextChar"/>
    <w:rsid w:val="005B17EA"/>
    <w:rPr>
      <w:rFonts w:ascii="Tahoma" w:hAnsi="Tahoma" w:cs="Tahoma"/>
      <w:sz w:val="16"/>
      <w:szCs w:val="16"/>
    </w:rPr>
  </w:style>
  <w:style w:type="character" w:customStyle="1" w:styleId="BalloonTextChar">
    <w:name w:val="Balloon Text Char"/>
    <w:basedOn w:val="DefaultParagraphFont"/>
    <w:link w:val="BalloonText"/>
    <w:rsid w:val="005B17EA"/>
    <w:rPr>
      <w:rFonts w:ascii="Tahoma" w:hAnsi="Tahoma" w:cs="Tahoma"/>
      <w:snapToGrid w:val="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table" w:styleId="TableGrid">
    <w:name w:val="Table Grid"/>
    <w:basedOn w:val="TableNormal"/>
    <w:rsid w:val="00B6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6007F"/>
    <w:rPr>
      <w:b/>
      <w:bCs/>
      <w:sz w:val="20"/>
      <w:szCs w:val="20"/>
    </w:rPr>
  </w:style>
  <w:style w:type="character" w:styleId="Hyperlink">
    <w:name w:val="Hyperlink"/>
    <w:basedOn w:val="DefaultParagraphFont"/>
    <w:rsid w:val="006813CB"/>
    <w:rPr>
      <w:color w:val="0000FF" w:themeColor="hyperlink"/>
      <w:u w:val="single"/>
    </w:rPr>
  </w:style>
  <w:style w:type="paragraph" w:styleId="BalloonText">
    <w:name w:val="Balloon Text"/>
    <w:basedOn w:val="Normal"/>
    <w:link w:val="BalloonTextChar"/>
    <w:rsid w:val="005B17EA"/>
    <w:rPr>
      <w:rFonts w:ascii="Tahoma" w:hAnsi="Tahoma" w:cs="Tahoma"/>
      <w:sz w:val="16"/>
      <w:szCs w:val="16"/>
    </w:rPr>
  </w:style>
  <w:style w:type="character" w:customStyle="1" w:styleId="BalloonTextChar">
    <w:name w:val="Balloon Text Char"/>
    <w:basedOn w:val="DefaultParagraphFont"/>
    <w:link w:val="BalloonText"/>
    <w:rsid w:val="005B17EA"/>
    <w:rPr>
      <w:rFonts w:ascii="Tahoma" w:hAnsi="Tahoma" w:cs="Tahoma"/>
      <w:snapToGrid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10813">
      <w:bodyDiv w:val="1"/>
      <w:marLeft w:val="0"/>
      <w:marRight w:val="0"/>
      <w:marTop w:val="0"/>
      <w:marBottom w:val="0"/>
      <w:divBdr>
        <w:top w:val="none" w:sz="0" w:space="0" w:color="auto"/>
        <w:left w:val="none" w:sz="0" w:space="0" w:color="auto"/>
        <w:bottom w:val="none" w:sz="0" w:space="0" w:color="auto"/>
        <w:right w:val="none" w:sz="0" w:space="0" w:color="auto"/>
      </w:divBdr>
    </w:div>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 w:id="1541438103">
      <w:bodyDiv w:val="1"/>
      <w:marLeft w:val="0"/>
      <w:marRight w:val="0"/>
      <w:marTop w:val="0"/>
      <w:marBottom w:val="0"/>
      <w:divBdr>
        <w:top w:val="none" w:sz="0" w:space="0" w:color="auto"/>
        <w:left w:val="none" w:sz="0" w:space="0" w:color="auto"/>
        <w:bottom w:val="none" w:sz="0" w:space="0" w:color="auto"/>
        <w:right w:val="none" w:sz="0" w:space="0" w:color="auto"/>
      </w:divBdr>
    </w:div>
    <w:div w:id="20537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541</Words>
  <Characters>2981</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Simple document where pragmatic ideas are expressed</vt:lpstr>
    </vt:vector>
  </TitlesOfParts>
  <Company>wmo</Company>
  <LinksUpToDate>false</LinksUpToDate>
  <CharactersWithSpaces>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document where pragmatic ideas are expressed</dc:title>
  <dc:creator>Martellet</dc:creator>
  <cp:lastModifiedBy>AS</cp:lastModifiedBy>
  <cp:revision>2</cp:revision>
  <cp:lastPrinted>2008-08-15T16:03:00Z</cp:lastPrinted>
  <dcterms:created xsi:type="dcterms:W3CDTF">2017-07-20T14:04:00Z</dcterms:created>
  <dcterms:modified xsi:type="dcterms:W3CDTF">2017-07-20T14:04:00Z</dcterms:modified>
</cp:coreProperties>
</file>