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36212B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126622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126622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126622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126622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126622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Pr="00F35A04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CODES M</w:t>
            </w:r>
            <w:r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126622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126622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28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LY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126622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126622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126622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Pr="00F35A0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126622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126622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126622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5554A5" w:rsidRPr="00F35A04" w:rsidRDefault="00126622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126622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126622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126622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126622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126622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BUFR"/>
            </w:textInput>
          </w:ffData>
        </w:fldChar>
      </w:r>
      <w:bookmarkStart w:id="0" w:name="Text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BUFR</w:t>
      </w:r>
      <w:r>
        <w:rPr>
          <w:rFonts w:ascii="Verdana" w:hAnsi="Verdana"/>
          <w:sz w:val="20"/>
          <w:szCs w:val="20"/>
        </w:rPr>
        <w:fldChar w:fldCharType="end"/>
      </w:r>
      <w:bookmarkEnd w:id="0"/>
    </w:p>
    <w:p w:rsidR="009F245F" w:rsidRPr="00F35A04" w:rsidRDefault="00126622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ew BUFR sequence for describing satellites contributing to an observed geophysical quantity"/>
            </w:textInput>
          </w:ffData>
        </w:fldChar>
      </w:r>
      <w:bookmarkStart w:id="1" w:name="Text2"/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New BUFR sequence for describing satellites contributing to an observed geophysical quantity</w:t>
      </w:r>
      <w:r>
        <w:rPr>
          <w:rFonts w:ascii="Verdana" w:hAnsi="Verdana" w:cs="Arial"/>
          <w:b/>
          <w:sz w:val="20"/>
          <w:szCs w:val="20"/>
        </w:rPr>
        <w:fldChar w:fldCharType="end"/>
      </w:r>
      <w:bookmarkEnd w:id="1"/>
    </w:p>
    <w:p w:rsidR="009F245F" w:rsidRPr="00F35A04" w:rsidRDefault="00126622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Simon Elliott (EUMETSAT), Daniel Lee (EUMETSAT)"/>
            </w:textInput>
          </w:ffData>
        </w:fldChar>
      </w:r>
      <w:bookmarkStart w:id="2" w:name="Text3"/>
      <w:r>
        <w:rPr>
          <w:rFonts w:ascii="Verdana" w:hAnsi="Verdana"/>
          <w:i/>
          <w:sz w:val="20"/>
          <w:szCs w:val="20"/>
        </w:rPr>
        <w:instrText xml:space="preserve"> FORMTEXT </w:instrText>
      </w:r>
      <w:r>
        <w:rPr>
          <w:rFonts w:ascii="Verdana" w:hAnsi="Verdana"/>
          <w:i/>
          <w:sz w:val="20"/>
          <w:szCs w:val="20"/>
        </w:rPr>
      </w:r>
      <w:r>
        <w:rPr>
          <w:rFonts w:ascii="Verdana" w:hAnsi="Verdana"/>
          <w:i/>
          <w:sz w:val="20"/>
          <w:szCs w:val="20"/>
        </w:rPr>
        <w:fldChar w:fldCharType="separate"/>
      </w:r>
      <w:r>
        <w:rPr>
          <w:rFonts w:ascii="Verdana" w:hAnsi="Verdana"/>
          <w:i/>
          <w:noProof/>
          <w:sz w:val="20"/>
          <w:szCs w:val="20"/>
        </w:rPr>
        <w:t>S</w:t>
      </w:r>
      <w:bookmarkStart w:id="3" w:name="_GoBack"/>
      <w:r>
        <w:rPr>
          <w:rFonts w:ascii="Verdana" w:hAnsi="Verdana"/>
          <w:i/>
          <w:noProof/>
          <w:sz w:val="20"/>
          <w:szCs w:val="20"/>
        </w:rPr>
        <w:t>imon Elliott (EUMETSAT), Daniel Lee (EUMETSAT</w:t>
      </w:r>
      <w:bookmarkEnd w:id="3"/>
      <w:r>
        <w:rPr>
          <w:rFonts w:ascii="Verdana" w:hAnsi="Verdana"/>
          <w:i/>
          <w:noProof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fldChar w:fldCharType="end"/>
      </w:r>
      <w:bookmarkEnd w:id="2"/>
    </w:p>
    <w:p w:rsidR="009F245F" w:rsidRPr="00F35A04" w:rsidRDefault="00126622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126622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126622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126622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126622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126622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document proposes a new sequence </w:t>
      </w:r>
      <w:r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>BUFR class 4 in order to precisely describe satellite constellations contributing observations to a computed geophysical quantity.</w:t>
      </w:r>
    </w:p>
    <w:p w:rsidR="009F245F" w:rsidRPr="00F35A04" w:rsidRDefault="00126622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126622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126622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126622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126622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126622" w:rsidP="009F245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meeting is requested to approv</w:t>
      </w:r>
      <w:r>
        <w:rPr>
          <w:rFonts w:ascii="Verdana" w:hAnsi="Verdana"/>
          <w:sz w:val="20"/>
          <w:szCs w:val="20"/>
        </w:rPr>
        <w:t>e the contents for inclusion within the November 217 fast-track (FT2017-2) update to the WMO Manual on Codes.</w:t>
      </w:r>
    </w:p>
    <w:p w:rsidR="009F245F" w:rsidRPr="00F35A04" w:rsidRDefault="0012662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126622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126622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126622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126622" w:rsidP="006E0B79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126622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126622" w:rsidP="009F245F">
      <w:pPr>
        <w:rPr>
          <w:rFonts w:ascii="Verdana" w:hAnsi="Verdana"/>
          <w:sz w:val="20"/>
          <w:szCs w:val="20"/>
        </w:rPr>
      </w:pPr>
    </w:p>
    <w:p w:rsidR="00966887" w:rsidRDefault="00126622" w:rsidP="009F245F">
      <w:pPr>
        <w:rPr>
          <w:rFonts w:ascii="Verdana" w:hAnsi="Verdana"/>
          <w:sz w:val="20"/>
          <w:szCs w:val="20"/>
        </w:rPr>
      </w:pPr>
      <w:r w:rsidRPr="00966887">
        <w:rPr>
          <w:rFonts w:ascii="Verdana" w:hAnsi="Verdana"/>
          <w:sz w:val="20"/>
          <w:szCs w:val="20"/>
        </w:rPr>
        <w:t>Several satellite products (e.g. atmospheric motion vectors</w:t>
      </w:r>
      <w:r>
        <w:rPr>
          <w:rFonts w:ascii="Verdana" w:hAnsi="Verdana"/>
          <w:sz w:val="20"/>
          <w:szCs w:val="20"/>
        </w:rPr>
        <w:t>, AMVs</w:t>
      </w:r>
      <w:r w:rsidRPr="00966887">
        <w:rPr>
          <w:rFonts w:ascii="Verdana" w:hAnsi="Verdana"/>
          <w:sz w:val="20"/>
          <w:szCs w:val="20"/>
        </w:rPr>
        <w:t xml:space="preserve">) are produced </w:t>
      </w:r>
      <w:r>
        <w:rPr>
          <w:rFonts w:ascii="Verdana" w:hAnsi="Verdana"/>
          <w:sz w:val="20"/>
          <w:szCs w:val="20"/>
        </w:rPr>
        <w:t>by fusing data from</w:t>
      </w:r>
      <w:r w:rsidRPr="00966887">
        <w:rPr>
          <w:rFonts w:ascii="Verdana" w:hAnsi="Verdana"/>
          <w:sz w:val="20"/>
          <w:szCs w:val="20"/>
        </w:rPr>
        <w:t xml:space="preserve"> multi-satellite constellation</w:t>
      </w:r>
      <w:r>
        <w:rPr>
          <w:rFonts w:ascii="Verdana" w:hAnsi="Verdana"/>
          <w:sz w:val="20"/>
          <w:szCs w:val="20"/>
        </w:rPr>
        <w:t>s</w:t>
      </w:r>
      <w:r w:rsidRPr="00966887">
        <w:rPr>
          <w:rFonts w:ascii="Verdana" w:hAnsi="Verdana"/>
          <w:sz w:val="20"/>
          <w:szCs w:val="20"/>
        </w:rPr>
        <w:t xml:space="preserve">. Currently </w:t>
      </w:r>
      <w:r>
        <w:rPr>
          <w:rFonts w:ascii="Verdana" w:hAnsi="Verdana"/>
          <w:sz w:val="20"/>
          <w:szCs w:val="20"/>
        </w:rPr>
        <w:t xml:space="preserve">the constellation </w:t>
      </w:r>
      <w:r w:rsidRPr="00966887">
        <w:rPr>
          <w:rFonts w:ascii="Verdana" w:hAnsi="Verdana"/>
          <w:sz w:val="20"/>
          <w:szCs w:val="20"/>
        </w:rPr>
        <w:t xml:space="preserve">can be </w:t>
      </w:r>
      <w:r>
        <w:rPr>
          <w:rFonts w:ascii="Verdana" w:hAnsi="Verdana"/>
          <w:sz w:val="20"/>
          <w:szCs w:val="20"/>
        </w:rPr>
        <w:t xml:space="preserve">described </w:t>
      </w:r>
      <w:r w:rsidRPr="00966887">
        <w:rPr>
          <w:rFonts w:ascii="Verdana" w:hAnsi="Verdana"/>
          <w:sz w:val="20"/>
          <w:szCs w:val="20"/>
        </w:rPr>
        <w:t>to users by using special combinator</w:t>
      </w:r>
      <w:r>
        <w:rPr>
          <w:rFonts w:ascii="Verdana" w:hAnsi="Verdana"/>
          <w:sz w:val="20"/>
          <w:szCs w:val="20"/>
        </w:rPr>
        <w:t>ial</w:t>
      </w:r>
      <w:r w:rsidRPr="00966887">
        <w:rPr>
          <w:rFonts w:ascii="Verdana" w:hAnsi="Verdana"/>
          <w:sz w:val="20"/>
          <w:szCs w:val="20"/>
        </w:rPr>
        <w:t xml:space="preserve"> entries in Common Code Table C-5 to describe multiple satellites, as shown in </w:t>
      </w:r>
      <w:r w:rsidRPr="00966887">
        <w:rPr>
          <w:rFonts w:ascii="Verdana" w:hAnsi="Verdana"/>
          <w:sz w:val="20"/>
          <w:szCs w:val="20"/>
        </w:rPr>
        <w:fldChar w:fldCharType="begin"/>
      </w:r>
      <w:r w:rsidRPr="00966887">
        <w:rPr>
          <w:rFonts w:ascii="Verdana" w:hAnsi="Verdana"/>
          <w:sz w:val="20"/>
          <w:szCs w:val="20"/>
        </w:rPr>
        <w:instrText xml:space="preserve"> REF _Ref486930839 \h </w:instrText>
      </w:r>
      <w:r>
        <w:rPr>
          <w:rFonts w:ascii="Verdana" w:hAnsi="Verdana"/>
          <w:sz w:val="20"/>
          <w:szCs w:val="20"/>
        </w:rPr>
        <w:instrText xml:space="preserve"> \* MERGEFORMAT </w:instrText>
      </w:r>
      <w:r w:rsidRPr="00966887">
        <w:rPr>
          <w:rFonts w:ascii="Verdana" w:hAnsi="Verdana"/>
          <w:sz w:val="20"/>
          <w:szCs w:val="20"/>
        </w:rPr>
      </w:r>
      <w:r w:rsidRPr="00966887">
        <w:rPr>
          <w:rFonts w:ascii="Verdana" w:hAnsi="Verdana"/>
          <w:sz w:val="20"/>
          <w:szCs w:val="20"/>
        </w:rPr>
        <w:fldChar w:fldCharType="separate"/>
      </w:r>
      <w:r w:rsidRPr="00966887">
        <w:rPr>
          <w:rFonts w:ascii="Verdana" w:hAnsi="Verdana"/>
          <w:sz w:val="20"/>
          <w:szCs w:val="20"/>
        </w:rPr>
        <w:t>Table 1</w:t>
      </w:r>
      <w:r w:rsidRPr="00966887">
        <w:rPr>
          <w:rFonts w:ascii="Verdana" w:hAnsi="Verdana"/>
          <w:sz w:val="20"/>
          <w:szCs w:val="20"/>
        </w:rPr>
        <w:fldChar w:fldCharType="end"/>
      </w:r>
      <w:r w:rsidRPr="00966887">
        <w:rPr>
          <w:rFonts w:ascii="Verdana" w:hAnsi="Verdana"/>
          <w:sz w:val="20"/>
          <w:szCs w:val="20"/>
        </w:rPr>
        <w:t>.</w:t>
      </w:r>
    </w:p>
    <w:p w:rsidR="00966887" w:rsidRDefault="00126622" w:rsidP="009F245F">
      <w:pPr>
        <w:rPr>
          <w:rFonts w:ascii="Verdana" w:hAnsi="Verdana"/>
          <w:sz w:val="20"/>
          <w:szCs w:val="20"/>
        </w:rPr>
      </w:pPr>
    </w:p>
    <w:p w:rsidR="00966887" w:rsidRDefault="00126622" w:rsidP="00966887">
      <w:pPr>
        <w:pStyle w:val="Caption"/>
        <w:keepNext/>
      </w:pPr>
      <w:bookmarkStart w:id="4" w:name="_Ref48693083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4"/>
      <w:r>
        <w:t>: Current combinatorial entries from Common Code Table C-5.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7"/>
      </w:tblGrid>
      <w:tr w:rsidR="0036212B" w:rsidTr="00212E0C">
        <w:tc>
          <w:tcPr>
            <w:tcW w:w="1668" w:type="dxa"/>
            <w:shd w:val="clear" w:color="auto" w:fill="auto"/>
          </w:tcPr>
          <w:p w:rsidR="00966887" w:rsidRPr="00212E0C" w:rsidRDefault="00126622" w:rsidP="009F24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2E0C">
              <w:rPr>
                <w:rFonts w:ascii="Verdana" w:hAnsi="Verdana"/>
                <w:b/>
                <w:sz w:val="20"/>
                <w:szCs w:val="20"/>
              </w:rPr>
              <w:t>Code figure</w:t>
            </w:r>
          </w:p>
        </w:tc>
        <w:tc>
          <w:tcPr>
            <w:tcW w:w="8187" w:type="dxa"/>
            <w:shd w:val="clear" w:color="auto" w:fill="auto"/>
          </w:tcPr>
          <w:p w:rsidR="00966887" w:rsidRPr="00212E0C" w:rsidRDefault="00126622" w:rsidP="009F24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2E0C">
              <w:rPr>
                <w:rFonts w:ascii="Verdana" w:hAnsi="Verdana"/>
                <w:b/>
                <w:sz w:val="20"/>
                <w:szCs w:val="20"/>
              </w:rPr>
              <w:t>Meaning</w:t>
            </w:r>
          </w:p>
        </w:tc>
      </w:tr>
      <w:tr w:rsidR="0036212B" w:rsidTr="00212E0C">
        <w:tc>
          <w:tcPr>
            <w:tcW w:w="1668" w:type="dxa"/>
            <w:shd w:val="clear" w:color="auto" w:fill="auto"/>
          </w:tcPr>
          <w:p w:rsidR="00966887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850</w:t>
            </w:r>
          </w:p>
        </w:tc>
        <w:tc>
          <w:tcPr>
            <w:tcW w:w="8187" w:type="dxa"/>
            <w:shd w:val="clear" w:color="auto" w:fill="auto"/>
          </w:tcPr>
          <w:p w:rsidR="00966887" w:rsidRPr="00212E0C" w:rsidRDefault="00126622" w:rsidP="00966887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Combination of TERRA and AQUA</w:t>
            </w:r>
          </w:p>
        </w:tc>
      </w:tr>
      <w:tr w:rsidR="0036212B" w:rsidTr="00212E0C">
        <w:tc>
          <w:tcPr>
            <w:tcW w:w="1668" w:type="dxa"/>
            <w:shd w:val="clear" w:color="auto" w:fill="auto"/>
          </w:tcPr>
          <w:p w:rsidR="00966887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851</w:t>
            </w:r>
          </w:p>
        </w:tc>
        <w:tc>
          <w:tcPr>
            <w:tcW w:w="8187" w:type="dxa"/>
            <w:shd w:val="clear" w:color="auto" w:fill="auto"/>
          </w:tcPr>
          <w:p w:rsidR="00966887" w:rsidRPr="00212E0C" w:rsidRDefault="00126622" w:rsidP="00966887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Combination of NOAA 16 to NOAA 19</w:t>
            </w:r>
          </w:p>
        </w:tc>
      </w:tr>
      <w:tr w:rsidR="0036212B" w:rsidTr="00212E0C">
        <w:tc>
          <w:tcPr>
            <w:tcW w:w="1668" w:type="dxa"/>
            <w:shd w:val="clear" w:color="auto" w:fill="auto"/>
          </w:tcPr>
          <w:p w:rsidR="00966887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852</w:t>
            </w:r>
          </w:p>
        </w:tc>
        <w:tc>
          <w:tcPr>
            <w:tcW w:w="8187" w:type="dxa"/>
            <w:shd w:val="clear" w:color="auto" w:fill="auto"/>
          </w:tcPr>
          <w:p w:rsidR="00966887" w:rsidRPr="00212E0C" w:rsidRDefault="00126622" w:rsidP="00966887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Combination</w:t>
            </w:r>
            <w:r w:rsidRPr="00212E0C">
              <w:rPr>
                <w:rFonts w:ascii="Verdana" w:hAnsi="Verdana"/>
                <w:sz w:val="20"/>
                <w:szCs w:val="20"/>
              </w:rPr>
              <w:t xml:space="preserve"> of Metop-1 to Metop-3</w:t>
            </w:r>
          </w:p>
        </w:tc>
      </w:tr>
      <w:tr w:rsidR="0036212B" w:rsidTr="00212E0C">
        <w:tc>
          <w:tcPr>
            <w:tcW w:w="1668" w:type="dxa"/>
            <w:shd w:val="clear" w:color="auto" w:fill="auto"/>
          </w:tcPr>
          <w:p w:rsidR="00966887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853</w:t>
            </w:r>
          </w:p>
        </w:tc>
        <w:tc>
          <w:tcPr>
            <w:tcW w:w="8187" w:type="dxa"/>
            <w:shd w:val="clear" w:color="auto" w:fill="auto"/>
          </w:tcPr>
          <w:p w:rsidR="00966887" w:rsidRPr="00212E0C" w:rsidRDefault="00126622" w:rsidP="00966887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Combination of METEOSAT and DMSP</w:t>
            </w:r>
          </w:p>
        </w:tc>
      </w:tr>
      <w:tr w:rsidR="0036212B" w:rsidTr="00212E0C">
        <w:tc>
          <w:tcPr>
            <w:tcW w:w="1668" w:type="dxa"/>
            <w:shd w:val="clear" w:color="auto" w:fill="auto"/>
          </w:tcPr>
          <w:p w:rsidR="00966887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854</w:t>
            </w:r>
          </w:p>
        </w:tc>
        <w:tc>
          <w:tcPr>
            <w:tcW w:w="8187" w:type="dxa"/>
            <w:shd w:val="clear" w:color="auto" w:fill="auto"/>
          </w:tcPr>
          <w:p w:rsidR="00966887" w:rsidRPr="00212E0C" w:rsidRDefault="00126622" w:rsidP="00966887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Non-specific mixture of geostationary and low Earth-orbiting satellites</w:t>
            </w:r>
          </w:p>
        </w:tc>
      </w:tr>
    </w:tbl>
    <w:p w:rsidR="00966887" w:rsidRDefault="00126622" w:rsidP="009F245F">
      <w:pPr>
        <w:rPr>
          <w:rFonts w:ascii="Verdana" w:hAnsi="Verdana"/>
          <w:sz w:val="20"/>
          <w:szCs w:val="20"/>
        </w:rPr>
      </w:pPr>
    </w:p>
    <w:p w:rsidR="0027271D" w:rsidRDefault="00126622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Some applications, however, </w:t>
      </w:r>
      <w:r>
        <w:rPr>
          <w:rFonts w:ascii="Verdana" w:hAnsi="Verdana"/>
          <w:sz w:val="20"/>
          <w:szCs w:val="20"/>
        </w:rPr>
        <w:t xml:space="preserve">would profit from receiving </w:t>
      </w:r>
      <w:r>
        <w:rPr>
          <w:rFonts w:ascii="Verdana" w:hAnsi="Verdana"/>
          <w:sz w:val="20"/>
          <w:szCs w:val="20"/>
        </w:rPr>
        <w:t xml:space="preserve">not only a summary of </w:t>
      </w:r>
      <w:r>
        <w:rPr>
          <w:rFonts w:ascii="Verdana" w:hAnsi="Verdana"/>
          <w:sz w:val="20"/>
          <w:szCs w:val="20"/>
        </w:rPr>
        <w:t>the identities of the contributing satellites, but also the specific satellites involved</w:t>
      </w:r>
      <w:r>
        <w:rPr>
          <w:rFonts w:ascii="Verdana" w:hAnsi="Verdana"/>
          <w:sz w:val="20"/>
          <w:szCs w:val="20"/>
        </w:rPr>
        <w:t xml:space="preserve"> (i.e. Metop-1, -2 and -1 for a triplet constellation, rather than a generic mix of Metop satellites)</w:t>
      </w:r>
      <w:r>
        <w:rPr>
          <w:rFonts w:ascii="Verdana" w:hAnsi="Verdana"/>
          <w:sz w:val="20"/>
          <w:szCs w:val="20"/>
        </w:rPr>
        <w:t>. It is also possible, using the order of the satellites specified,</w:t>
      </w:r>
      <w:r>
        <w:rPr>
          <w:rFonts w:ascii="Verdana" w:hAnsi="Verdana"/>
          <w:sz w:val="20"/>
          <w:szCs w:val="20"/>
        </w:rPr>
        <w:t xml:space="preserve"> to determine the reference image used e.g. in AMVs. As the reference image has the largest contribution to the quality of a given product, the platform on which it was collected can be of relevance, especially as </w:t>
      </w:r>
      <w:r>
        <w:rPr>
          <w:rFonts w:ascii="Verdana" w:hAnsi="Verdana"/>
          <w:sz w:val="20"/>
          <w:szCs w:val="20"/>
        </w:rPr>
        <w:t xml:space="preserve">some </w:t>
      </w:r>
      <w:r>
        <w:rPr>
          <w:rFonts w:ascii="Verdana" w:hAnsi="Verdana"/>
          <w:sz w:val="20"/>
          <w:szCs w:val="20"/>
        </w:rPr>
        <w:t xml:space="preserve">satellites </w:t>
      </w:r>
      <w:r>
        <w:rPr>
          <w:rFonts w:ascii="Verdana" w:hAnsi="Verdana"/>
          <w:sz w:val="20"/>
          <w:szCs w:val="20"/>
        </w:rPr>
        <w:t xml:space="preserve">have </w:t>
      </w:r>
      <w:r>
        <w:rPr>
          <w:rFonts w:ascii="Verdana" w:hAnsi="Verdana"/>
          <w:sz w:val="20"/>
          <w:szCs w:val="20"/>
        </w:rPr>
        <w:t>long mission lifetime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and thus be subject to sensor degradation for longer periods of time</w:t>
      </w:r>
      <w:r>
        <w:rPr>
          <w:rFonts w:ascii="Verdana" w:hAnsi="Verdana"/>
          <w:sz w:val="20"/>
          <w:szCs w:val="20"/>
        </w:rPr>
        <w:t xml:space="preserve">. For example, products might be derived from observations made on board Metop-A, which was launched in 2006, and on Metop-C, which is planned for launch in 2018. Another important fact </w:t>
      </w:r>
      <w:r>
        <w:rPr>
          <w:rFonts w:ascii="Verdana" w:hAnsi="Verdana"/>
          <w:sz w:val="20"/>
          <w:szCs w:val="20"/>
        </w:rPr>
        <w:t>might be the number of satellites contributing.</w:t>
      </w:r>
      <w:r>
        <w:rPr>
          <w:rFonts w:ascii="Verdana" w:hAnsi="Verdana"/>
          <w:sz w:val="20"/>
          <w:szCs w:val="20"/>
        </w:rPr>
        <w:t xml:space="preserve"> The fusion of data from multiple missions and orbits muddies the waters further, so that a more general approach is needed.</w:t>
      </w:r>
    </w:p>
    <w:p w:rsidR="0027271D" w:rsidRDefault="00126622" w:rsidP="009F245F">
      <w:pPr>
        <w:rPr>
          <w:rFonts w:ascii="Verdana" w:hAnsi="Verdana"/>
          <w:sz w:val="20"/>
          <w:szCs w:val="20"/>
        </w:rPr>
      </w:pPr>
    </w:p>
    <w:p w:rsidR="0027271D" w:rsidRPr="00F35A04" w:rsidRDefault="00126622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Listing every possible permutation of contributing satellite would quickly overfill</w:t>
      </w:r>
      <w:r>
        <w:rPr>
          <w:rFonts w:ascii="Verdana" w:hAnsi="Verdana"/>
          <w:sz w:val="20"/>
          <w:szCs w:val="20"/>
        </w:rPr>
        <w:t xml:space="preserve"> Common Code Table C-5 and be unnecessarily complicated. Therefore, in order to provide this information to users, a mechanism is needed which exposes the specific satellites which contributed to the computation of a given product, as well as their order, </w:t>
      </w:r>
      <w:r>
        <w:rPr>
          <w:rFonts w:ascii="Verdana" w:hAnsi="Verdana"/>
          <w:sz w:val="20"/>
          <w:szCs w:val="20"/>
        </w:rPr>
        <w:t>to users.</w:t>
      </w:r>
    </w:p>
    <w:p w:rsidR="007C7ED7" w:rsidRPr="00F35A04" w:rsidRDefault="00126622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126622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27271D" w:rsidRDefault="00126622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 the following sequence</w:t>
      </w:r>
      <w:r>
        <w:rPr>
          <w:rFonts w:ascii="Verdana" w:hAnsi="Verdana"/>
          <w:sz w:val="20"/>
          <w:szCs w:val="20"/>
        </w:rPr>
        <w:t xml:space="preserve"> “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atellites</w:t>
      </w:r>
      <w:r>
        <w:rPr>
          <w:rFonts w:ascii="Verdana" w:hAnsi="Verdana"/>
          <w:sz w:val="20"/>
          <w:szCs w:val="20"/>
        </w:rPr>
        <w:t xml:space="preserve"> contributing observations to computed geophysical quantity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to BUFR Table D/04:</w:t>
      </w:r>
    </w:p>
    <w:p w:rsidR="007C7ED7" w:rsidRDefault="00126622" w:rsidP="009F245F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36212B" w:rsidTr="00212E0C">
        <w:trPr>
          <w:trHeight w:val="120"/>
        </w:trPr>
        <w:tc>
          <w:tcPr>
            <w:tcW w:w="2463" w:type="dxa"/>
            <w:shd w:val="clear" w:color="auto" w:fill="auto"/>
          </w:tcPr>
          <w:p w:rsidR="00B968F0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TABLE REFERENCE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B968F0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TABLE REFERENCES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B968F0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ELEMENT NAME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B968F0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ELEMENT DESCRIPTION</w:t>
            </w:r>
          </w:p>
        </w:tc>
      </w:tr>
      <w:tr w:rsidR="0036212B" w:rsidTr="00212E0C">
        <w:trPr>
          <w:trHeight w:val="120"/>
        </w:trPr>
        <w:tc>
          <w:tcPr>
            <w:tcW w:w="2463" w:type="dxa"/>
            <w:shd w:val="clear" w:color="auto" w:fill="auto"/>
          </w:tcPr>
          <w:p w:rsidR="00B968F0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F XY  Y</w:t>
            </w:r>
          </w:p>
        </w:tc>
        <w:tc>
          <w:tcPr>
            <w:tcW w:w="2464" w:type="dxa"/>
            <w:vMerge/>
            <w:shd w:val="clear" w:color="auto" w:fill="auto"/>
          </w:tcPr>
          <w:p w:rsidR="00B968F0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B968F0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B968F0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2B" w:rsidTr="00212E0C">
        <w:tc>
          <w:tcPr>
            <w:tcW w:w="2463" w:type="dxa"/>
            <w:shd w:val="clear" w:color="auto" w:fill="auto"/>
          </w:tcPr>
          <w:p w:rsidR="009257FA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3 04 038</w:t>
            </w:r>
          </w:p>
        </w:tc>
        <w:tc>
          <w:tcPr>
            <w:tcW w:w="2464" w:type="dxa"/>
            <w:shd w:val="clear" w:color="auto" w:fill="auto"/>
          </w:tcPr>
          <w:p w:rsidR="009257FA" w:rsidRPr="00212E0C" w:rsidRDefault="00126622" w:rsidP="00212E0C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1 0</w:t>
            </w:r>
            <w:r w:rsidRPr="00212E0C">
              <w:rPr>
                <w:rFonts w:ascii="Verdana" w:hAnsi="Verdana"/>
                <w:sz w:val="20"/>
                <w:szCs w:val="20"/>
              </w:rPr>
              <w:t>4</w:t>
            </w:r>
            <w:r w:rsidRPr="00212E0C">
              <w:rPr>
                <w:rFonts w:ascii="Verdana" w:hAnsi="Verdana"/>
                <w:sz w:val="20"/>
                <w:szCs w:val="20"/>
              </w:rPr>
              <w:t xml:space="preserve"> 000</w:t>
            </w:r>
          </w:p>
        </w:tc>
        <w:tc>
          <w:tcPr>
            <w:tcW w:w="2464" w:type="dxa"/>
            <w:shd w:val="clear" w:color="auto" w:fill="auto"/>
          </w:tcPr>
          <w:p w:rsidR="009257FA" w:rsidRPr="00212E0C" w:rsidRDefault="00126622" w:rsidP="00212E0C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 xml:space="preserve">Delayed replication of </w:t>
            </w:r>
            <w:r w:rsidRPr="00212E0C">
              <w:rPr>
                <w:rFonts w:ascii="Verdana" w:hAnsi="Verdana"/>
                <w:sz w:val="20"/>
                <w:szCs w:val="20"/>
              </w:rPr>
              <w:t>4</w:t>
            </w:r>
            <w:r w:rsidRPr="00212E0C">
              <w:rPr>
                <w:rFonts w:ascii="Verdana" w:hAnsi="Verdana"/>
                <w:sz w:val="20"/>
                <w:szCs w:val="20"/>
              </w:rPr>
              <w:t xml:space="preserve"> descriptor</w:t>
            </w:r>
            <w:r w:rsidRPr="00212E0C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464" w:type="dxa"/>
            <w:shd w:val="clear" w:color="auto" w:fill="auto"/>
          </w:tcPr>
          <w:p w:rsidR="009257FA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2B" w:rsidTr="00212E0C">
        <w:tc>
          <w:tcPr>
            <w:tcW w:w="2463" w:type="dxa"/>
            <w:shd w:val="clear" w:color="auto" w:fill="auto"/>
          </w:tcPr>
          <w:p w:rsidR="009257FA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9257FA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0 31 000</w:t>
            </w:r>
          </w:p>
        </w:tc>
        <w:tc>
          <w:tcPr>
            <w:tcW w:w="2464" w:type="dxa"/>
            <w:shd w:val="clear" w:color="auto" w:fill="auto"/>
          </w:tcPr>
          <w:p w:rsidR="009257FA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Delayed descriptor replication factor</w:t>
            </w:r>
          </w:p>
        </w:tc>
        <w:tc>
          <w:tcPr>
            <w:tcW w:w="2464" w:type="dxa"/>
            <w:shd w:val="clear" w:color="auto" w:fill="auto"/>
          </w:tcPr>
          <w:p w:rsidR="009257FA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2B" w:rsidTr="00212E0C">
        <w:tc>
          <w:tcPr>
            <w:tcW w:w="2463" w:type="dxa"/>
            <w:shd w:val="clear" w:color="auto" w:fill="auto"/>
          </w:tcPr>
          <w:p w:rsidR="009257FA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9257FA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0 01 007</w:t>
            </w:r>
          </w:p>
        </w:tc>
        <w:tc>
          <w:tcPr>
            <w:tcW w:w="2464" w:type="dxa"/>
            <w:shd w:val="clear" w:color="auto" w:fill="auto"/>
          </w:tcPr>
          <w:p w:rsidR="009257FA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Satellite identifier</w:t>
            </w:r>
          </w:p>
        </w:tc>
        <w:tc>
          <w:tcPr>
            <w:tcW w:w="2464" w:type="dxa"/>
            <w:shd w:val="clear" w:color="auto" w:fill="auto"/>
          </w:tcPr>
          <w:p w:rsidR="009257FA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2B" w:rsidTr="00212E0C">
        <w:tc>
          <w:tcPr>
            <w:tcW w:w="2463" w:type="dxa"/>
            <w:shd w:val="clear" w:color="auto" w:fill="auto"/>
          </w:tcPr>
          <w:p w:rsidR="0028225F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28225F" w:rsidRPr="00212E0C" w:rsidRDefault="00126622" w:rsidP="007C7ED7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 xml:space="preserve">0 02 </w:t>
            </w:r>
            <w:r w:rsidRPr="00212E0C">
              <w:rPr>
                <w:rFonts w:ascii="Verdana" w:hAnsi="Verdana"/>
                <w:sz w:val="20"/>
                <w:szCs w:val="20"/>
              </w:rPr>
              <w:t>019</w:t>
            </w:r>
          </w:p>
        </w:tc>
        <w:tc>
          <w:tcPr>
            <w:tcW w:w="2464" w:type="dxa"/>
            <w:shd w:val="clear" w:color="auto" w:fill="auto"/>
          </w:tcPr>
          <w:p w:rsidR="0028225F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Satellite instruments</w:t>
            </w:r>
          </w:p>
        </w:tc>
        <w:tc>
          <w:tcPr>
            <w:tcW w:w="2464" w:type="dxa"/>
            <w:shd w:val="clear" w:color="auto" w:fill="auto"/>
          </w:tcPr>
          <w:p w:rsidR="0028225F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2B" w:rsidTr="00212E0C">
        <w:tc>
          <w:tcPr>
            <w:tcW w:w="2463" w:type="dxa"/>
            <w:shd w:val="clear" w:color="auto" w:fill="auto"/>
          </w:tcPr>
          <w:p w:rsidR="00D23C31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D23C31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3 01 011</w:t>
            </w:r>
          </w:p>
        </w:tc>
        <w:tc>
          <w:tcPr>
            <w:tcW w:w="2464" w:type="dxa"/>
            <w:shd w:val="clear" w:color="auto" w:fill="auto"/>
          </w:tcPr>
          <w:p w:rsidR="00D23C31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Year, month, day</w:t>
            </w:r>
          </w:p>
        </w:tc>
        <w:tc>
          <w:tcPr>
            <w:tcW w:w="2464" w:type="dxa"/>
            <w:shd w:val="clear" w:color="auto" w:fill="auto"/>
          </w:tcPr>
          <w:p w:rsidR="00D23C31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2B" w:rsidTr="00212E0C">
        <w:tc>
          <w:tcPr>
            <w:tcW w:w="2463" w:type="dxa"/>
            <w:shd w:val="clear" w:color="auto" w:fill="auto"/>
          </w:tcPr>
          <w:p w:rsidR="00D23C31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D23C31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3 01 01</w:t>
            </w:r>
            <w:r w:rsidRPr="00212E0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D23C31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Hour, minute</w:t>
            </w:r>
            <w:r w:rsidRPr="00212E0C">
              <w:rPr>
                <w:rFonts w:ascii="Verdana" w:hAnsi="Verdana"/>
                <w:sz w:val="20"/>
                <w:szCs w:val="20"/>
              </w:rPr>
              <w:t>, second</w:t>
            </w:r>
          </w:p>
        </w:tc>
        <w:tc>
          <w:tcPr>
            <w:tcW w:w="2464" w:type="dxa"/>
            <w:shd w:val="clear" w:color="auto" w:fill="auto"/>
          </w:tcPr>
          <w:p w:rsidR="00D23C31" w:rsidRPr="00212E0C" w:rsidRDefault="0012662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1173" w:rsidRPr="00F35A04" w:rsidRDefault="00126622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2B"/>
    <w:rsid w:val="00126622"/>
    <w:rsid w:val="0036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96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9668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96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966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DFC5-1B06-4A37-95DA-F356C500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2017-07-20T13:19:00Z</dcterms:created>
  <dcterms:modified xsi:type="dcterms:W3CDTF">2017-07-20T13:19:00Z</dcterms:modified>
</cp:coreProperties>
</file>