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E021F4">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E021F4">
              <w:rPr>
                <w:rFonts w:ascii="Verdana" w:hAnsi="Verdana"/>
                <w:sz w:val="20"/>
                <w:szCs w:val="20"/>
              </w:rPr>
              <w:t>11.1</w:t>
            </w:r>
          </w:p>
          <w:p w:rsidR="005554A5" w:rsidRPr="00F35A04" w:rsidRDefault="005554A5" w:rsidP="00E021F4">
            <w:pPr>
              <w:rPr>
                <w:rFonts w:ascii="Verdana" w:hAnsi="Verdana"/>
                <w:sz w:val="20"/>
                <w:szCs w:val="20"/>
              </w:rPr>
            </w:pPr>
            <w:r w:rsidRPr="00F35A04">
              <w:rPr>
                <w:rFonts w:ascii="Verdana" w:hAnsi="Verdana"/>
                <w:sz w:val="20"/>
                <w:szCs w:val="20"/>
              </w:rPr>
              <w:t>(</w:t>
            </w:r>
            <w:r w:rsidR="00E021F4">
              <w:rPr>
                <w:rFonts w:ascii="Verdana" w:hAnsi="Verdana"/>
                <w:sz w:val="20"/>
                <w:szCs w:val="20"/>
              </w:rPr>
              <w:t>19.VII</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E021F4">
            <w:pPr>
              <w:rPr>
                <w:rFonts w:ascii="Verdana" w:hAnsi="Verdana"/>
                <w:sz w:val="20"/>
                <w:szCs w:val="20"/>
              </w:rPr>
            </w:pPr>
            <w:r w:rsidRPr="00F35A04">
              <w:rPr>
                <w:rFonts w:ascii="Verdana" w:hAnsi="Verdana"/>
                <w:sz w:val="20"/>
                <w:szCs w:val="20"/>
              </w:rPr>
              <w:t xml:space="preserve">ITEM </w:t>
            </w:r>
            <w:r w:rsidR="00E021F4">
              <w:rPr>
                <w:rFonts w:ascii="Verdana" w:hAnsi="Verdana"/>
                <w:sz w:val="20"/>
                <w:szCs w:val="20"/>
              </w:rPr>
              <w:t>11.1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E021F4" w:rsidP="009F245F">
      <w:pPr>
        <w:jc w:val="center"/>
        <w:rPr>
          <w:rFonts w:ascii="Verdana" w:hAnsi="Verdana"/>
          <w:sz w:val="20"/>
          <w:szCs w:val="20"/>
        </w:rPr>
      </w:pPr>
      <w:r w:rsidRPr="00E021F4">
        <w:rPr>
          <w:rFonts w:ascii="Verdana" w:hAnsi="Verdana"/>
          <w:sz w:val="20"/>
          <w:szCs w:val="20"/>
        </w:rPr>
        <w:t>Report from CBS-MG Task Team on Upper Air BUFR (TT-UABUFR)</w:t>
      </w:r>
    </w:p>
    <w:p w:rsidR="009F245F" w:rsidRPr="00F35A04" w:rsidRDefault="009F245F" w:rsidP="009F245F">
      <w:pPr>
        <w:spacing w:before="240"/>
        <w:ind w:left="1208" w:right="1389"/>
        <w:jc w:val="center"/>
        <w:rPr>
          <w:rFonts w:ascii="Verdana" w:hAnsi="Verdana" w:cs="Arial"/>
          <w:b/>
          <w:sz w:val="20"/>
          <w:szCs w:val="20"/>
        </w:rPr>
      </w:pPr>
    </w:p>
    <w:p w:rsidR="009F245F" w:rsidRPr="00F35A04" w:rsidRDefault="009F245F" w:rsidP="00E021F4">
      <w:pPr>
        <w:spacing w:before="240"/>
        <w:jc w:val="center"/>
        <w:rPr>
          <w:rFonts w:ascii="Verdana" w:hAnsi="Verdana"/>
          <w:i/>
          <w:sz w:val="20"/>
          <w:szCs w:val="20"/>
        </w:rPr>
      </w:pPr>
      <w:r w:rsidRPr="00F35A04">
        <w:rPr>
          <w:rFonts w:ascii="Verdana" w:hAnsi="Verdana"/>
          <w:i/>
          <w:sz w:val="20"/>
          <w:szCs w:val="20"/>
        </w:rPr>
        <w:t xml:space="preserve">Submitted by </w:t>
      </w:r>
      <w:r w:rsidR="00E021F4">
        <w:rPr>
          <w:rFonts w:ascii="Verdana" w:hAnsi="Verdana"/>
          <w:i/>
          <w:sz w:val="20"/>
          <w:szCs w:val="20"/>
        </w:rPr>
        <w:t>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11423" w:rsidRPr="00F35A04" w:rsidRDefault="00E021F4" w:rsidP="00911423">
      <w:pPr>
        <w:pStyle w:val="BodyText"/>
        <w:ind w:left="770" w:right="839"/>
        <w:rPr>
          <w:rFonts w:ascii="Verdana" w:hAnsi="Verdana"/>
          <w:sz w:val="20"/>
          <w:szCs w:val="20"/>
        </w:rPr>
      </w:pPr>
      <w:r>
        <w:rPr>
          <w:rFonts w:ascii="Verdana" w:hAnsi="Verdana"/>
          <w:sz w:val="20"/>
          <w:szCs w:val="20"/>
        </w:rPr>
        <w:t>Briefing on recommendations by the CBS Management Group Task Team on Upper Air BUFR</w:t>
      </w:r>
      <w:r w:rsidR="00911423">
        <w:rPr>
          <w:rFonts w:ascii="Verdana" w:hAnsi="Verdana"/>
          <w:sz w:val="20"/>
          <w:szCs w:val="20"/>
        </w:rPr>
        <w:t>.</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D51173" w:rsidRDefault="00D51173">
      <w:pPr>
        <w:jc w:val="both"/>
        <w:rPr>
          <w:rFonts w:ascii="Verdana" w:hAnsi="Verdana"/>
          <w:b/>
          <w:sz w:val="20"/>
          <w:szCs w:val="20"/>
        </w:rPr>
      </w:pPr>
    </w:p>
    <w:p w:rsidR="00E021F4" w:rsidRDefault="00903696" w:rsidP="00903696">
      <w:pPr>
        <w:jc w:val="both"/>
        <w:rPr>
          <w:rFonts w:ascii="Verdana" w:hAnsi="Verdana"/>
          <w:bCs/>
          <w:sz w:val="20"/>
          <w:szCs w:val="20"/>
        </w:rPr>
      </w:pPr>
      <w:r>
        <w:rPr>
          <w:rFonts w:ascii="Verdana" w:hAnsi="Verdana"/>
          <w:bCs/>
          <w:sz w:val="20"/>
          <w:szCs w:val="20"/>
        </w:rPr>
        <w:t>1.</w:t>
      </w:r>
      <w:r>
        <w:rPr>
          <w:rFonts w:ascii="Verdana" w:hAnsi="Verdana"/>
          <w:bCs/>
          <w:sz w:val="20"/>
          <w:szCs w:val="20"/>
        </w:rPr>
        <w:tab/>
        <w:t xml:space="preserve">In June 2015 </w:t>
      </w:r>
      <w:r w:rsidRPr="00903696">
        <w:rPr>
          <w:rFonts w:ascii="Verdana" w:hAnsi="Verdana"/>
          <w:bCs/>
          <w:sz w:val="20"/>
          <w:szCs w:val="20"/>
        </w:rPr>
        <w:t xml:space="preserve">CBS Management Group </w:t>
      </w:r>
      <w:r>
        <w:rPr>
          <w:rFonts w:ascii="Verdana" w:hAnsi="Verdana"/>
          <w:bCs/>
          <w:sz w:val="20"/>
          <w:szCs w:val="20"/>
        </w:rPr>
        <w:t>formed the Task Team on Upper Air BUFR to address problems experienced by NWP centres in processing upper air BUFR reports. There were two main types of problem.</w:t>
      </w:r>
    </w:p>
    <w:p w:rsidR="00903696" w:rsidRDefault="00903696" w:rsidP="00903696">
      <w:pPr>
        <w:pStyle w:val="ListParagraph"/>
        <w:numPr>
          <w:ilvl w:val="0"/>
          <w:numId w:val="2"/>
        </w:numPr>
        <w:jc w:val="both"/>
        <w:rPr>
          <w:rFonts w:ascii="Verdana" w:hAnsi="Verdana"/>
          <w:bCs/>
          <w:sz w:val="20"/>
          <w:szCs w:val="20"/>
          <w:lang w:val="en-US"/>
        </w:rPr>
      </w:pPr>
      <w:r>
        <w:rPr>
          <w:rFonts w:ascii="Verdana" w:hAnsi="Verdana"/>
          <w:bCs/>
          <w:sz w:val="20"/>
          <w:szCs w:val="20"/>
          <w:lang w:val="en-US"/>
        </w:rPr>
        <w:t>Some countries were replicating in BUFR the TAC practice of sending upper air reports in four parts, none of which represented the full ascent. NWP centres were unable to combine the BUFR reports to form consistent full-atmosphere ascents.</w:t>
      </w:r>
    </w:p>
    <w:p w:rsidR="00903696" w:rsidRDefault="00903696" w:rsidP="00903696">
      <w:pPr>
        <w:pStyle w:val="ListParagraph"/>
        <w:numPr>
          <w:ilvl w:val="0"/>
          <w:numId w:val="2"/>
        </w:numPr>
        <w:jc w:val="both"/>
        <w:rPr>
          <w:rFonts w:ascii="Verdana" w:hAnsi="Verdana"/>
          <w:bCs/>
          <w:sz w:val="20"/>
          <w:szCs w:val="20"/>
          <w:lang w:val="en-US"/>
        </w:rPr>
      </w:pPr>
      <w:r>
        <w:rPr>
          <w:rFonts w:ascii="Verdana" w:hAnsi="Verdana"/>
          <w:bCs/>
          <w:sz w:val="20"/>
          <w:szCs w:val="20"/>
          <w:lang w:val="en-US"/>
        </w:rPr>
        <w:t xml:space="preserve">Reports in BUFR frequently contained errors – in the representation itself, in the data values, and in the metadata when compared with Volume A. </w:t>
      </w:r>
    </w:p>
    <w:p w:rsidR="00911423" w:rsidRDefault="00911423" w:rsidP="00903696">
      <w:pPr>
        <w:jc w:val="both"/>
        <w:rPr>
          <w:rFonts w:ascii="Verdana" w:hAnsi="Verdana"/>
          <w:bCs/>
          <w:sz w:val="20"/>
          <w:szCs w:val="20"/>
          <w:lang w:val="en-US"/>
        </w:rPr>
      </w:pPr>
    </w:p>
    <w:p w:rsidR="00903696" w:rsidRDefault="00903696" w:rsidP="00903696">
      <w:pPr>
        <w:jc w:val="both"/>
        <w:rPr>
          <w:rFonts w:ascii="Verdana" w:hAnsi="Verdana"/>
          <w:bCs/>
          <w:sz w:val="20"/>
          <w:szCs w:val="20"/>
          <w:lang w:val="en-US"/>
        </w:rPr>
      </w:pPr>
      <w:r>
        <w:rPr>
          <w:rFonts w:ascii="Verdana" w:hAnsi="Verdana"/>
          <w:bCs/>
          <w:sz w:val="20"/>
          <w:szCs w:val="20"/>
          <w:lang w:val="en-US"/>
        </w:rPr>
        <w:t>2.</w:t>
      </w:r>
      <w:r>
        <w:rPr>
          <w:rFonts w:ascii="Verdana" w:hAnsi="Verdana"/>
          <w:bCs/>
          <w:sz w:val="20"/>
          <w:szCs w:val="20"/>
          <w:lang w:val="en-US"/>
        </w:rPr>
        <w:tab/>
        <w:t xml:space="preserve">By CBS-16, the task team had recommended that upper air reports in BUFR should comply to the regulations B/C 20 and B/C 25, and </w:t>
      </w:r>
      <w:r w:rsidR="00911423">
        <w:rPr>
          <w:rFonts w:ascii="Verdana" w:hAnsi="Verdana"/>
          <w:bCs/>
          <w:sz w:val="20"/>
          <w:szCs w:val="20"/>
          <w:lang w:val="en-US"/>
        </w:rPr>
        <w:t xml:space="preserve">that </w:t>
      </w:r>
      <w:r>
        <w:rPr>
          <w:rFonts w:ascii="Verdana" w:hAnsi="Verdana"/>
          <w:bCs/>
          <w:sz w:val="20"/>
          <w:szCs w:val="20"/>
          <w:lang w:val="en-US"/>
        </w:rPr>
        <w:t xml:space="preserve">Members who could not </w:t>
      </w:r>
      <w:r w:rsidR="00911423">
        <w:rPr>
          <w:rFonts w:ascii="Verdana" w:hAnsi="Verdana"/>
          <w:bCs/>
          <w:sz w:val="20"/>
          <w:szCs w:val="20"/>
          <w:lang w:val="en-US"/>
        </w:rPr>
        <w:t>create such reports should continue to report only in TAC. This was recorded as Decision 5 (CBS-16).</w:t>
      </w:r>
    </w:p>
    <w:p w:rsidR="00911423" w:rsidRDefault="00911423" w:rsidP="00903696">
      <w:pPr>
        <w:jc w:val="both"/>
        <w:rPr>
          <w:rFonts w:ascii="Verdana" w:hAnsi="Verdana"/>
          <w:bCs/>
          <w:sz w:val="20"/>
          <w:szCs w:val="20"/>
          <w:lang w:val="en-US"/>
        </w:rPr>
      </w:pPr>
    </w:p>
    <w:p w:rsidR="00911423" w:rsidRDefault="00911423" w:rsidP="00911423">
      <w:pPr>
        <w:jc w:val="both"/>
        <w:rPr>
          <w:rFonts w:ascii="Verdana" w:hAnsi="Verdana"/>
          <w:bCs/>
          <w:sz w:val="20"/>
          <w:szCs w:val="20"/>
          <w:lang w:val="en-US"/>
        </w:rPr>
      </w:pPr>
      <w:r>
        <w:rPr>
          <w:rFonts w:ascii="Verdana" w:hAnsi="Verdana"/>
          <w:bCs/>
          <w:sz w:val="20"/>
          <w:szCs w:val="20"/>
          <w:lang w:val="en-US"/>
        </w:rPr>
        <w:t>3.</w:t>
      </w:r>
      <w:r>
        <w:rPr>
          <w:rFonts w:ascii="Verdana" w:hAnsi="Verdana"/>
          <w:bCs/>
          <w:sz w:val="20"/>
          <w:szCs w:val="20"/>
          <w:lang w:val="en-US"/>
        </w:rPr>
        <w:tab/>
        <w:t>In July 2017, the Task Team submitted to the Secretariat a draft report on how systematic errors in upper air BUFR reports could be addressed, asking for advice on how the proposal could be built into the WMO systems. That proposal was similar to the procedures envisaged by the WIGOS Data Quality Management System (WDQMS), but needed to be implemented more rapidly.</w:t>
      </w:r>
    </w:p>
    <w:p w:rsidR="00911423" w:rsidRDefault="00911423" w:rsidP="00911423">
      <w:pPr>
        <w:jc w:val="both"/>
        <w:rPr>
          <w:rFonts w:ascii="Verdana" w:hAnsi="Verdana"/>
          <w:bCs/>
          <w:sz w:val="20"/>
          <w:szCs w:val="20"/>
          <w:lang w:val="en-US"/>
        </w:rPr>
      </w:pPr>
    </w:p>
    <w:p w:rsidR="00911423" w:rsidRDefault="00911423" w:rsidP="00911423">
      <w:pPr>
        <w:jc w:val="both"/>
        <w:rPr>
          <w:rFonts w:ascii="Verdana" w:hAnsi="Verdana"/>
          <w:bCs/>
          <w:sz w:val="20"/>
          <w:szCs w:val="20"/>
          <w:lang w:val="en-US"/>
        </w:rPr>
      </w:pPr>
      <w:r>
        <w:rPr>
          <w:rFonts w:ascii="Verdana" w:hAnsi="Verdana"/>
          <w:bCs/>
          <w:sz w:val="20"/>
          <w:szCs w:val="20"/>
          <w:lang w:val="en-US"/>
        </w:rPr>
        <w:lastRenderedPageBreak/>
        <w:t>4.</w:t>
      </w:r>
      <w:r>
        <w:rPr>
          <w:rFonts w:ascii="Verdana" w:hAnsi="Verdana"/>
          <w:bCs/>
          <w:sz w:val="20"/>
          <w:szCs w:val="20"/>
          <w:lang w:val="en-US"/>
        </w:rPr>
        <w:tab/>
        <w:t xml:space="preserve">A telephone conference on 7 July 2017 between representatives of the Task Team, chairs of relevant Expert Teams and the Secretariat concluded that the proposal of the Task Team should be treated as a pilot project for the WDQMS. The WIGOS Regional Centres that will form part of the WDQMS have not yet been created, so the teleconference proposed that in the pilot, the GISCs play the role of WIGOS Regional Centres in working to improve the quality of reporting with the countries supplying erroneous reports. </w:t>
      </w:r>
    </w:p>
    <w:p w:rsidR="00911423" w:rsidRDefault="00911423" w:rsidP="00911423">
      <w:pPr>
        <w:jc w:val="both"/>
        <w:rPr>
          <w:rFonts w:ascii="Verdana" w:hAnsi="Verdana"/>
          <w:bCs/>
          <w:sz w:val="20"/>
          <w:szCs w:val="20"/>
          <w:lang w:val="en-US"/>
        </w:rPr>
      </w:pPr>
    </w:p>
    <w:p w:rsidR="00911423" w:rsidRDefault="00911423" w:rsidP="00304F0F">
      <w:pPr>
        <w:jc w:val="both"/>
        <w:rPr>
          <w:rFonts w:ascii="Verdana" w:hAnsi="Verdana"/>
          <w:bCs/>
          <w:sz w:val="20"/>
          <w:szCs w:val="20"/>
          <w:lang w:val="en-US"/>
        </w:rPr>
      </w:pPr>
      <w:r>
        <w:rPr>
          <w:rFonts w:ascii="Verdana" w:hAnsi="Verdana"/>
          <w:bCs/>
          <w:sz w:val="20"/>
          <w:szCs w:val="20"/>
          <w:lang w:val="en-US"/>
        </w:rPr>
        <w:t>5.</w:t>
      </w:r>
      <w:r>
        <w:rPr>
          <w:rFonts w:ascii="Verdana" w:hAnsi="Verdana"/>
          <w:bCs/>
          <w:sz w:val="20"/>
          <w:szCs w:val="20"/>
          <w:lang w:val="en-US"/>
        </w:rPr>
        <w:tab/>
        <w:t xml:space="preserve">The next step in </w:t>
      </w:r>
      <w:r w:rsidR="00304F0F">
        <w:rPr>
          <w:rFonts w:ascii="Verdana" w:hAnsi="Verdana"/>
          <w:bCs/>
          <w:sz w:val="20"/>
          <w:szCs w:val="20"/>
          <w:lang w:val="en-US"/>
        </w:rPr>
        <w:t>implementing the pilot project is to obtain agreement from GISCs that they will perform the coordinating role until the WIGOS Regional Centres become operational.</w:t>
      </w:r>
    </w:p>
    <w:p w:rsidR="00911423" w:rsidRDefault="00911423" w:rsidP="00911423">
      <w:pPr>
        <w:jc w:val="both"/>
        <w:rPr>
          <w:rFonts w:ascii="Verdana" w:hAnsi="Verdana"/>
          <w:bCs/>
          <w:sz w:val="20"/>
          <w:szCs w:val="20"/>
          <w:lang w:val="en-US"/>
        </w:rPr>
      </w:pPr>
    </w:p>
    <w:p w:rsidR="00911423" w:rsidRDefault="00304F0F" w:rsidP="00911423">
      <w:pPr>
        <w:jc w:val="both"/>
        <w:rPr>
          <w:rFonts w:ascii="Verdana" w:hAnsi="Verdana"/>
          <w:bCs/>
          <w:sz w:val="20"/>
          <w:szCs w:val="20"/>
          <w:lang w:val="en-US"/>
        </w:rPr>
      </w:pPr>
      <w:r>
        <w:rPr>
          <w:rFonts w:ascii="Verdana" w:hAnsi="Verdana"/>
          <w:bCs/>
          <w:sz w:val="20"/>
          <w:szCs w:val="20"/>
          <w:lang w:val="en-US"/>
        </w:rPr>
        <w:t>6</w:t>
      </w:r>
      <w:r w:rsidR="00911423">
        <w:rPr>
          <w:rFonts w:ascii="Verdana" w:hAnsi="Verdana"/>
          <w:bCs/>
          <w:sz w:val="20"/>
          <w:szCs w:val="20"/>
          <w:lang w:val="en-US"/>
        </w:rPr>
        <w:t xml:space="preserve">. </w:t>
      </w:r>
      <w:r w:rsidR="00911423">
        <w:rPr>
          <w:rFonts w:ascii="Verdana" w:hAnsi="Verdana"/>
          <w:bCs/>
          <w:sz w:val="20"/>
          <w:szCs w:val="20"/>
          <w:lang w:val="en-US"/>
        </w:rPr>
        <w:tab/>
        <w:t>An outline of the proposed procedure is in the Annex.</w:t>
      </w:r>
    </w:p>
    <w:p w:rsidR="00304F0F" w:rsidRDefault="00304F0F">
      <w:pPr>
        <w:rPr>
          <w:rFonts w:ascii="Verdana" w:hAnsi="Verdana"/>
          <w:bCs/>
          <w:sz w:val="20"/>
          <w:szCs w:val="20"/>
          <w:lang w:val="en-US"/>
        </w:rPr>
      </w:pPr>
      <w:r>
        <w:rPr>
          <w:rFonts w:ascii="Verdana" w:hAnsi="Verdana"/>
          <w:bCs/>
          <w:sz w:val="20"/>
          <w:szCs w:val="20"/>
          <w:lang w:val="en-US"/>
        </w:rPr>
        <w:br w:type="page"/>
      </w:r>
    </w:p>
    <w:p w:rsidR="00304F0F" w:rsidRPr="00304F0F" w:rsidRDefault="00304F0F" w:rsidP="00304F0F">
      <w:pPr>
        <w:tabs>
          <w:tab w:val="center" w:pos="4680"/>
        </w:tabs>
        <w:ind w:left="440" w:right="399"/>
        <w:jc w:val="center"/>
        <w:rPr>
          <w:rFonts w:ascii="Verdana" w:hAnsi="Verdana"/>
          <w:b/>
          <w:sz w:val="20"/>
          <w:szCs w:val="20"/>
        </w:rPr>
      </w:pPr>
      <w:r w:rsidRPr="00304F0F">
        <w:rPr>
          <w:rFonts w:ascii="Verdana" w:hAnsi="Verdana"/>
          <w:b/>
          <w:sz w:val="20"/>
          <w:szCs w:val="20"/>
        </w:rPr>
        <w:lastRenderedPageBreak/>
        <w:t>Annex: Outline procedure for correcting errors in upper air BUFR reports</w:t>
      </w:r>
    </w:p>
    <w:p w:rsidR="00304F0F" w:rsidRPr="00304F0F" w:rsidRDefault="00304F0F" w:rsidP="00911423">
      <w:pPr>
        <w:jc w:val="both"/>
        <w:rPr>
          <w:rFonts w:ascii="Verdana" w:hAnsi="Verdana"/>
          <w:b/>
          <w:sz w:val="20"/>
          <w:szCs w:val="20"/>
          <w:lang w:val="en-US"/>
        </w:rPr>
      </w:pPr>
      <w:r w:rsidRPr="00304F0F">
        <w:rPr>
          <w:rFonts w:ascii="Verdana" w:hAnsi="Verdana"/>
          <w:b/>
          <w:sz w:val="20"/>
          <w:szCs w:val="20"/>
          <w:lang w:val="en-US"/>
        </w:rPr>
        <w:t>Types of error</w:t>
      </w:r>
    </w:p>
    <w:p w:rsidR="00304F0F" w:rsidRDefault="00304F0F" w:rsidP="00911423">
      <w:pPr>
        <w:jc w:val="both"/>
        <w:rPr>
          <w:rFonts w:ascii="Verdana" w:hAnsi="Verdana"/>
          <w:bCs/>
          <w:sz w:val="20"/>
          <w:szCs w:val="20"/>
          <w:lang w:val="en-US"/>
        </w:rPr>
      </w:pPr>
      <w:r>
        <w:rPr>
          <w:rFonts w:ascii="Verdana" w:hAnsi="Verdana"/>
          <w:bCs/>
          <w:sz w:val="20"/>
          <w:szCs w:val="20"/>
          <w:lang w:val="en-US"/>
        </w:rPr>
        <w:t>NWP centres have investigated errors in upper air reports issued in BUFR and have proposed a classification of the type of error as in Table 1.</w:t>
      </w:r>
    </w:p>
    <w:p w:rsidR="00304F0F" w:rsidRDefault="00304F0F" w:rsidP="00911423">
      <w:pPr>
        <w:jc w:val="both"/>
        <w:rPr>
          <w:rFonts w:ascii="Verdana" w:hAnsi="Verdana"/>
          <w:bCs/>
          <w:sz w:val="20"/>
          <w:szCs w:val="20"/>
          <w:lang w:val="en-US"/>
        </w:rPr>
      </w:pPr>
    </w:p>
    <w:p w:rsidR="00304F0F" w:rsidRDefault="00304F0F" w:rsidP="00304F0F">
      <w:pPr>
        <w:pStyle w:val="Caption"/>
        <w:keepNext/>
      </w:pPr>
      <w:r>
        <w:t xml:space="preserve">Table </w:t>
      </w:r>
      <w:r w:rsidR="007E1489">
        <w:fldChar w:fldCharType="begin"/>
      </w:r>
      <w:r w:rsidR="007E1489">
        <w:instrText xml:space="preserve"> SEQ Table \* ARABIC </w:instrText>
      </w:r>
      <w:r w:rsidR="007E1489">
        <w:fldChar w:fldCharType="separate"/>
      </w:r>
      <w:r>
        <w:rPr>
          <w:noProof/>
        </w:rPr>
        <w:t>1</w:t>
      </w:r>
      <w:r w:rsidR="007E1489">
        <w:rPr>
          <w:noProof/>
        </w:rPr>
        <w:fldChar w:fldCharType="end"/>
      </w:r>
      <w:r>
        <w:t>. Classification of types of errors in upper air BUFR reports</w:t>
      </w:r>
    </w:p>
    <w:tbl>
      <w:tblPr>
        <w:tblStyle w:val="TableGrid"/>
        <w:tblW w:w="0" w:type="auto"/>
        <w:tblLook w:val="04A0" w:firstRow="1" w:lastRow="0" w:firstColumn="1" w:lastColumn="0" w:noHBand="0" w:noVBand="1"/>
      </w:tblPr>
      <w:tblGrid>
        <w:gridCol w:w="2518"/>
        <w:gridCol w:w="6694"/>
      </w:tblGrid>
      <w:tr w:rsidR="00304F0F" w:rsidRPr="00F133B5" w:rsidTr="009009C4">
        <w:tc>
          <w:tcPr>
            <w:tcW w:w="2518" w:type="dxa"/>
          </w:tcPr>
          <w:p w:rsidR="00304F0F" w:rsidRPr="00F133B5" w:rsidRDefault="00304F0F" w:rsidP="009009C4">
            <w:pPr>
              <w:spacing w:after="200" w:line="276" w:lineRule="auto"/>
              <w:rPr>
                <w:b/>
                <w:lang w:val="en-US"/>
              </w:rPr>
            </w:pPr>
            <w:r w:rsidRPr="00F133B5">
              <w:rPr>
                <w:b/>
                <w:lang w:val="en-US"/>
              </w:rPr>
              <w:t>Category of issue</w:t>
            </w:r>
          </w:p>
        </w:tc>
        <w:tc>
          <w:tcPr>
            <w:tcW w:w="6694" w:type="dxa"/>
          </w:tcPr>
          <w:p w:rsidR="00304F0F" w:rsidRPr="00F133B5" w:rsidRDefault="00304F0F" w:rsidP="009009C4">
            <w:pPr>
              <w:spacing w:after="200" w:line="276" w:lineRule="auto"/>
              <w:rPr>
                <w:b/>
                <w:lang w:val="en-US"/>
              </w:rPr>
            </w:pPr>
            <w:r w:rsidRPr="00F133B5">
              <w:rPr>
                <w:b/>
                <w:lang w:val="en-US"/>
              </w:rPr>
              <w:t>Monitoring tasks – aspects to be checked</w:t>
            </w:r>
          </w:p>
        </w:tc>
      </w:tr>
      <w:tr w:rsidR="00304F0F" w:rsidTr="009009C4">
        <w:tc>
          <w:tcPr>
            <w:tcW w:w="2518" w:type="dxa"/>
          </w:tcPr>
          <w:p w:rsidR="00304F0F" w:rsidRDefault="00304F0F" w:rsidP="009009C4">
            <w:pPr>
              <w:rPr>
                <w:lang w:val="en-US"/>
              </w:rPr>
            </w:pPr>
            <w:r>
              <w:rPr>
                <w:lang w:val="en-US"/>
              </w:rPr>
              <w:t>Missing</w:t>
            </w:r>
          </w:p>
        </w:tc>
        <w:tc>
          <w:tcPr>
            <w:tcW w:w="6694" w:type="dxa"/>
          </w:tcPr>
          <w:p w:rsidR="00304F0F" w:rsidRDefault="00304F0F" w:rsidP="009009C4">
            <w:pPr>
              <w:rPr>
                <w:lang w:val="en-US"/>
              </w:rPr>
            </w:pPr>
            <w:r>
              <w:rPr>
                <w:lang w:val="en-US"/>
              </w:rPr>
              <w:t>Comparison against bulletins received the previous month,</w:t>
            </w:r>
          </w:p>
          <w:p w:rsidR="00304F0F" w:rsidRDefault="00304F0F" w:rsidP="009009C4">
            <w:pPr>
              <w:rPr>
                <w:lang w:val="en-US"/>
              </w:rPr>
            </w:pPr>
            <w:r>
              <w:rPr>
                <w:lang w:val="en-US"/>
              </w:rPr>
              <w:t>Comparison against TAC reports whilst they are still sent</w:t>
            </w:r>
          </w:p>
        </w:tc>
      </w:tr>
      <w:tr w:rsidR="00304F0F" w:rsidTr="009009C4">
        <w:tc>
          <w:tcPr>
            <w:tcW w:w="2518" w:type="dxa"/>
          </w:tcPr>
          <w:p w:rsidR="00304F0F" w:rsidRDefault="00304F0F" w:rsidP="009009C4">
            <w:pPr>
              <w:rPr>
                <w:lang w:val="en-US"/>
              </w:rPr>
            </w:pPr>
            <w:r>
              <w:rPr>
                <w:lang w:val="en-US"/>
              </w:rPr>
              <w:t>Meta</w:t>
            </w:r>
          </w:p>
        </w:tc>
        <w:tc>
          <w:tcPr>
            <w:tcW w:w="6694" w:type="dxa"/>
          </w:tcPr>
          <w:p w:rsidR="00304F0F" w:rsidRDefault="00304F0F" w:rsidP="00304F0F">
            <w:pPr>
              <w:rPr>
                <w:lang w:val="en-US"/>
              </w:rPr>
            </w:pPr>
            <w:r>
              <w:rPr>
                <w:lang w:val="en-US"/>
              </w:rPr>
              <w:t>Locations/elevations compared against local station lists and against OSCAR/Surface in future</w:t>
            </w:r>
          </w:p>
        </w:tc>
      </w:tr>
      <w:tr w:rsidR="00304F0F" w:rsidTr="009009C4">
        <w:tc>
          <w:tcPr>
            <w:tcW w:w="2518" w:type="dxa"/>
          </w:tcPr>
          <w:p w:rsidR="00304F0F" w:rsidRDefault="00304F0F" w:rsidP="009009C4">
            <w:pPr>
              <w:rPr>
                <w:lang w:val="en-US"/>
              </w:rPr>
            </w:pPr>
            <w:proofErr w:type="spellStart"/>
            <w:r>
              <w:rPr>
                <w:lang w:val="en-US"/>
              </w:rPr>
              <w:t>Obs</w:t>
            </w:r>
            <w:proofErr w:type="spellEnd"/>
          </w:p>
        </w:tc>
        <w:tc>
          <w:tcPr>
            <w:tcW w:w="6694" w:type="dxa"/>
          </w:tcPr>
          <w:p w:rsidR="00304F0F" w:rsidRDefault="00304F0F" w:rsidP="009009C4">
            <w:pPr>
              <w:rPr>
                <w:lang w:val="en-US"/>
              </w:rPr>
            </w:pPr>
            <w:r>
              <w:rPr>
                <w:lang w:val="en-US"/>
              </w:rPr>
              <w:t>Ongoing systematic errors in observations</w:t>
            </w:r>
          </w:p>
        </w:tc>
      </w:tr>
      <w:tr w:rsidR="00304F0F" w:rsidTr="009009C4">
        <w:tc>
          <w:tcPr>
            <w:tcW w:w="2518" w:type="dxa"/>
          </w:tcPr>
          <w:p w:rsidR="00304F0F" w:rsidRDefault="00304F0F" w:rsidP="009009C4">
            <w:pPr>
              <w:rPr>
                <w:lang w:val="en-US"/>
              </w:rPr>
            </w:pPr>
            <w:r>
              <w:rPr>
                <w:lang w:val="en-US"/>
              </w:rPr>
              <w:t>Coding</w:t>
            </w:r>
          </w:p>
        </w:tc>
        <w:tc>
          <w:tcPr>
            <w:tcW w:w="6694" w:type="dxa"/>
          </w:tcPr>
          <w:p w:rsidR="00304F0F" w:rsidRDefault="00304F0F" w:rsidP="009009C4">
            <w:pPr>
              <w:rPr>
                <w:lang w:val="en-US"/>
              </w:rPr>
            </w:pPr>
            <w:r>
              <w:rPr>
                <w:lang w:val="en-US"/>
              </w:rPr>
              <w:t>Ongoing systematic errors in how the data are placed in BUFR; bulletins rejected by well validated BUFR decoders</w:t>
            </w:r>
          </w:p>
        </w:tc>
      </w:tr>
      <w:tr w:rsidR="00304F0F" w:rsidTr="009009C4">
        <w:tc>
          <w:tcPr>
            <w:tcW w:w="2518" w:type="dxa"/>
          </w:tcPr>
          <w:p w:rsidR="00304F0F" w:rsidRDefault="00304F0F" w:rsidP="009009C4">
            <w:pPr>
              <w:rPr>
                <w:lang w:val="en-US"/>
              </w:rPr>
            </w:pPr>
            <w:r>
              <w:rPr>
                <w:lang w:val="en-US"/>
              </w:rPr>
              <w:t>Structure</w:t>
            </w:r>
          </w:p>
        </w:tc>
        <w:tc>
          <w:tcPr>
            <w:tcW w:w="6694" w:type="dxa"/>
          </w:tcPr>
          <w:p w:rsidR="00304F0F" w:rsidRDefault="00304F0F" w:rsidP="009009C4">
            <w:pPr>
              <w:rPr>
                <w:lang w:val="en-US"/>
              </w:rPr>
            </w:pPr>
            <w:r>
              <w:rPr>
                <w:lang w:val="en-US"/>
              </w:rPr>
              <w:t>Stations reporting reformatted BUFR, BUFR by parts, etc.</w:t>
            </w:r>
          </w:p>
        </w:tc>
      </w:tr>
    </w:tbl>
    <w:p w:rsidR="00304F0F" w:rsidRDefault="00304F0F" w:rsidP="00911423">
      <w:pPr>
        <w:jc w:val="both"/>
        <w:rPr>
          <w:rFonts w:ascii="Verdana" w:hAnsi="Verdana"/>
          <w:bCs/>
          <w:sz w:val="20"/>
          <w:szCs w:val="20"/>
          <w:lang w:val="en-US"/>
        </w:rPr>
      </w:pPr>
    </w:p>
    <w:p w:rsidR="00304F0F" w:rsidRDefault="00304F0F" w:rsidP="00911423">
      <w:pPr>
        <w:jc w:val="both"/>
        <w:rPr>
          <w:rFonts w:ascii="Verdana" w:hAnsi="Verdana"/>
          <w:bCs/>
          <w:sz w:val="20"/>
          <w:szCs w:val="20"/>
          <w:lang w:val="en-US"/>
        </w:rPr>
      </w:pPr>
      <w:r>
        <w:rPr>
          <w:rFonts w:ascii="Verdana" w:hAnsi="Verdana"/>
          <w:b/>
          <w:sz w:val="20"/>
          <w:szCs w:val="20"/>
          <w:lang w:val="en-US"/>
        </w:rPr>
        <w:t>Procedure to identify and correct errors</w:t>
      </w:r>
    </w:p>
    <w:p w:rsidR="00304F0F" w:rsidRDefault="00304F0F" w:rsidP="00911423">
      <w:pPr>
        <w:jc w:val="both"/>
        <w:rPr>
          <w:rFonts w:ascii="Verdana" w:hAnsi="Verdana"/>
          <w:bCs/>
          <w:sz w:val="20"/>
          <w:szCs w:val="20"/>
          <w:lang w:val="en-US"/>
        </w:rPr>
      </w:pPr>
      <w:r>
        <w:rPr>
          <w:rFonts w:ascii="Verdana" w:hAnsi="Verdana"/>
          <w:bCs/>
          <w:sz w:val="20"/>
          <w:szCs w:val="20"/>
          <w:lang w:val="en-US"/>
        </w:rPr>
        <w:t>Step 1: Monitor reports and identify errors.</w:t>
      </w:r>
    </w:p>
    <w:p w:rsidR="00304F0F" w:rsidRDefault="00304F0F" w:rsidP="00860DD3">
      <w:pPr>
        <w:jc w:val="both"/>
        <w:rPr>
          <w:rFonts w:ascii="Verdana" w:hAnsi="Verdana"/>
          <w:bCs/>
          <w:sz w:val="20"/>
          <w:szCs w:val="20"/>
          <w:lang w:val="en-US"/>
        </w:rPr>
      </w:pPr>
      <w:r>
        <w:rPr>
          <w:rFonts w:ascii="Verdana" w:hAnsi="Verdana"/>
          <w:bCs/>
          <w:sz w:val="20"/>
          <w:szCs w:val="20"/>
          <w:lang w:val="en-US"/>
        </w:rPr>
        <w:t xml:space="preserve">At least once a month, participating NWP centres will use their normal monitoring procedures to prepare a </w:t>
      </w:r>
      <w:r w:rsidR="00860DD3">
        <w:rPr>
          <w:rFonts w:ascii="Verdana" w:hAnsi="Verdana"/>
          <w:bCs/>
          <w:sz w:val="20"/>
          <w:szCs w:val="20"/>
          <w:lang w:val="en-US"/>
        </w:rPr>
        <w:t>list of those stations whose reports have persistent errors – an issues list.</w:t>
      </w:r>
    </w:p>
    <w:p w:rsidR="00304F0F" w:rsidRDefault="00304F0F" w:rsidP="00304F0F">
      <w:pPr>
        <w:jc w:val="both"/>
        <w:rPr>
          <w:rFonts w:ascii="Verdana" w:hAnsi="Verdana"/>
          <w:bCs/>
          <w:sz w:val="20"/>
          <w:szCs w:val="20"/>
          <w:lang w:val="en-US"/>
        </w:rPr>
      </w:pPr>
    </w:p>
    <w:p w:rsidR="00304F0F" w:rsidRDefault="00304F0F" w:rsidP="00860DD3">
      <w:pPr>
        <w:jc w:val="both"/>
        <w:rPr>
          <w:rFonts w:ascii="Verdana" w:hAnsi="Verdana"/>
          <w:bCs/>
          <w:sz w:val="20"/>
          <w:szCs w:val="20"/>
          <w:lang w:val="en-US"/>
        </w:rPr>
      </w:pPr>
      <w:r>
        <w:rPr>
          <w:rFonts w:ascii="Verdana" w:hAnsi="Verdana"/>
          <w:bCs/>
          <w:sz w:val="20"/>
          <w:szCs w:val="20"/>
          <w:lang w:val="en-US"/>
        </w:rPr>
        <w:t xml:space="preserve">Each NWP </w:t>
      </w:r>
      <w:proofErr w:type="spellStart"/>
      <w:r w:rsidR="00860DD3">
        <w:rPr>
          <w:rFonts w:ascii="Verdana" w:hAnsi="Verdana"/>
          <w:bCs/>
          <w:sz w:val="20"/>
          <w:szCs w:val="20"/>
          <w:lang w:val="en-US"/>
        </w:rPr>
        <w:t>centre</w:t>
      </w:r>
      <w:proofErr w:type="spellEnd"/>
      <w:r w:rsidR="00860DD3">
        <w:rPr>
          <w:rFonts w:ascii="Verdana" w:hAnsi="Verdana"/>
          <w:bCs/>
          <w:sz w:val="20"/>
          <w:szCs w:val="20"/>
          <w:lang w:val="en-US"/>
        </w:rPr>
        <w:t xml:space="preserve"> will</w:t>
      </w:r>
      <w:r>
        <w:rPr>
          <w:rFonts w:ascii="Verdana" w:hAnsi="Verdana"/>
          <w:bCs/>
          <w:sz w:val="20"/>
          <w:szCs w:val="20"/>
          <w:lang w:val="en-US"/>
        </w:rPr>
        <w:t xml:space="preserve"> </w:t>
      </w:r>
      <w:r w:rsidR="00860DD3">
        <w:rPr>
          <w:rFonts w:ascii="Verdana" w:hAnsi="Verdana"/>
          <w:bCs/>
          <w:sz w:val="20"/>
          <w:szCs w:val="20"/>
          <w:lang w:val="en-US"/>
        </w:rPr>
        <w:t xml:space="preserve">discuss its issues list with at least one other NWP </w:t>
      </w:r>
      <w:proofErr w:type="spellStart"/>
      <w:r w:rsidR="00860DD3">
        <w:rPr>
          <w:rFonts w:ascii="Verdana" w:hAnsi="Verdana"/>
          <w:bCs/>
          <w:sz w:val="20"/>
          <w:szCs w:val="20"/>
          <w:lang w:val="en-US"/>
        </w:rPr>
        <w:t>centre</w:t>
      </w:r>
      <w:proofErr w:type="spellEnd"/>
      <w:r w:rsidR="00860DD3">
        <w:rPr>
          <w:rFonts w:ascii="Verdana" w:hAnsi="Verdana"/>
          <w:bCs/>
          <w:sz w:val="20"/>
          <w:szCs w:val="20"/>
          <w:lang w:val="en-US"/>
        </w:rPr>
        <w:t xml:space="preserve"> and record issues that both centres agree merit further investigation on an “issues list” shared by all participating NWP centres.</w:t>
      </w:r>
    </w:p>
    <w:p w:rsidR="00860DD3" w:rsidRDefault="00860DD3" w:rsidP="00860DD3">
      <w:pPr>
        <w:jc w:val="both"/>
        <w:rPr>
          <w:rFonts w:ascii="Verdana" w:hAnsi="Verdana"/>
          <w:bCs/>
          <w:sz w:val="20"/>
          <w:szCs w:val="20"/>
          <w:lang w:val="en-US"/>
        </w:rPr>
      </w:pPr>
    </w:p>
    <w:p w:rsidR="00860DD3" w:rsidRDefault="00860DD3" w:rsidP="00860DD3">
      <w:pPr>
        <w:jc w:val="both"/>
        <w:rPr>
          <w:rFonts w:ascii="Verdana" w:hAnsi="Verdana"/>
          <w:bCs/>
          <w:sz w:val="20"/>
          <w:szCs w:val="20"/>
          <w:lang w:val="en-US"/>
        </w:rPr>
      </w:pPr>
      <w:r>
        <w:rPr>
          <w:rFonts w:ascii="Verdana" w:hAnsi="Verdana"/>
          <w:bCs/>
          <w:sz w:val="20"/>
          <w:szCs w:val="20"/>
          <w:lang w:val="en-US"/>
        </w:rPr>
        <w:t>Step 2: Identify issues that need to be resolved.</w:t>
      </w:r>
    </w:p>
    <w:p w:rsidR="00860DD3" w:rsidRDefault="00860DD3" w:rsidP="00860DD3">
      <w:pPr>
        <w:jc w:val="both"/>
        <w:rPr>
          <w:rFonts w:ascii="Verdana" w:hAnsi="Verdana"/>
          <w:bCs/>
          <w:sz w:val="20"/>
          <w:szCs w:val="20"/>
          <w:lang w:val="en-US"/>
        </w:rPr>
      </w:pPr>
      <w:r>
        <w:rPr>
          <w:rFonts w:ascii="Verdana" w:hAnsi="Verdana"/>
          <w:bCs/>
          <w:sz w:val="20"/>
          <w:szCs w:val="20"/>
          <w:lang w:val="en-US"/>
        </w:rPr>
        <w:t xml:space="preserve">This step is performed by </w:t>
      </w:r>
      <w:r w:rsidR="006F5E46">
        <w:rPr>
          <w:rFonts w:ascii="Verdana" w:hAnsi="Verdana"/>
          <w:bCs/>
          <w:sz w:val="20"/>
          <w:szCs w:val="20"/>
          <w:lang w:val="en-US"/>
        </w:rPr>
        <w:t xml:space="preserve">coordinating </w:t>
      </w:r>
      <w:r>
        <w:rPr>
          <w:rFonts w:ascii="Verdana" w:hAnsi="Verdana"/>
          <w:bCs/>
          <w:sz w:val="20"/>
          <w:szCs w:val="20"/>
          <w:lang w:val="en-US"/>
        </w:rPr>
        <w:t>centres with responsibility for coordinating the response to data quality issues. For the pilot project, GISCs would assume this responsibility for those countries for which they are the Principal GISC.</w:t>
      </w:r>
    </w:p>
    <w:p w:rsidR="00860DD3" w:rsidRDefault="00860DD3" w:rsidP="00860DD3">
      <w:pPr>
        <w:jc w:val="both"/>
        <w:rPr>
          <w:rFonts w:ascii="Verdana" w:hAnsi="Verdana"/>
          <w:bCs/>
          <w:sz w:val="20"/>
          <w:szCs w:val="20"/>
          <w:lang w:val="en-US"/>
        </w:rPr>
      </w:pPr>
    </w:p>
    <w:p w:rsidR="00860DD3" w:rsidRDefault="00860DD3" w:rsidP="006F5E46">
      <w:pPr>
        <w:jc w:val="both"/>
        <w:rPr>
          <w:rFonts w:ascii="Verdana" w:hAnsi="Verdana"/>
          <w:bCs/>
          <w:sz w:val="20"/>
          <w:szCs w:val="20"/>
          <w:lang w:val="en-US"/>
        </w:rPr>
      </w:pPr>
      <w:r>
        <w:rPr>
          <w:rFonts w:ascii="Verdana" w:hAnsi="Verdana"/>
          <w:bCs/>
          <w:sz w:val="20"/>
          <w:szCs w:val="20"/>
          <w:lang w:val="en-US"/>
        </w:rPr>
        <w:t xml:space="preserve">Some of the issues identified may be the result of transmission or decoding problems at the NWP centres providing the reports. </w:t>
      </w:r>
      <w:r w:rsidR="006F5E46">
        <w:rPr>
          <w:rFonts w:ascii="Verdana" w:hAnsi="Verdana"/>
          <w:bCs/>
          <w:sz w:val="20"/>
          <w:szCs w:val="20"/>
          <w:lang w:val="en-US"/>
        </w:rPr>
        <w:t xml:space="preserve">The coordinating </w:t>
      </w:r>
      <w:proofErr w:type="spellStart"/>
      <w:r w:rsidR="006F5E46">
        <w:rPr>
          <w:rFonts w:ascii="Verdana" w:hAnsi="Verdana"/>
          <w:bCs/>
          <w:sz w:val="20"/>
          <w:szCs w:val="20"/>
          <w:lang w:val="en-US"/>
        </w:rPr>
        <w:t>centre</w:t>
      </w:r>
      <w:proofErr w:type="spellEnd"/>
      <w:r w:rsidR="006F5E46">
        <w:rPr>
          <w:rFonts w:ascii="Verdana" w:hAnsi="Verdana"/>
          <w:bCs/>
          <w:sz w:val="20"/>
          <w:szCs w:val="20"/>
          <w:lang w:val="en-US"/>
        </w:rPr>
        <w:t xml:space="preserve"> checks whether it can reproduce the issue. It then provides feedback on the status of the issue to the NWP group. Those issues that are confirmed to be real are passed to the next step.</w:t>
      </w:r>
    </w:p>
    <w:p w:rsidR="006F5E46" w:rsidRDefault="006F5E46" w:rsidP="00860DD3">
      <w:pPr>
        <w:jc w:val="both"/>
        <w:rPr>
          <w:rFonts w:ascii="Verdana" w:hAnsi="Verdana"/>
          <w:bCs/>
          <w:sz w:val="20"/>
          <w:szCs w:val="20"/>
          <w:lang w:val="en-US"/>
        </w:rPr>
      </w:pPr>
    </w:p>
    <w:p w:rsidR="006F5E46" w:rsidRDefault="006F5E46" w:rsidP="00860DD3">
      <w:pPr>
        <w:jc w:val="both"/>
        <w:rPr>
          <w:rFonts w:ascii="Verdana" w:hAnsi="Verdana"/>
          <w:bCs/>
          <w:sz w:val="20"/>
          <w:szCs w:val="20"/>
          <w:lang w:val="en-US"/>
        </w:rPr>
      </w:pPr>
      <w:r>
        <w:rPr>
          <w:rFonts w:ascii="Verdana" w:hAnsi="Verdana"/>
          <w:bCs/>
          <w:sz w:val="20"/>
          <w:szCs w:val="20"/>
          <w:lang w:val="en-US"/>
        </w:rPr>
        <w:t>Step 3. Coordinate with data providers</w:t>
      </w:r>
    </w:p>
    <w:p w:rsidR="006F5E46" w:rsidRDefault="006F5E46" w:rsidP="006F5E46">
      <w:pPr>
        <w:jc w:val="both"/>
        <w:rPr>
          <w:rFonts w:ascii="Verdana" w:hAnsi="Verdana"/>
          <w:bCs/>
          <w:sz w:val="20"/>
          <w:szCs w:val="20"/>
          <w:lang w:val="en-US"/>
        </w:rPr>
      </w:pPr>
      <w:r>
        <w:rPr>
          <w:rFonts w:ascii="Verdana" w:hAnsi="Verdana"/>
          <w:bCs/>
          <w:sz w:val="20"/>
          <w:szCs w:val="20"/>
          <w:lang w:val="en-US"/>
        </w:rPr>
        <w:t xml:space="preserve">The coordinating </w:t>
      </w:r>
      <w:proofErr w:type="spellStart"/>
      <w:r>
        <w:rPr>
          <w:rFonts w:ascii="Verdana" w:hAnsi="Verdana"/>
          <w:bCs/>
          <w:sz w:val="20"/>
          <w:szCs w:val="20"/>
          <w:lang w:val="en-US"/>
        </w:rPr>
        <w:t>centre</w:t>
      </w:r>
      <w:proofErr w:type="spellEnd"/>
      <w:r>
        <w:rPr>
          <w:rFonts w:ascii="Verdana" w:hAnsi="Verdana"/>
          <w:bCs/>
          <w:sz w:val="20"/>
          <w:szCs w:val="20"/>
          <w:lang w:val="en-US"/>
        </w:rPr>
        <w:t xml:space="preserve"> notifies data originators of reports associated with each issue and works with them to plan how the issue will be resolved. In some cases, it may be appropriate to work with an intermediate body (such as an RTH that is providing a transformation service between TDCF and TAC on behalf of countries). </w:t>
      </w:r>
    </w:p>
    <w:p w:rsidR="006F5E46" w:rsidRDefault="006F5E46" w:rsidP="006F5E46">
      <w:pPr>
        <w:jc w:val="both"/>
        <w:rPr>
          <w:rFonts w:ascii="Verdana" w:hAnsi="Verdana"/>
          <w:bCs/>
          <w:sz w:val="20"/>
          <w:szCs w:val="20"/>
          <w:lang w:val="en-US"/>
        </w:rPr>
      </w:pPr>
    </w:p>
    <w:p w:rsidR="006F5E46" w:rsidRDefault="006F5E46" w:rsidP="006F5E46">
      <w:pPr>
        <w:jc w:val="both"/>
        <w:rPr>
          <w:rFonts w:ascii="Verdana" w:hAnsi="Verdana"/>
          <w:bCs/>
          <w:sz w:val="20"/>
          <w:szCs w:val="20"/>
          <w:lang w:val="en-US"/>
        </w:rPr>
      </w:pPr>
      <w:r>
        <w:rPr>
          <w:rFonts w:ascii="Verdana" w:hAnsi="Verdana"/>
          <w:bCs/>
          <w:sz w:val="20"/>
          <w:szCs w:val="20"/>
          <w:lang w:val="en-US"/>
        </w:rPr>
        <w:t xml:space="preserve">The coordinating </w:t>
      </w:r>
      <w:proofErr w:type="spellStart"/>
      <w:r>
        <w:rPr>
          <w:rFonts w:ascii="Verdana" w:hAnsi="Verdana"/>
          <w:bCs/>
          <w:sz w:val="20"/>
          <w:szCs w:val="20"/>
          <w:lang w:val="en-US"/>
        </w:rPr>
        <w:t>centre</w:t>
      </w:r>
      <w:proofErr w:type="spellEnd"/>
      <w:r>
        <w:rPr>
          <w:rFonts w:ascii="Verdana" w:hAnsi="Verdana"/>
          <w:bCs/>
          <w:sz w:val="20"/>
          <w:szCs w:val="20"/>
          <w:lang w:val="en-US"/>
        </w:rPr>
        <w:t xml:space="preserve"> should update the issues list with the current status of the issue.</w:t>
      </w:r>
    </w:p>
    <w:p w:rsidR="006F5E46" w:rsidRPr="006F5E46" w:rsidRDefault="006F5E46" w:rsidP="00860DD3">
      <w:pPr>
        <w:jc w:val="both"/>
        <w:rPr>
          <w:rFonts w:ascii="Verdana" w:hAnsi="Verdana"/>
          <w:b/>
          <w:sz w:val="20"/>
          <w:szCs w:val="20"/>
          <w:lang w:val="en-US"/>
        </w:rPr>
      </w:pPr>
    </w:p>
    <w:sectPr w:rsidR="006F5E46" w:rsidRPr="006F5E46"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0F" w:rsidRDefault="00304F0F" w:rsidP="00304F0F">
      <w:r>
        <w:separator/>
      </w:r>
    </w:p>
  </w:endnote>
  <w:endnote w:type="continuationSeparator" w:id="0">
    <w:p w:rsidR="00304F0F" w:rsidRDefault="00304F0F" w:rsidP="003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0F" w:rsidRDefault="00304F0F" w:rsidP="00304F0F">
      <w:r>
        <w:separator/>
      </w:r>
    </w:p>
  </w:footnote>
  <w:footnote w:type="continuationSeparator" w:id="0">
    <w:p w:rsidR="00304F0F" w:rsidRDefault="00304F0F" w:rsidP="0030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A19"/>
    <w:multiLevelType w:val="hybridMultilevel"/>
    <w:tmpl w:val="C8D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1FE8"/>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4F0F"/>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5E46"/>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E1489"/>
    <w:rsid w:val="007F1D18"/>
    <w:rsid w:val="007F571D"/>
    <w:rsid w:val="00810F6C"/>
    <w:rsid w:val="00822564"/>
    <w:rsid w:val="00854CF1"/>
    <w:rsid w:val="00860DD3"/>
    <w:rsid w:val="0087795A"/>
    <w:rsid w:val="00882178"/>
    <w:rsid w:val="008A4415"/>
    <w:rsid w:val="008A48FF"/>
    <w:rsid w:val="008E669E"/>
    <w:rsid w:val="00903696"/>
    <w:rsid w:val="00910EDE"/>
    <w:rsid w:val="00911012"/>
    <w:rsid w:val="00911423"/>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021F4"/>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ListParagraph">
    <w:name w:val="List Paragraph"/>
    <w:basedOn w:val="Normal"/>
    <w:uiPriority w:val="34"/>
    <w:qFormat/>
    <w:rsid w:val="00903696"/>
    <w:pPr>
      <w:ind w:left="720"/>
      <w:contextualSpacing/>
    </w:pPr>
  </w:style>
  <w:style w:type="table" w:styleId="TableGrid">
    <w:name w:val="Table Grid"/>
    <w:basedOn w:val="TableNormal"/>
    <w:uiPriority w:val="59"/>
    <w:rsid w:val="00304F0F"/>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4F0F"/>
    <w:rPr>
      <w:rFonts w:asciiTheme="minorHAnsi" w:eastAsiaTheme="minorHAnsi" w:hAnsiTheme="minorHAnsi" w:cstheme="minorBidi"/>
      <w:snapToGrid/>
      <w:sz w:val="20"/>
      <w:szCs w:val="20"/>
      <w:lang w:val="de-DE"/>
    </w:rPr>
  </w:style>
  <w:style w:type="character" w:customStyle="1" w:styleId="FootnoteTextChar">
    <w:name w:val="Footnote Text Char"/>
    <w:basedOn w:val="DefaultParagraphFont"/>
    <w:link w:val="FootnoteText"/>
    <w:uiPriority w:val="99"/>
    <w:rsid w:val="00304F0F"/>
    <w:rPr>
      <w:rFonts w:asciiTheme="minorHAnsi" w:eastAsiaTheme="minorHAnsi" w:hAnsiTheme="minorHAnsi" w:cstheme="minorBidi"/>
      <w:lang w:val="de-DE" w:eastAsia="en-US"/>
    </w:rPr>
  </w:style>
  <w:style w:type="character" w:styleId="FootnoteReference">
    <w:name w:val="footnote reference"/>
    <w:basedOn w:val="DefaultParagraphFont"/>
    <w:uiPriority w:val="99"/>
    <w:unhideWhenUsed/>
    <w:rsid w:val="00304F0F"/>
    <w:rPr>
      <w:vertAlign w:val="superscript"/>
    </w:rPr>
  </w:style>
  <w:style w:type="paragraph" w:styleId="Caption">
    <w:name w:val="caption"/>
    <w:basedOn w:val="Normal"/>
    <w:next w:val="Normal"/>
    <w:unhideWhenUsed/>
    <w:qFormat/>
    <w:rsid w:val="00304F0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ListParagraph">
    <w:name w:val="List Paragraph"/>
    <w:basedOn w:val="Normal"/>
    <w:uiPriority w:val="34"/>
    <w:qFormat/>
    <w:rsid w:val="00903696"/>
    <w:pPr>
      <w:ind w:left="720"/>
      <w:contextualSpacing/>
    </w:pPr>
  </w:style>
  <w:style w:type="table" w:styleId="TableGrid">
    <w:name w:val="Table Grid"/>
    <w:basedOn w:val="TableNormal"/>
    <w:uiPriority w:val="59"/>
    <w:rsid w:val="00304F0F"/>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4F0F"/>
    <w:rPr>
      <w:rFonts w:asciiTheme="minorHAnsi" w:eastAsiaTheme="minorHAnsi" w:hAnsiTheme="minorHAnsi" w:cstheme="minorBidi"/>
      <w:snapToGrid/>
      <w:sz w:val="20"/>
      <w:szCs w:val="20"/>
      <w:lang w:val="de-DE"/>
    </w:rPr>
  </w:style>
  <w:style w:type="character" w:customStyle="1" w:styleId="FootnoteTextChar">
    <w:name w:val="Footnote Text Char"/>
    <w:basedOn w:val="DefaultParagraphFont"/>
    <w:link w:val="FootnoteText"/>
    <w:uiPriority w:val="99"/>
    <w:rsid w:val="00304F0F"/>
    <w:rPr>
      <w:rFonts w:asciiTheme="minorHAnsi" w:eastAsiaTheme="minorHAnsi" w:hAnsiTheme="minorHAnsi" w:cstheme="minorBidi"/>
      <w:lang w:val="de-DE" w:eastAsia="en-US"/>
    </w:rPr>
  </w:style>
  <w:style w:type="character" w:styleId="FootnoteReference">
    <w:name w:val="footnote reference"/>
    <w:basedOn w:val="DefaultParagraphFont"/>
    <w:uiPriority w:val="99"/>
    <w:unhideWhenUsed/>
    <w:rsid w:val="00304F0F"/>
    <w:rPr>
      <w:vertAlign w:val="superscript"/>
    </w:rPr>
  </w:style>
  <w:style w:type="paragraph" w:styleId="Caption">
    <w:name w:val="caption"/>
    <w:basedOn w:val="Normal"/>
    <w:next w:val="Normal"/>
    <w:unhideWhenUsed/>
    <w:qFormat/>
    <w:rsid w:val="00304F0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4259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2017-07-19T09:15:00Z</dcterms:created>
  <dcterms:modified xsi:type="dcterms:W3CDTF">2017-07-19T09:15:00Z</dcterms:modified>
</cp:coreProperties>
</file>