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88603E" w14:paraId="039744FE" w14:textId="77777777" w:rsidTr="00777D58">
        <w:trPr>
          <w:trHeight w:val="282"/>
        </w:trPr>
        <w:tc>
          <w:tcPr>
            <w:tcW w:w="6487" w:type="dxa"/>
            <w:vMerge w:val="restart"/>
          </w:tcPr>
          <w:p w14:paraId="19EFC1CB" w14:textId="77777777" w:rsidR="00993581" w:rsidRPr="003B6DFC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B6DFC">
              <w:rPr>
                <w:noProof/>
                <w:color w:val="365F91" w:themeColor="accent1" w:themeShade="BF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6073671F" wp14:editId="4647EB73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B6DFC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14:paraId="1DEA43B8" w14:textId="77777777" w:rsidR="00993581" w:rsidRPr="003B6DFC" w:rsidRDefault="00B7303E" w:rsidP="000059C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6F501F" w:rsidRPr="003B6DFC">
              <w:rPr>
                <w:rFonts w:cs="Tahoma"/>
                <w:b/>
                <w:color w:val="365F91" w:themeColor="accent1" w:themeShade="BF"/>
                <w:spacing w:val="-2"/>
              </w:rPr>
              <w:t xml:space="preserve">Commission for Instruments and Methods of Observation </w:t>
            </w:r>
            <w:r w:rsidRPr="003B6DFC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14:paraId="3F349B72" w14:textId="77777777" w:rsidR="00993581" w:rsidRPr="0088603E" w:rsidRDefault="0088603E" w:rsidP="00886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snapToGrid w:val="0"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Task Team on Radiation References, First Session</w:t>
            </w:r>
            <w:r w:rsidRPr="00837E38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t>Teddington, UK, 15-17 November 2017</w:t>
            </w:r>
          </w:p>
        </w:tc>
        <w:tc>
          <w:tcPr>
            <w:tcW w:w="3402" w:type="dxa"/>
          </w:tcPr>
          <w:p w14:paraId="603C47B1" w14:textId="77777777" w:rsidR="00993581" w:rsidRPr="002B790C" w:rsidRDefault="00223FB2" w:rsidP="0088603E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lang w:val="fr-CH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CIMO/</w:t>
                </w:r>
                <w:r w:rsidR="0088603E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T</w:t>
                </w:r>
                <w:r w:rsidR="000059CA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T-</w:t>
                </w:r>
                <w:r w:rsidR="0088603E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RadRef-1</w:t>
                </w:r>
              </w:sdtContent>
            </w:sdt>
            <w:r w:rsidR="000D4FA3" w:rsidRPr="002B790C">
              <w:rPr>
                <w:rFonts w:cs="Tahoma"/>
                <w:b/>
                <w:bCs/>
                <w:color w:val="365F91" w:themeColor="accent1" w:themeShade="BF"/>
                <w:lang w:val="fr-CH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 xml:space="preserve">Doc. </w:t>
                </w:r>
                <w:r w:rsidR="0050695F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1</w:t>
                </w:r>
                <w:r w:rsidR="000D4FA3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.</w:t>
                </w:r>
                <w:r w:rsidR="0050695F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2</w:t>
                </w:r>
                <w:r w:rsidR="000D4FA3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(</w:t>
                </w:r>
                <w:r w:rsidR="00D870B3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2</w:t>
                </w:r>
                <w:r w:rsidR="000D4FA3" w:rsidRPr="002B790C">
                  <w:rPr>
                    <w:rFonts w:cs="Tahoma"/>
                    <w:b/>
                    <w:bCs/>
                    <w:color w:val="365F91" w:themeColor="accent1" w:themeShade="BF"/>
                    <w:lang w:val="fr-CH"/>
                  </w:rPr>
                  <w:t>)</w:t>
                </w:r>
              </w:sdtContent>
            </w:sdt>
            <w:r w:rsidR="000D4FA3" w:rsidRPr="002B790C">
              <w:rPr>
                <w:rFonts w:cs="Tahoma"/>
                <w:b/>
                <w:bCs/>
                <w:color w:val="365F91" w:themeColor="accent1" w:themeShade="BF"/>
                <w:lang w:val="fr-CH"/>
              </w:rPr>
              <w:t xml:space="preserve"> </w:t>
            </w:r>
          </w:p>
        </w:tc>
      </w:tr>
      <w:tr w:rsidR="00993581" w:rsidRPr="003B6DFC" w14:paraId="3C45800E" w14:textId="77777777" w:rsidTr="00777D58">
        <w:trPr>
          <w:trHeight w:val="730"/>
        </w:trPr>
        <w:tc>
          <w:tcPr>
            <w:tcW w:w="6487" w:type="dxa"/>
            <w:vMerge/>
          </w:tcPr>
          <w:p w14:paraId="5D3E8922" w14:textId="77777777" w:rsidR="00993581" w:rsidRPr="002B790C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val="fr-CH" w:eastAsia="zh-CN"/>
              </w:rPr>
            </w:pPr>
          </w:p>
        </w:tc>
        <w:tc>
          <w:tcPr>
            <w:tcW w:w="3402" w:type="dxa"/>
          </w:tcPr>
          <w:p w14:paraId="431FB46B" w14:textId="77777777" w:rsidR="00993581" w:rsidRPr="003B6DFC" w:rsidRDefault="00993581" w:rsidP="002F5517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B6DFC">
              <w:rPr>
                <w:rFonts w:cs="Tahoma"/>
                <w:color w:val="365F91" w:themeColor="accent1" w:themeShade="BF"/>
              </w:rPr>
              <w:t>Submitted by:</w:t>
            </w:r>
            <w:r w:rsidRPr="003B6DFC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0695F" w:rsidRPr="003B6DFC">
                  <w:rPr>
                    <w:rFonts w:cs="Tahoma"/>
                    <w:color w:val="365F91" w:themeColor="accent1" w:themeShade="BF"/>
                  </w:rPr>
                  <w:t>The Secretariat</w:t>
                </w:r>
              </w:sdtContent>
            </w:sdt>
          </w:p>
          <w:p w14:paraId="32594942" w14:textId="2D2A204C" w:rsidR="00993581" w:rsidRPr="003B6DFC" w:rsidRDefault="00223FB2" w:rsidP="00223FB2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>
              <w:rPr>
                <w:rFonts w:cs="Tahoma"/>
                <w:color w:val="365F91" w:themeColor="accent1" w:themeShade="BF"/>
              </w:rPr>
              <w:t>7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88603E">
              <w:rPr>
                <w:rFonts w:cs="Tahoma"/>
                <w:color w:val="365F91" w:themeColor="accent1" w:themeShade="BF"/>
              </w:rPr>
              <w:t>1</w:t>
            </w:r>
            <w:r>
              <w:rPr>
                <w:rFonts w:cs="Tahoma"/>
                <w:color w:val="365F91" w:themeColor="accent1" w:themeShade="BF"/>
              </w:rPr>
              <w:t>1</w:t>
            </w:r>
            <w:r w:rsidR="000D4FA3" w:rsidRPr="003B6DFC">
              <w:rPr>
                <w:rFonts w:cs="Tahoma"/>
                <w:color w:val="365F91" w:themeColor="accent1" w:themeShade="BF"/>
              </w:rPr>
              <w:t>.</w:t>
            </w:r>
            <w:r w:rsidR="0050695F" w:rsidRPr="003B6DFC">
              <w:rPr>
                <w:rFonts w:cs="Tahoma"/>
                <w:color w:val="365F91" w:themeColor="accent1" w:themeShade="BF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14:paraId="265C4165" w14:textId="77777777" w:rsidR="00993581" w:rsidRPr="003B6DFC" w:rsidRDefault="0050695F" w:rsidP="0075136C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B6DFC">
                  <w:rPr>
                    <w:rFonts w:cs="Tahoma"/>
                    <w:b/>
                    <w:bCs/>
                    <w:color w:val="365F91" w:themeColor="accent1" w:themeShade="BF"/>
                  </w:rPr>
                  <w:t>DRAFT 1</w:t>
                </w:r>
              </w:p>
            </w:sdtContent>
          </w:sdt>
        </w:tc>
      </w:tr>
    </w:tbl>
    <w:p w14:paraId="514E740C" w14:textId="77777777" w:rsidR="00583549" w:rsidRPr="003B6DFC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14:paraId="49C6DDD4" w14:textId="77777777" w:rsidR="00583549" w:rsidRPr="00C90F1A" w:rsidRDefault="00D870B3" w:rsidP="00583549">
      <w:pPr>
        <w:pStyle w:val="Heading1"/>
        <w:rPr>
          <w:szCs w:val="24"/>
        </w:rPr>
      </w:pPr>
      <w:r w:rsidRPr="00C90F1A">
        <w:rPr>
          <w:szCs w:val="24"/>
        </w:rPr>
        <w:t>explanatory memorandum</w:t>
      </w:r>
    </w:p>
    <w:p w14:paraId="6D38F650" w14:textId="77777777" w:rsidR="00491766" w:rsidRPr="003B6DFC" w:rsidRDefault="00491766" w:rsidP="00491766">
      <w:pPr>
        <w:rPr>
          <w:lang w:eastAsia="zh-TW"/>
        </w:rPr>
      </w:pPr>
      <w:bookmarkStart w:id="1" w:name="_Draft_Decision_X.X.X(X)/1"/>
      <w:bookmarkStart w:id="2" w:name="_Toc319327009"/>
      <w:bookmarkEnd w:id="1"/>
    </w:p>
    <w:p w14:paraId="3D4E5545" w14:textId="77777777" w:rsidR="00C03F8F" w:rsidRPr="003B6DFC" w:rsidRDefault="00C03F8F" w:rsidP="009A73A3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contextualSpacing w:val="0"/>
        <w:jc w:val="left"/>
        <w:rPr>
          <w:rFonts w:cs="Arial Bold"/>
          <w:b/>
          <w:bCs/>
          <w:caps/>
        </w:rPr>
      </w:pPr>
      <w:r w:rsidRPr="003B6DFC">
        <w:rPr>
          <w:rFonts w:cs="Arial Bold"/>
          <w:b/>
          <w:bCs/>
          <w:caps/>
        </w:rPr>
        <w:t>Organization of the Session</w:t>
      </w:r>
    </w:p>
    <w:p w14:paraId="012A1BCD" w14:textId="77777777" w:rsidR="00C03F8F" w:rsidRPr="003B6DFC" w:rsidRDefault="00C03F8F" w:rsidP="009A73A3">
      <w:pPr>
        <w:pStyle w:val="ListParagraph"/>
        <w:numPr>
          <w:ilvl w:val="1"/>
          <w:numId w:val="7"/>
        </w:numPr>
        <w:tabs>
          <w:tab w:val="clear" w:pos="1134"/>
        </w:tabs>
        <w:spacing w:before="240" w:after="120"/>
        <w:contextualSpacing w:val="0"/>
        <w:jc w:val="left"/>
        <w:rPr>
          <w:b/>
          <w:bCs/>
        </w:rPr>
      </w:pPr>
      <w:r w:rsidRPr="003B6DFC">
        <w:rPr>
          <w:b/>
          <w:bCs/>
        </w:rPr>
        <w:t>Opening</w:t>
      </w:r>
      <w:r w:rsidR="00D870B3" w:rsidRPr="003B6DFC">
        <w:rPr>
          <w:b/>
          <w:bCs/>
        </w:rPr>
        <w:t xml:space="preserve"> of the Session</w:t>
      </w:r>
    </w:p>
    <w:p w14:paraId="477931E2" w14:textId="77777777" w:rsidR="00D870B3" w:rsidRDefault="00DD035B" w:rsidP="00210211">
      <w:pPr>
        <w:pStyle w:val="ListParagraph"/>
        <w:spacing w:before="240" w:after="120"/>
        <w:ind w:left="0" w:firstLine="360"/>
      </w:pPr>
      <w:r>
        <w:t xml:space="preserve">The first </w:t>
      </w:r>
      <w:r w:rsidR="00D870B3" w:rsidRPr="003B6DFC">
        <w:t xml:space="preserve">Session of the CIMO </w:t>
      </w:r>
      <w:r w:rsidR="0088603E">
        <w:t>Task</w:t>
      </w:r>
      <w:r w:rsidR="00D870B3" w:rsidRPr="003B6DFC">
        <w:t xml:space="preserve"> Team on </w:t>
      </w:r>
      <w:r w:rsidR="0088603E">
        <w:t>Radiation References</w:t>
      </w:r>
      <w:r w:rsidR="00D870B3" w:rsidRPr="003B6DFC">
        <w:t xml:space="preserve"> (</w:t>
      </w:r>
      <w:r w:rsidR="0088603E">
        <w:t>T</w:t>
      </w:r>
      <w:r w:rsidR="00D870B3" w:rsidRPr="003B6DFC">
        <w:t>T-</w:t>
      </w:r>
      <w:proofErr w:type="spellStart"/>
      <w:r w:rsidR="0088603E">
        <w:t>RadRef</w:t>
      </w:r>
      <w:proofErr w:type="spellEnd"/>
      <w:r w:rsidR="00D870B3" w:rsidRPr="003B6DFC">
        <w:t xml:space="preserve">) will open at 09:00 hours on </w:t>
      </w:r>
      <w:r w:rsidR="003210F3">
        <w:t>Wednesday</w:t>
      </w:r>
      <w:r w:rsidR="00D870B3" w:rsidRPr="003B6DFC">
        <w:t xml:space="preserve">, </w:t>
      </w:r>
      <w:r w:rsidR="00210211">
        <w:t>15 November</w:t>
      </w:r>
      <w:r w:rsidR="00D870B3" w:rsidRPr="003B6DFC">
        <w:t xml:space="preserve"> 201</w:t>
      </w:r>
      <w:r w:rsidR="005C1031" w:rsidRPr="003B6DFC">
        <w:t>7</w:t>
      </w:r>
      <w:r w:rsidR="00D870B3" w:rsidRPr="003B6DFC">
        <w:t xml:space="preserve">, at the </w:t>
      </w:r>
      <w:r w:rsidR="0088603E">
        <w:t>National Physical Laboratory (NPL), Teddington, United Kingdom of Great Britain and Northern Ireland</w:t>
      </w:r>
      <w:r w:rsidR="00D870B3" w:rsidRPr="003B6DFC">
        <w:t xml:space="preserve">. </w:t>
      </w:r>
    </w:p>
    <w:p w14:paraId="0F7B7D9A" w14:textId="58357BFB" w:rsidR="008374D7" w:rsidRPr="003B6DFC" w:rsidRDefault="008374D7" w:rsidP="00D8031C">
      <w:pPr>
        <w:pStyle w:val="ListParagraph"/>
        <w:spacing w:before="240" w:after="120"/>
        <w:ind w:left="0" w:firstLine="360"/>
        <w:rPr>
          <w:rFonts w:cs="Helvetica"/>
          <w:lang w:eastAsia="zh-TW"/>
        </w:rPr>
      </w:pPr>
      <w:r>
        <w:t xml:space="preserve">The meeting will be </w:t>
      </w:r>
      <w:r w:rsidR="000671E5">
        <w:t xml:space="preserve">focussing </w:t>
      </w:r>
      <w:r>
        <w:t>on the traceability of terrestrial radiation measurements. It will be conducted as a reduced meeting of TT-</w:t>
      </w:r>
      <w:proofErr w:type="spellStart"/>
      <w:r>
        <w:t>RadRef</w:t>
      </w:r>
      <w:proofErr w:type="spellEnd"/>
      <w:r>
        <w:t>, together with the support of participants representing the Baseline Surface Radiation Network</w:t>
      </w:r>
      <w:r w:rsidR="00210211">
        <w:t xml:space="preserve"> (BSRN)</w:t>
      </w:r>
      <w:r>
        <w:t xml:space="preserve"> and the metrology communities. </w:t>
      </w:r>
      <w:r w:rsidR="00D8031C">
        <w:t xml:space="preserve">It will be conducted in the form of a workshop and </w:t>
      </w:r>
      <w:r w:rsidR="000671E5">
        <w:t xml:space="preserve">before the meeting </w:t>
      </w:r>
      <w:r w:rsidR="00D8031C">
        <w:t>all p</w:t>
      </w:r>
      <w:r w:rsidR="002F661B">
        <w:t>articipant</w:t>
      </w:r>
      <w:r w:rsidR="00D8031C">
        <w:t xml:space="preserve">s are expected to read the background material that will be provided to them </w:t>
      </w:r>
      <w:r w:rsidR="000671E5">
        <w:t xml:space="preserve">by the Secretariat </w:t>
      </w:r>
      <w:r w:rsidR="00D8031C">
        <w:t>and to identify key issues that should be addressed/discussed during the meeting.</w:t>
      </w:r>
    </w:p>
    <w:p w14:paraId="0F8E3B5D" w14:textId="77777777" w:rsidR="00C03F8F" w:rsidRPr="003B6DFC" w:rsidRDefault="00C03F8F" w:rsidP="009A73A3">
      <w:pPr>
        <w:pStyle w:val="ListParagraph"/>
        <w:numPr>
          <w:ilvl w:val="1"/>
          <w:numId w:val="7"/>
        </w:numPr>
        <w:tabs>
          <w:tab w:val="clear" w:pos="1134"/>
        </w:tabs>
        <w:spacing w:before="240" w:after="120"/>
        <w:contextualSpacing w:val="0"/>
        <w:jc w:val="left"/>
        <w:rPr>
          <w:b/>
          <w:bCs/>
        </w:rPr>
      </w:pPr>
      <w:r w:rsidRPr="003B6DFC">
        <w:rPr>
          <w:b/>
          <w:bCs/>
        </w:rPr>
        <w:t>Adoption of the Agenda</w:t>
      </w:r>
    </w:p>
    <w:p w14:paraId="5E881E06" w14:textId="77777777" w:rsidR="00410A71" w:rsidRPr="003B6DFC" w:rsidRDefault="00410A71" w:rsidP="009A73A3">
      <w:pPr>
        <w:pStyle w:val="ListParagraph"/>
        <w:spacing w:before="240" w:after="120"/>
        <w:ind w:left="360"/>
      </w:pPr>
      <w:r w:rsidRPr="003B6DFC">
        <w:t xml:space="preserve">The provisional agenda will be submitted to the Session for adoption.  </w:t>
      </w:r>
    </w:p>
    <w:p w14:paraId="26F4B1B6" w14:textId="77777777" w:rsidR="00C03F8F" w:rsidRPr="003B6DFC" w:rsidRDefault="00C03F8F" w:rsidP="009A73A3">
      <w:pPr>
        <w:pStyle w:val="ListParagraph"/>
        <w:numPr>
          <w:ilvl w:val="1"/>
          <w:numId w:val="7"/>
        </w:numPr>
        <w:tabs>
          <w:tab w:val="clear" w:pos="1134"/>
        </w:tabs>
        <w:spacing w:before="240" w:after="120"/>
        <w:contextualSpacing w:val="0"/>
        <w:jc w:val="left"/>
        <w:rPr>
          <w:b/>
          <w:bCs/>
        </w:rPr>
      </w:pPr>
      <w:r w:rsidRPr="003B6DFC">
        <w:rPr>
          <w:b/>
          <w:bCs/>
        </w:rPr>
        <w:t>Working Arrangements</w:t>
      </w:r>
    </w:p>
    <w:p w14:paraId="14524B51" w14:textId="77777777" w:rsidR="00410A71" w:rsidRDefault="00410A71" w:rsidP="009A73A3">
      <w:pPr>
        <w:pStyle w:val="ListParagraph"/>
        <w:spacing w:before="120" w:after="240"/>
        <w:ind w:left="0" w:firstLine="357"/>
        <w:contextualSpacing w:val="0"/>
      </w:pPr>
      <w:r w:rsidRPr="003B6DFC">
        <w:t>The Meeting will agree on details concerning the organization of its work, including working hours. The documentation and meeting wil</w:t>
      </w:r>
      <w:r w:rsidR="009A73A3" w:rsidRPr="003B6DFC">
        <w:t>l be conducted in English only.</w:t>
      </w:r>
    </w:p>
    <w:p w14:paraId="34201EBE" w14:textId="77777777" w:rsidR="00C03F8F" w:rsidRPr="003B6DFC" w:rsidRDefault="00C03F8F" w:rsidP="009A73A3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240"/>
        <w:contextualSpacing w:val="0"/>
        <w:jc w:val="left"/>
        <w:rPr>
          <w:rFonts w:cs="Arial Bold"/>
          <w:b/>
          <w:bCs/>
          <w:caps/>
        </w:rPr>
      </w:pPr>
      <w:r w:rsidRPr="003B6DFC">
        <w:rPr>
          <w:rFonts w:cs="Arial Bold"/>
          <w:b/>
          <w:bCs/>
          <w:caps/>
        </w:rPr>
        <w:t>Report of the Chairperson</w:t>
      </w:r>
    </w:p>
    <w:p w14:paraId="4F484154" w14:textId="2E27E903" w:rsidR="00E6266D" w:rsidRPr="00E6266D" w:rsidRDefault="00410A71" w:rsidP="00E6266D">
      <w:pPr>
        <w:tabs>
          <w:tab w:val="clear" w:pos="1134"/>
        </w:tabs>
        <w:spacing w:before="120" w:after="120"/>
        <w:ind w:firstLine="360"/>
        <w:jc w:val="left"/>
      </w:pPr>
      <w:r w:rsidRPr="003B6DFC">
        <w:t xml:space="preserve">The </w:t>
      </w:r>
      <w:r w:rsidR="0055660B" w:rsidRPr="003B6DFC">
        <w:t>Chairperson</w:t>
      </w:r>
      <w:r w:rsidR="00D866DB" w:rsidRPr="003B6DFC">
        <w:t xml:space="preserve"> of</w:t>
      </w:r>
      <w:r w:rsidR="0088603E">
        <w:t xml:space="preserve"> TT-</w:t>
      </w:r>
      <w:proofErr w:type="spellStart"/>
      <w:r w:rsidR="0088603E">
        <w:t>RadRef</w:t>
      </w:r>
      <w:proofErr w:type="spellEnd"/>
      <w:r w:rsidRPr="003B6DFC">
        <w:t xml:space="preserve"> will</w:t>
      </w:r>
      <w:r w:rsidR="0005324A">
        <w:t xml:space="preserve"> briefly explain the reasons for the reduced meeting</w:t>
      </w:r>
      <w:r w:rsidRPr="003B6DFC">
        <w:t>.</w:t>
      </w:r>
    </w:p>
    <w:p w14:paraId="21FF1958" w14:textId="77777777" w:rsidR="00E6266D" w:rsidRPr="00E6266D" w:rsidRDefault="0088603E" w:rsidP="008374D7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b/>
          <w:bCs/>
        </w:rPr>
      </w:pPr>
      <w:r>
        <w:rPr>
          <w:rFonts w:cs="Arial Bold"/>
          <w:b/>
          <w:bCs/>
          <w:caps/>
        </w:rPr>
        <w:t xml:space="preserve">review of the </w:t>
      </w:r>
      <w:r w:rsidR="00E6266D">
        <w:rPr>
          <w:rFonts w:cs="Arial Bold"/>
          <w:b/>
          <w:bCs/>
          <w:caps/>
        </w:rPr>
        <w:t>current status and issues of infrared radiometry</w:t>
      </w:r>
    </w:p>
    <w:p w14:paraId="527C190A" w14:textId="6EC88142" w:rsidR="00E6266D" w:rsidRDefault="00E6266D" w:rsidP="00E6266D">
      <w:pPr>
        <w:tabs>
          <w:tab w:val="clear" w:pos="1134"/>
        </w:tabs>
        <w:spacing w:before="120" w:after="120"/>
        <w:ind w:firstLine="360"/>
        <w:jc w:val="left"/>
      </w:pPr>
      <w:r>
        <w:t xml:space="preserve">The meeting will be presented with a series of </w:t>
      </w:r>
      <w:r w:rsidR="0005324A">
        <w:t xml:space="preserve">invited </w:t>
      </w:r>
      <w:r>
        <w:t xml:space="preserve">presentations covering the whole traceability chain of terrestrial radiation measurements. </w:t>
      </w:r>
      <w:r w:rsidR="0005324A">
        <w:t>At the end of each presentation the meeting</w:t>
      </w:r>
      <w:r>
        <w:t xml:space="preserve"> be invited to critically review each step of th</w:t>
      </w:r>
      <w:r w:rsidR="0005324A">
        <w:t>e</w:t>
      </w:r>
      <w:r>
        <w:t xml:space="preserve"> traceability chain and ascertain its appropriateness.</w:t>
      </w:r>
    </w:p>
    <w:p w14:paraId="50060293" w14:textId="1D13B232" w:rsidR="0005324A" w:rsidRDefault="002F661B" w:rsidP="002F661B">
      <w:pPr>
        <w:tabs>
          <w:tab w:val="clear" w:pos="1134"/>
        </w:tabs>
        <w:spacing w:before="120" w:after="120"/>
        <w:ind w:firstLine="360"/>
        <w:jc w:val="left"/>
      </w:pPr>
      <w:r>
        <w:t>Th</w:t>
      </w:r>
      <w:r w:rsidR="0005324A">
        <w:t>e</w:t>
      </w:r>
      <w:r>
        <w:t xml:space="preserve"> </w:t>
      </w:r>
      <w:r w:rsidR="00E6266D">
        <w:t>presentation</w:t>
      </w:r>
      <w:r>
        <w:t xml:space="preserve">s </w:t>
      </w:r>
      <w:r w:rsidR="0005324A">
        <w:t>will cover:</w:t>
      </w:r>
    </w:p>
    <w:p w14:paraId="4FF1155A" w14:textId="61366931" w:rsidR="0005324A" w:rsidRDefault="000671E5" w:rsidP="0005324A">
      <w:pPr>
        <w:pStyle w:val="ListParagraph"/>
        <w:numPr>
          <w:ilvl w:val="0"/>
          <w:numId w:val="20"/>
        </w:numPr>
        <w:tabs>
          <w:tab w:val="clear" w:pos="1134"/>
        </w:tabs>
        <w:spacing w:before="120" w:after="120"/>
        <w:jc w:val="left"/>
      </w:pPr>
      <w:r>
        <w:t>T</w:t>
      </w:r>
      <w:r w:rsidR="0005324A" w:rsidRPr="002F661B">
        <w:t xml:space="preserve">he development of the current basic </w:t>
      </w:r>
      <w:proofErr w:type="spellStart"/>
      <w:r w:rsidR="0005324A" w:rsidRPr="002F661B">
        <w:t>pyrgeometry</w:t>
      </w:r>
      <w:proofErr w:type="spellEnd"/>
      <w:r w:rsidR="0005324A" w:rsidRPr="002F661B">
        <w:t xml:space="preserve"> </w:t>
      </w:r>
      <w:r w:rsidR="00125559">
        <w:t xml:space="preserve">practises including </w:t>
      </w:r>
      <w:r w:rsidR="0005324A" w:rsidRPr="002F661B">
        <w:t>the evolution of the current equations in field use</w:t>
      </w:r>
      <w:r w:rsidR="0005324A">
        <w:t>.</w:t>
      </w:r>
      <w:r w:rsidR="0005324A" w:rsidRPr="0005324A">
        <w:t xml:space="preserve"> </w:t>
      </w:r>
    </w:p>
    <w:p w14:paraId="270E1BA1" w14:textId="34CC69C1" w:rsidR="0005324A" w:rsidRDefault="0005324A" w:rsidP="0005324A">
      <w:pPr>
        <w:pStyle w:val="ListParagraph"/>
        <w:numPr>
          <w:ilvl w:val="0"/>
          <w:numId w:val="20"/>
        </w:numPr>
        <w:tabs>
          <w:tab w:val="clear" w:pos="1134"/>
        </w:tabs>
        <w:spacing w:before="120" w:after="120"/>
        <w:jc w:val="left"/>
      </w:pPr>
      <w:r>
        <w:t>T</w:t>
      </w:r>
      <w:r w:rsidR="00E6266D">
        <w:t xml:space="preserve">he practices that were used to set up the World Infrared Standard Group (WISG), </w:t>
      </w:r>
      <w:r w:rsidR="002F661B">
        <w:t>t</w:t>
      </w:r>
      <w:r w:rsidR="002F661B" w:rsidRPr="0005324A">
        <w:rPr>
          <w:rFonts w:cs="Arial Bold"/>
        </w:rPr>
        <w:t xml:space="preserve">he </w:t>
      </w:r>
      <w:r w:rsidR="002F661B" w:rsidRPr="002F661B">
        <w:t>outcomes</w:t>
      </w:r>
      <w:r w:rsidR="002F661B" w:rsidRPr="0005324A">
        <w:rPr>
          <w:rFonts w:cs="Arial Bold"/>
        </w:rPr>
        <w:t xml:space="preserve"> of relevant measurement campaigns focussed on the assessment and traceability </w:t>
      </w:r>
      <w:r w:rsidR="000A1811">
        <w:rPr>
          <w:rFonts w:cs="Arial Bold"/>
        </w:rPr>
        <w:t>to the</w:t>
      </w:r>
      <w:r w:rsidR="002F661B" w:rsidRPr="0005324A">
        <w:rPr>
          <w:rFonts w:cs="Arial Bold"/>
        </w:rPr>
        <w:t xml:space="preserve"> </w:t>
      </w:r>
      <w:r w:rsidR="002F661B" w:rsidRPr="00210211">
        <w:t>World Infrared Standard Group (WISG)</w:t>
      </w:r>
      <w:r w:rsidR="002F661B">
        <w:t xml:space="preserve">, such as the </w:t>
      </w:r>
      <w:r w:rsidR="00125559">
        <w:t xml:space="preserve">International </w:t>
      </w:r>
      <w:proofErr w:type="spellStart"/>
      <w:r w:rsidR="002F661B" w:rsidRPr="0005324A">
        <w:rPr>
          <w:rFonts w:cs="Arial Bold"/>
        </w:rPr>
        <w:t>Pyrgeometer</w:t>
      </w:r>
      <w:proofErr w:type="spellEnd"/>
      <w:r w:rsidR="002F661B" w:rsidRPr="0005324A">
        <w:rPr>
          <w:rFonts w:cs="Arial Bold"/>
        </w:rPr>
        <w:t xml:space="preserve"> </w:t>
      </w:r>
      <w:proofErr w:type="spellStart"/>
      <w:r w:rsidR="002F661B" w:rsidRPr="0005324A">
        <w:rPr>
          <w:rFonts w:cs="Arial Bold"/>
        </w:rPr>
        <w:t>Intercomparison</w:t>
      </w:r>
      <w:proofErr w:type="spellEnd"/>
      <w:r w:rsidR="002F661B" w:rsidRPr="0005324A">
        <w:rPr>
          <w:rFonts w:cs="Arial Bold"/>
        </w:rPr>
        <w:t xml:space="preserve"> held in 2015 at PMOD/WRC in Davos, Switzerland, and </w:t>
      </w:r>
      <w:r w:rsidR="00E6266D">
        <w:t>the calibration procedures to trace</w:t>
      </w:r>
      <w:r w:rsidR="002F661B">
        <w:t xml:space="preserve"> network </w:t>
      </w:r>
      <w:r w:rsidR="000A1811">
        <w:t xml:space="preserve">infrared measurements </w:t>
      </w:r>
      <w:r w:rsidR="002F661B">
        <w:t>to the WISG.</w:t>
      </w:r>
      <w:r w:rsidRPr="0005324A">
        <w:t xml:space="preserve"> </w:t>
      </w:r>
    </w:p>
    <w:p w14:paraId="27E593B5" w14:textId="2101DFB7" w:rsidR="0005324A" w:rsidRDefault="002F661B" w:rsidP="0005324A">
      <w:pPr>
        <w:pStyle w:val="ListParagraph"/>
        <w:numPr>
          <w:ilvl w:val="0"/>
          <w:numId w:val="20"/>
        </w:numPr>
        <w:tabs>
          <w:tab w:val="clear" w:pos="1134"/>
        </w:tabs>
        <w:spacing w:before="120" w:after="120"/>
        <w:jc w:val="left"/>
      </w:pPr>
      <w:r>
        <w:t>The</w:t>
      </w:r>
      <w:r w:rsidR="00E6266D">
        <w:t xml:space="preserve"> characterization of modern instruments that coul</w:t>
      </w:r>
      <w:r>
        <w:t xml:space="preserve">d </w:t>
      </w:r>
      <w:r w:rsidR="00E6266D" w:rsidRPr="00C507F4">
        <w:t>potentially be used as references for the measurement of terrestrial radiation</w:t>
      </w:r>
      <w:r>
        <w:t xml:space="preserve"> and their traceability to the International System of Units (SI)</w:t>
      </w:r>
      <w:r w:rsidR="000A1811">
        <w:t xml:space="preserve"> independent of the WISG</w:t>
      </w:r>
      <w:r w:rsidR="0005324A">
        <w:t xml:space="preserve">. </w:t>
      </w:r>
      <w:r>
        <w:t xml:space="preserve">These include the Active Cavity </w:t>
      </w:r>
      <w:proofErr w:type="spellStart"/>
      <w:r>
        <w:t>Pyrgeometer</w:t>
      </w:r>
      <w:proofErr w:type="spellEnd"/>
      <w:r>
        <w:t xml:space="preserve"> (ACP) developed by NREL, and the Infrared Integrating Sphere (IRIS) develop by PMOD/WRC.</w:t>
      </w:r>
      <w:r w:rsidR="0005324A" w:rsidRPr="0005324A">
        <w:t xml:space="preserve"> </w:t>
      </w:r>
    </w:p>
    <w:p w14:paraId="41D91C55" w14:textId="77777777" w:rsidR="00223FB2" w:rsidRDefault="00223FB2" w:rsidP="00223FB2">
      <w:pPr>
        <w:pStyle w:val="ListParagraph"/>
        <w:tabs>
          <w:tab w:val="clear" w:pos="1134"/>
        </w:tabs>
        <w:spacing w:before="120" w:after="120"/>
        <w:jc w:val="left"/>
      </w:pPr>
      <w:bookmarkStart w:id="3" w:name="_GoBack"/>
      <w:bookmarkEnd w:id="3"/>
    </w:p>
    <w:p w14:paraId="19D45ED9" w14:textId="77777777" w:rsidR="0088603E" w:rsidRPr="0088603E" w:rsidRDefault="00F64138" w:rsidP="0002148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b/>
          <w:bCs/>
        </w:rPr>
      </w:pPr>
      <w:r>
        <w:rPr>
          <w:rFonts w:cs="Arial Bold"/>
          <w:b/>
          <w:bCs/>
          <w:caps/>
        </w:rPr>
        <w:lastRenderedPageBreak/>
        <w:t xml:space="preserve">issues with the </w:t>
      </w:r>
      <w:r w:rsidR="0088603E">
        <w:rPr>
          <w:rFonts w:cs="Arial Bold"/>
          <w:b/>
          <w:bCs/>
          <w:caps/>
        </w:rPr>
        <w:t xml:space="preserve">traceabiliy of </w:t>
      </w:r>
      <w:r>
        <w:rPr>
          <w:rFonts w:cs="Arial Bold"/>
          <w:b/>
          <w:bCs/>
          <w:caps/>
        </w:rPr>
        <w:t>field measurements</w:t>
      </w:r>
    </w:p>
    <w:p w14:paraId="03476E92" w14:textId="396A6CF5" w:rsidR="00F64138" w:rsidRDefault="00F64138" w:rsidP="00F64138">
      <w:pPr>
        <w:pStyle w:val="ListParagraph"/>
        <w:tabs>
          <w:tab w:val="clear" w:pos="1134"/>
        </w:tabs>
        <w:spacing w:before="120" w:after="120"/>
        <w:ind w:left="0" w:firstLine="360"/>
        <w:contextualSpacing w:val="0"/>
        <w:jc w:val="left"/>
      </w:pPr>
      <w:r>
        <w:t>The meeting will be invited to confirm the appropriateness of the current practices to ensure the traceability of field measurement to SI, including</w:t>
      </w:r>
      <w:r w:rsidRPr="00210211">
        <w:rPr>
          <w:lang w:val="en-US"/>
        </w:rPr>
        <w:t xml:space="preserve"> the effectiveness of inter-comparisons to support and sustain the global traceability hierarchy of the WISG, and the </w:t>
      </w:r>
      <w:r>
        <w:rPr>
          <w:lang w:val="en-US"/>
        </w:rPr>
        <w:t xml:space="preserve">outputs of WMO </w:t>
      </w:r>
      <w:r w:rsidR="000A1811">
        <w:rPr>
          <w:lang w:val="en-US"/>
        </w:rPr>
        <w:t>World R</w:t>
      </w:r>
      <w:r>
        <w:rPr>
          <w:lang w:val="en-US"/>
        </w:rPr>
        <w:t xml:space="preserve">adiation </w:t>
      </w:r>
      <w:r w:rsidR="000A1811">
        <w:rPr>
          <w:lang w:val="en-US"/>
        </w:rPr>
        <w:t>C</w:t>
      </w:r>
      <w:r>
        <w:rPr>
          <w:lang w:val="en-US"/>
        </w:rPr>
        <w:t>entre</w:t>
      </w:r>
      <w:r w:rsidRPr="00210211">
        <w:rPr>
          <w:lang w:val="en-US"/>
        </w:rPr>
        <w:t>.</w:t>
      </w:r>
    </w:p>
    <w:p w14:paraId="6669924E" w14:textId="42E2C234" w:rsidR="003C2458" w:rsidRPr="00F64138" w:rsidRDefault="00F64138" w:rsidP="00F64138">
      <w:pPr>
        <w:pStyle w:val="ListParagraph"/>
        <w:tabs>
          <w:tab w:val="clear" w:pos="1134"/>
        </w:tabs>
        <w:spacing w:before="120" w:after="120"/>
        <w:ind w:left="0" w:firstLine="360"/>
        <w:contextualSpacing w:val="0"/>
        <w:jc w:val="left"/>
      </w:pPr>
      <w:r>
        <w:t xml:space="preserve">In the event that the current processes </w:t>
      </w:r>
      <w:r w:rsidR="000A1811">
        <w:t xml:space="preserve">and pathways </w:t>
      </w:r>
      <w:r>
        <w:t xml:space="preserve">would </w:t>
      </w:r>
      <w:r w:rsidR="000A1811">
        <w:t>need modification</w:t>
      </w:r>
      <w:r>
        <w:t>, the meeting will be invited to recommend updated processes, and associated activities that would have to be undertaken to support/achieve them.</w:t>
      </w:r>
    </w:p>
    <w:p w14:paraId="7B1EAE2D" w14:textId="77777777" w:rsidR="0088603E" w:rsidRPr="000667C6" w:rsidRDefault="0088603E" w:rsidP="00021485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>
        <w:rPr>
          <w:rFonts w:cs="Arial Bold"/>
          <w:b/>
          <w:bCs/>
          <w:caps/>
        </w:rPr>
        <w:t xml:space="preserve">Recommendations for the traceability of terrestrial radiation </w:t>
      </w:r>
      <w:r w:rsidRPr="000667C6">
        <w:rPr>
          <w:rFonts w:cs="Arial Bold"/>
          <w:b/>
          <w:bCs/>
          <w:caps/>
        </w:rPr>
        <w:t xml:space="preserve">measurements </w:t>
      </w:r>
    </w:p>
    <w:p w14:paraId="630CDE25" w14:textId="77777777" w:rsidR="003C2458" w:rsidRPr="000667C6" w:rsidRDefault="00B3607A" w:rsidP="003C2458">
      <w:pPr>
        <w:pStyle w:val="ListParagraph"/>
        <w:tabs>
          <w:tab w:val="clear" w:pos="1134"/>
        </w:tabs>
        <w:spacing w:before="120" w:after="120"/>
        <w:ind w:left="0" w:firstLine="357"/>
        <w:jc w:val="left"/>
      </w:pPr>
      <w:r w:rsidRPr="000667C6">
        <w:t>The meeting will be invited to develop recommendations related to the traceability of terrestrial radiation measurements for the attention of WMO</w:t>
      </w:r>
      <w:r w:rsidR="00E6266D">
        <w:t xml:space="preserve"> and BSRN</w:t>
      </w:r>
      <w:r w:rsidRPr="000667C6">
        <w:t xml:space="preserve">. </w:t>
      </w:r>
      <w:r w:rsidR="003C2458" w:rsidRPr="000667C6">
        <w:t>These will encompass among others:</w:t>
      </w:r>
    </w:p>
    <w:p w14:paraId="7FB31D8F" w14:textId="76577F06" w:rsidR="003C2458" w:rsidRPr="000667C6" w:rsidRDefault="003C2458">
      <w:pPr>
        <w:pStyle w:val="ListParagraph"/>
        <w:numPr>
          <w:ilvl w:val="0"/>
          <w:numId w:val="19"/>
        </w:numPr>
        <w:tabs>
          <w:tab w:val="clear" w:pos="1134"/>
        </w:tabs>
        <w:spacing w:before="120" w:after="120"/>
        <w:jc w:val="left"/>
      </w:pPr>
      <w:r w:rsidRPr="000667C6">
        <w:rPr>
          <w:lang w:val="en-US"/>
        </w:rPr>
        <w:t>Advise WMO of the effectiveness of the I</w:t>
      </w:r>
      <w:r w:rsidR="00125559">
        <w:rPr>
          <w:lang w:val="en-US"/>
        </w:rPr>
        <w:t xml:space="preserve">nternational </w:t>
      </w:r>
      <w:proofErr w:type="spellStart"/>
      <w:r w:rsidRPr="000667C6">
        <w:rPr>
          <w:lang w:val="en-US"/>
        </w:rPr>
        <w:t>P</w:t>
      </w:r>
      <w:r w:rsidR="00125559">
        <w:rPr>
          <w:lang w:val="en-US"/>
        </w:rPr>
        <w:t>yrgeometer</w:t>
      </w:r>
      <w:proofErr w:type="spellEnd"/>
      <w:r w:rsidR="00125559">
        <w:rPr>
          <w:lang w:val="en-US"/>
        </w:rPr>
        <w:t xml:space="preserve"> </w:t>
      </w:r>
      <w:proofErr w:type="spellStart"/>
      <w:r w:rsidRPr="000667C6">
        <w:rPr>
          <w:lang w:val="en-US"/>
        </w:rPr>
        <w:t>C</w:t>
      </w:r>
      <w:r w:rsidR="00125559">
        <w:rPr>
          <w:lang w:val="en-US"/>
        </w:rPr>
        <w:t>omparions</w:t>
      </w:r>
      <w:proofErr w:type="spellEnd"/>
      <w:r w:rsidRPr="000667C6">
        <w:rPr>
          <w:lang w:val="en-US"/>
        </w:rPr>
        <w:t xml:space="preserve"> to support and sustain the global traceability hierarchy of the WISG, and the outputs of WMO Radiation Centre’s Infrared </w:t>
      </w:r>
      <w:r w:rsidR="00125559">
        <w:rPr>
          <w:lang w:val="en-US"/>
        </w:rPr>
        <w:t>Radiation Centre</w:t>
      </w:r>
      <w:r w:rsidRPr="000667C6">
        <w:rPr>
          <w:lang w:val="en-US"/>
        </w:rPr>
        <w:t>.</w:t>
      </w:r>
    </w:p>
    <w:p w14:paraId="1581FB47" w14:textId="77777777" w:rsidR="00507C4B" w:rsidRPr="000667C6" w:rsidRDefault="003C2458" w:rsidP="003C2458">
      <w:pPr>
        <w:pStyle w:val="ListParagraph"/>
        <w:numPr>
          <w:ilvl w:val="0"/>
          <w:numId w:val="19"/>
        </w:numPr>
        <w:tabs>
          <w:tab w:val="clear" w:pos="1134"/>
        </w:tabs>
        <w:spacing w:before="120" w:after="120"/>
        <w:jc w:val="left"/>
      </w:pPr>
      <w:r w:rsidRPr="000667C6">
        <w:t>Advise WMO if it should still define and be accountable for the longwave reference embodied in the</w:t>
      </w:r>
      <w:r w:rsidR="00210211" w:rsidRPr="000667C6">
        <w:t xml:space="preserve"> </w:t>
      </w:r>
      <w:r w:rsidRPr="000667C6">
        <w:t>WISG, and if not recommend options.</w:t>
      </w:r>
    </w:p>
    <w:p w14:paraId="36917DE1" w14:textId="77777777" w:rsidR="003C2458" w:rsidRPr="007F1CBA" w:rsidRDefault="00210211" w:rsidP="00210211">
      <w:pPr>
        <w:pStyle w:val="ListParagraph"/>
        <w:numPr>
          <w:ilvl w:val="0"/>
          <w:numId w:val="19"/>
        </w:numPr>
        <w:tabs>
          <w:tab w:val="clear" w:pos="1134"/>
        </w:tabs>
        <w:spacing w:before="120" w:after="120"/>
        <w:jc w:val="left"/>
      </w:pPr>
      <w:r w:rsidRPr="000667C6">
        <w:t>Advise BSRN</w:t>
      </w:r>
      <w:r w:rsidR="003C2458" w:rsidRPr="000667C6">
        <w:rPr>
          <w:lang w:val="en-US"/>
        </w:rPr>
        <w:t xml:space="preserve"> on requirements and timeliness for a mod</w:t>
      </w:r>
      <w:r w:rsidRPr="000667C6">
        <w:rPr>
          <w:lang w:val="en-US"/>
        </w:rPr>
        <w:t>ification of the BSRN data base.</w:t>
      </w:r>
    </w:p>
    <w:p w14:paraId="0696E53A" w14:textId="77777777" w:rsidR="007F1CBA" w:rsidRPr="000667C6" w:rsidRDefault="007F1CBA" w:rsidP="00210211">
      <w:pPr>
        <w:pStyle w:val="ListParagraph"/>
        <w:numPr>
          <w:ilvl w:val="0"/>
          <w:numId w:val="19"/>
        </w:numPr>
        <w:tabs>
          <w:tab w:val="clear" w:pos="1134"/>
        </w:tabs>
        <w:spacing w:before="120" w:after="120"/>
        <w:jc w:val="left"/>
      </w:pPr>
      <w:r>
        <w:rPr>
          <w:lang w:val="en-US"/>
        </w:rPr>
        <w:t>Advise WMO of any issue that may have been identified in the review process and that will require follow-up activities.</w:t>
      </w:r>
    </w:p>
    <w:p w14:paraId="65E4964B" w14:textId="15B0FCA6" w:rsidR="000667C6" w:rsidRPr="000667C6" w:rsidRDefault="000667C6" w:rsidP="00223FB2">
      <w:pPr>
        <w:tabs>
          <w:tab w:val="clear" w:pos="1134"/>
        </w:tabs>
        <w:spacing w:before="120" w:after="120"/>
        <w:ind w:firstLine="360"/>
        <w:jc w:val="left"/>
        <w:rPr>
          <w:lang w:val="en-US"/>
        </w:rPr>
      </w:pPr>
      <w:r w:rsidRPr="000667C6">
        <w:t xml:space="preserve">The meeting will </w:t>
      </w:r>
      <w:r w:rsidR="007F1CBA">
        <w:t xml:space="preserve">also </w:t>
      </w:r>
      <w:r w:rsidRPr="000667C6">
        <w:t>be invited to provide</w:t>
      </w:r>
      <w:r w:rsidRPr="000667C6">
        <w:rPr>
          <w:lang w:val="en-US"/>
        </w:rPr>
        <w:t xml:space="preserve"> advice on the potential impacts of proposed changes to stakeholders including changes to traceability requirements.</w:t>
      </w:r>
    </w:p>
    <w:p w14:paraId="0D66AC3E" w14:textId="77777777" w:rsidR="00C03F8F" w:rsidRPr="003B6DFC" w:rsidRDefault="00654B5F" w:rsidP="009A73A3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0667C6">
        <w:rPr>
          <w:rFonts w:cs="Arial Bold"/>
          <w:b/>
          <w:bCs/>
          <w:caps/>
        </w:rPr>
        <w:t>O</w:t>
      </w:r>
      <w:r w:rsidR="00C03F8F" w:rsidRPr="000667C6">
        <w:rPr>
          <w:rFonts w:cs="Arial Bold"/>
          <w:b/>
          <w:bCs/>
          <w:caps/>
        </w:rPr>
        <w:t>ther Bus</w:t>
      </w:r>
      <w:r w:rsidR="00C03F8F" w:rsidRPr="003B6DFC">
        <w:rPr>
          <w:rFonts w:cs="Arial Bold"/>
          <w:b/>
          <w:bCs/>
          <w:caps/>
        </w:rPr>
        <w:t>iness</w:t>
      </w:r>
    </w:p>
    <w:p w14:paraId="36EA76B4" w14:textId="77777777" w:rsidR="00EA5F9B" w:rsidRPr="003B6DFC" w:rsidRDefault="00D866DB" w:rsidP="009A73A3">
      <w:pPr>
        <w:tabs>
          <w:tab w:val="clear" w:pos="1134"/>
        </w:tabs>
        <w:spacing w:before="120" w:after="120"/>
        <w:ind w:firstLine="360"/>
        <w:jc w:val="left"/>
      </w:pPr>
      <w:r w:rsidRPr="003B6DFC">
        <w:t>Under this agenda item, the meeting will be invited to consider any other issue brought forward by participants at the meeting</w:t>
      </w:r>
      <w:r w:rsidR="0007688B" w:rsidRPr="003B6DFC">
        <w:t>.</w:t>
      </w:r>
    </w:p>
    <w:p w14:paraId="5BD8A95C" w14:textId="77777777" w:rsidR="002F5517" w:rsidRPr="003B6DFC" w:rsidRDefault="00C03F8F" w:rsidP="009A73A3">
      <w:pPr>
        <w:pStyle w:val="ListParagraph"/>
        <w:numPr>
          <w:ilvl w:val="0"/>
          <w:numId w:val="7"/>
        </w:numPr>
        <w:tabs>
          <w:tab w:val="clear" w:pos="1134"/>
        </w:tabs>
        <w:spacing w:before="240" w:after="120"/>
        <w:ind w:left="357" w:hanging="357"/>
        <w:contextualSpacing w:val="0"/>
        <w:jc w:val="left"/>
        <w:rPr>
          <w:rFonts w:cs="Arial Bold"/>
          <w:b/>
          <w:bCs/>
          <w:caps/>
        </w:rPr>
      </w:pPr>
      <w:r w:rsidRPr="003B6DFC">
        <w:rPr>
          <w:rFonts w:cs="Arial Bold"/>
          <w:b/>
          <w:bCs/>
          <w:caps/>
        </w:rPr>
        <w:t>Clos</w:t>
      </w:r>
      <w:r w:rsidR="00AE5A18" w:rsidRPr="003B6DFC">
        <w:rPr>
          <w:rFonts w:cs="Arial Bold"/>
          <w:b/>
          <w:bCs/>
          <w:caps/>
        </w:rPr>
        <w:t>ure</w:t>
      </w:r>
      <w:r w:rsidRPr="003B6DFC">
        <w:rPr>
          <w:rFonts w:cs="Arial Bold"/>
          <w:b/>
          <w:bCs/>
          <w:caps/>
        </w:rPr>
        <w:t xml:space="preserve"> of the Session</w:t>
      </w:r>
    </w:p>
    <w:p w14:paraId="21E623B0" w14:textId="77777777" w:rsidR="00D866DB" w:rsidRPr="003B6DFC" w:rsidRDefault="00D866DB" w:rsidP="0088603E">
      <w:pPr>
        <w:pStyle w:val="ListParagraph"/>
        <w:spacing w:before="120" w:after="120"/>
        <w:ind w:left="360"/>
      </w:pPr>
      <w:r w:rsidRPr="003B6DFC">
        <w:t>The Session is tentatively scheduled to</w:t>
      </w:r>
      <w:r w:rsidR="0088603E">
        <w:t xml:space="preserve"> close around 17:00 on Friday 17 November </w:t>
      </w:r>
      <w:r w:rsidRPr="003B6DFC">
        <w:t>2017.</w:t>
      </w:r>
    </w:p>
    <w:p w14:paraId="14F3D4AE" w14:textId="77777777" w:rsidR="00D702F3" w:rsidRPr="003B6DFC" w:rsidRDefault="00D702F3" w:rsidP="00D702F3">
      <w:pPr>
        <w:pStyle w:val="Heading1"/>
        <w:rPr>
          <w:b w:val="0"/>
          <w:bCs w:val="0"/>
          <w:sz w:val="20"/>
          <w:szCs w:val="20"/>
        </w:rPr>
      </w:pPr>
      <w:r w:rsidRPr="003B6DFC">
        <w:rPr>
          <w:b w:val="0"/>
          <w:bCs w:val="0"/>
          <w:sz w:val="20"/>
          <w:szCs w:val="20"/>
        </w:rPr>
        <w:t>__________</w:t>
      </w:r>
    </w:p>
    <w:p w14:paraId="6932E476" w14:textId="77777777" w:rsidR="00306445" w:rsidRPr="003B6DFC" w:rsidRDefault="00306445" w:rsidP="00306445">
      <w:pPr>
        <w:pStyle w:val="WMOBodyText"/>
        <w:rPr>
          <w:szCs w:val="20"/>
          <w:lang w:eastAsia="en-US"/>
        </w:rPr>
      </w:pPr>
    </w:p>
    <w:bookmarkEnd w:id="2"/>
    <w:sectPr w:rsidR="00306445" w:rsidRPr="003B6DFC" w:rsidSect="00BE475B">
      <w:headerReference w:type="even" r:id="rId10"/>
      <w:headerReference w:type="default" r:id="rId11"/>
      <w:headerReference w:type="first" r:id="rId12"/>
      <w:pgSz w:w="11907" w:h="16840" w:code="9"/>
      <w:pgMar w:top="1134" w:right="1134" w:bottom="851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03E24" w14:textId="77777777" w:rsidR="00FB4E90" w:rsidRDefault="00FB4E90">
      <w:r>
        <w:separator/>
      </w:r>
    </w:p>
    <w:p w14:paraId="20BCCB70" w14:textId="77777777" w:rsidR="00FB4E90" w:rsidRDefault="00FB4E90"/>
    <w:p w14:paraId="05D551CC" w14:textId="77777777" w:rsidR="00FB4E90" w:rsidRDefault="00FB4E90"/>
  </w:endnote>
  <w:endnote w:type="continuationSeparator" w:id="0">
    <w:p w14:paraId="6454EDD4" w14:textId="77777777" w:rsidR="00FB4E90" w:rsidRDefault="00FB4E90">
      <w:r>
        <w:continuationSeparator/>
      </w:r>
    </w:p>
    <w:p w14:paraId="2934D0A8" w14:textId="77777777" w:rsidR="00FB4E90" w:rsidRDefault="00FB4E90"/>
    <w:p w14:paraId="6A35936C" w14:textId="77777777" w:rsidR="00FB4E90" w:rsidRDefault="00FB4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68FED" w14:textId="77777777" w:rsidR="00FB4E90" w:rsidRDefault="00FB4E90">
      <w:r>
        <w:separator/>
      </w:r>
    </w:p>
  </w:footnote>
  <w:footnote w:type="continuationSeparator" w:id="0">
    <w:p w14:paraId="048C16FF" w14:textId="77777777" w:rsidR="00FB4E90" w:rsidRDefault="00FB4E90">
      <w:r>
        <w:continuationSeparator/>
      </w:r>
    </w:p>
    <w:p w14:paraId="0D5AE8CA" w14:textId="77777777" w:rsidR="00FB4E90" w:rsidRDefault="00FB4E90"/>
    <w:p w14:paraId="73A1510A" w14:textId="77777777" w:rsidR="00FB4E90" w:rsidRDefault="00FB4E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3CBBB" w14:textId="77777777" w:rsidR="001A751F" w:rsidRDefault="00223FB2">
    <w:pPr>
      <w:pStyle w:val="Header"/>
    </w:pPr>
    <w:r>
      <w:rPr>
        <w:noProof/>
      </w:rPr>
      <w:pict w14:anchorId="7A2F0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50pt;height:50pt;z-index:251655680;visibility:hidden">
          <v:path gradientshapeok="f"/>
          <o:lock v:ext="edit" selection="t"/>
        </v:shape>
      </w:pict>
    </w:r>
  </w:p>
  <w:p w14:paraId="67FBA643" w14:textId="77777777" w:rsidR="0049242F" w:rsidRDefault="0049242F"/>
  <w:p w14:paraId="3C2656AB" w14:textId="77777777" w:rsidR="001A751F" w:rsidRDefault="00223FB2">
    <w:pPr>
      <w:pStyle w:val="Header"/>
    </w:pPr>
    <w:r>
      <w:rPr>
        <w:noProof/>
      </w:rPr>
      <w:pict w14:anchorId="78344595">
        <v:shape id="_x0000_s2052" type="#_x0000_t75" style="position:absolute;left:0;text-align:left;margin-left:0;margin-top:0;width:50pt;height:50pt;z-index:251656704;visibility:hidden">
          <v:path gradientshapeok="f"/>
          <o:lock v:ext="edit" selection="t"/>
        </v:shape>
      </w:pict>
    </w:r>
  </w:p>
  <w:p w14:paraId="25D7C167" w14:textId="77777777" w:rsidR="0049242F" w:rsidRDefault="0049242F"/>
  <w:p w14:paraId="612359BE" w14:textId="77777777" w:rsidR="001A751F" w:rsidRDefault="00223FB2">
    <w:pPr>
      <w:pStyle w:val="Header"/>
    </w:pPr>
    <w:r>
      <w:rPr>
        <w:noProof/>
      </w:rPr>
      <w:pict w14:anchorId="085E5FCA">
        <v:shape id="_x0000_s2051" type="#_x0000_t75" style="position:absolute;left:0;text-align:left;margin-left:0;margin-top:0;width:50pt;height:50pt;z-index:251657728;visibility:hidden">
          <v:path gradientshapeok="f"/>
          <o:lock v:ext="edit" selection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7CF4" w14:textId="77777777" w:rsidR="001A751F" w:rsidRDefault="00223FB2">
    <w:pPr>
      <w:pStyle w:val="Header"/>
    </w:pPr>
    <w:r>
      <w:pict w14:anchorId="278D89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8752;visibility:hidden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2D9F5" w14:textId="77777777" w:rsidR="001A751F" w:rsidRDefault="00223FB2">
    <w:pPr>
      <w:pStyle w:val="Header"/>
    </w:pPr>
    <w:r>
      <w:pict w14:anchorId="7BD52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0pt;height:50pt;z-index:25165977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E6A"/>
    <w:multiLevelType w:val="multilevel"/>
    <w:tmpl w:val="B6A42C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3311F"/>
    <w:multiLevelType w:val="hybridMultilevel"/>
    <w:tmpl w:val="6FD2647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66569"/>
    <w:multiLevelType w:val="hybridMultilevel"/>
    <w:tmpl w:val="AA08A614"/>
    <w:lvl w:ilvl="0" w:tplc="9E604BD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1"/>
  </w:num>
  <w:num w:numId="20">
    <w:abstractNumId w:val="17"/>
  </w:num>
  <w:numIdMacAtCleanup w:val="6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Forgan">
    <w15:presenceInfo w15:providerId="Windows Live" w15:userId="2d5a2708d5cb7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212C2"/>
    <w:rsid w:val="00021485"/>
    <w:rsid w:val="0002669E"/>
    <w:rsid w:val="0003137A"/>
    <w:rsid w:val="00041171"/>
    <w:rsid w:val="00050F8E"/>
    <w:rsid w:val="0005324A"/>
    <w:rsid w:val="000573AD"/>
    <w:rsid w:val="000667C6"/>
    <w:rsid w:val="000671E5"/>
    <w:rsid w:val="00072F17"/>
    <w:rsid w:val="0007688B"/>
    <w:rsid w:val="000806D8"/>
    <w:rsid w:val="00082C80"/>
    <w:rsid w:val="00083847"/>
    <w:rsid w:val="00083C36"/>
    <w:rsid w:val="000A1811"/>
    <w:rsid w:val="000A69BF"/>
    <w:rsid w:val="000C225A"/>
    <w:rsid w:val="000C5D81"/>
    <w:rsid w:val="000C6781"/>
    <w:rsid w:val="000D4FA3"/>
    <w:rsid w:val="000F1874"/>
    <w:rsid w:val="000F5E49"/>
    <w:rsid w:val="000F7A87"/>
    <w:rsid w:val="00111BFD"/>
    <w:rsid w:val="0011498B"/>
    <w:rsid w:val="00120147"/>
    <w:rsid w:val="00123140"/>
    <w:rsid w:val="00125559"/>
    <w:rsid w:val="001426E3"/>
    <w:rsid w:val="00145C34"/>
    <w:rsid w:val="00163BA3"/>
    <w:rsid w:val="00166B31"/>
    <w:rsid w:val="0017786A"/>
    <w:rsid w:val="00180771"/>
    <w:rsid w:val="001809DE"/>
    <w:rsid w:val="001930A3"/>
    <w:rsid w:val="00194CB6"/>
    <w:rsid w:val="001A341E"/>
    <w:rsid w:val="001A751F"/>
    <w:rsid w:val="001B0EA6"/>
    <w:rsid w:val="001B1CDF"/>
    <w:rsid w:val="001B56F4"/>
    <w:rsid w:val="001C5462"/>
    <w:rsid w:val="001D0190"/>
    <w:rsid w:val="001D6302"/>
    <w:rsid w:val="001E4B11"/>
    <w:rsid w:val="001E7DD0"/>
    <w:rsid w:val="001F1BDA"/>
    <w:rsid w:val="0020095E"/>
    <w:rsid w:val="00210211"/>
    <w:rsid w:val="00210D30"/>
    <w:rsid w:val="00214938"/>
    <w:rsid w:val="00223FB2"/>
    <w:rsid w:val="00234A34"/>
    <w:rsid w:val="002363F1"/>
    <w:rsid w:val="0025255D"/>
    <w:rsid w:val="002614CE"/>
    <w:rsid w:val="00270480"/>
    <w:rsid w:val="002779AF"/>
    <w:rsid w:val="002823D8"/>
    <w:rsid w:val="0028531A"/>
    <w:rsid w:val="00285446"/>
    <w:rsid w:val="00295593"/>
    <w:rsid w:val="002A3483"/>
    <w:rsid w:val="002A386C"/>
    <w:rsid w:val="002A7A9F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661B"/>
    <w:rsid w:val="00301E8C"/>
    <w:rsid w:val="00306445"/>
    <w:rsid w:val="00311855"/>
    <w:rsid w:val="00316AA8"/>
    <w:rsid w:val="00320009"/>
    <w:rsid w:val="00320BA2"/>
    <w:rsid w:val="003210F3"/>
    <w:rsid w:val="0032424A"/>
    <w:rsid w:val="0034264B"/>
    <w:rsid w:val="00344E6F"/>
    <w:rsid w:val="0037623A"/>
    <w:rsid w:val="00380AF7"/>
    <w:rsid w:val="00381331"/>
    <w:rsid w:val="00394A05"/>
    <w:rsid w:val="00397770"/>
    <w:rsid w:val="00397880"/>
    <w:rsid w:val="003A7016"/>
    <w:rsid w:val="003B6DFC"/>
    <w:rsid w:val="003C2458"/>
    <w:rsid w:val="003E4046"/>
    <w:rsid w:val="003F125B"/>
    <w:rsid w:val="003F6655"/>
    <w:rsid w:val="003F7B3F"/>
    <w:rsid w:val="00400A34"/>
    <w:rsid w:val="0041078D"/>
    <w:rsid w:val="00410A71"/>
    <w:rsid w:val="00416F97"/>
    <w:rsid w:val="00417A88"/>
    <w:rsid w:val="00420378"/>
    <w:rsid w:val="00425CE4"/>
    <w:rsid w:val="00427307"/>
    <w:rsid w:val="0043039B"/>
    <w:rsid w:val="004423FE"/>
    <w:rsid w:val="0044282E"/>
    <w:rsid w:val="00445C35"/>
    <w:rsid w:val="004667E7"/>
    <w:rsid w:val="00475797"/>
    <w:rsid w:val="004811DD"/>
    <w:rsid w:val="00491766"/>
    <w:rsid w:val="0049242F"/>
    <w:rsid w:val="0049253B"/>
    <w:rsid w:val="004A140B"/>
    <w:rsid w:val="004B7BAA"/>
    <w:rsid w:val="004B7CEC"/>
    <w:rsid w:val="004C2DF7"/>
    <w:rsid w:val="004C4E0B"/>
    <w:rsid w:val="004D497E"/>
    <w:rsid w:val="004E2FC5"/>
    <w:rsid w:val="004E4809"/>
    <w:rsid w:val="004E6352"/>
    <w:rsid w:val="004E6460"/>
    <w:rsid w:val="004F6B46"/>
    <w:rsid w:val="0050695F"/>
    <w:rsid w:val="00507C4B"/>
    <w:rsid w:val="00525B80"/>
    <w:rsid w:val="0053098F"/>
    <w:rsid w:val="00546D8E"/>
    <w:rsid w:val="0055660B"/>
    <w:rsid w:val="00571AE1"/>
    <w:rsid w:val="00575509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C1031"/>
    <w:rsid w:val="005C53A6"/>
    <w:rsid w:val="005D03D9"/>
    <w:rsid w:val="005D666D"/>
    <w:rsid w:val="005E1F4C"/>
    <w:rsid w:val="006108ED"/>
    <w:rsid w:val="00615AB0"/>
    <w:rsid w:val="0061778C"/>
    <w:rsid w:val="00636B90"/>
    <w:rsid w:val="0064738B"/>
    <w:rsid w:val="006508EA"/>
    <w:rsid w:val="00654B5F"/>
    <w:rsid w:val="0068333D"/>
    <w:rsid w:val="006908AF"/>
    <w:rsid w:val="00697DB5"/>
    <w:rsid w:val="006A492A"/>
    <w:rsid w:val="006A62CB"/>
    <w:rsid w:val="006C25F8"/>
    <w:rsid w:val="006C65B2"/>
    <w:rsid w:val="006D5576"/>
    <w:rsid w:val="006D71E9"/>
    <w:rsid w:val="006E5FE9"/>
    <w:rsid w:val="006E766D"/>
    <w:rsid w:val="006F38E1"/>
    <w:rsid w:val="006F4489"/>
    <w:rsid w:val="006F501F"/>
    <w:rsid w:val="00705C9F"/>
    <w:rsid w:val="007111CC"/>
    <w:rsid w:val="00716951"/>
    <w:rsid w:val="00725988"/>
    <w:rsid w:val="00735D9E"/>
    <w:rsid w:val="0075136C"/>
    <w:rsid w:val="00754CF7"/>
    <w:rsid w:val="007555A7"/>
    <w:rsid w:val="00771A68"/>
    <w:rsid w:val="00777D58"/>
    <w:rsid w:val="00780B62"/>
    <w:rsid w:val="00785318"/>
    <w:rsid w:val="007973EC"/>
    <w:rsid w:val="007B2260"/>
    <w:rsid w:val="007C212A"/>
    <w:rsid w:val="007C6931"/>
    <w:rsid w:val="007E7D21"/>
    <w:rsid w:val="007F1CBA"/>
    <w:rsid w:val="007F482F"/>
    <w:rsid w:val="00807CC5"/>
    <w:rsid w:val="00823B49"/>
    <w:rsid w:val="00831751"/>
    <w:rsid w:val="00835B42"/>
    <w:rsid w:val="008374D7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8603E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F0615"/>
    <w:rsid w:val="008F1FDB"/>
    <w:rsid w:val="00902C35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75D76"/>
    <w:rsid w:val="00982E51"/>
    <w:rsid w:val="009874B9"/>
    <w:rsid w:val="00990844"/>
    <w:rsid w:val="00993581"/>
    <w:rsid w:val="009A288C"/>
    <w:rsid w:val="009A73A3"/>
    <w:rsid w:val="009B6697"/>
    <w:rsid w:val="009C4C04"/>
    <w:rsid w:val="009C7EEA"/>
    <w:rsid w:val="009F7566"/>
    <w:rsid w:val="00A04B9D"/>
    <w:rsid w:val="00A06BFE"/>
    <w:rsid w:val="00A10F5D"/>
    <w:rsid w:val="00A14AF1"/>
    <w:rsid w:val="00A16891"/>
    <w:rsid w:val="00A332E8"/>
    <w:rsid w:val="00A3416E"/>
    <w:rsid w:val="00A35AF5"/>
    <w:rsid w:val="00A35DDF"/>
    <w:rsid w:val="00A36CBA"/>
    <w:rsid w:val="00A50291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C4CDB"/>
    <w:rsid w:val="00AE5A18"/>
    <w:rsid w:val="00AF638A"/>
    <w:rsid w:val="00B00141"/>
    <w:rsid w:val="00B009AA"/>
    <w:rsid w:val="00B030C8"/>
    <w:rsid w:val="00B056E7"/>
    <w:rsid w:val="00B05B71"/>
    <w:rsid w:val="00B10035"/>
    <w:rsid w:val="00B123C3"/>
    <w:rsid w:val="00B165E6"/>
    <w:rsid w:val="00B21F6F"/>
    <w:rsid w:val="00B23191"/>
    <w:rsid w:val="00B235DB"/>
    <w:rsid w:val="00B27999"/>
    <w:rsid w:val="00B3607A"/>
    <w:rsid w:val="00B548A2"/>
    <w:rsid w:val="00B56934"/>
    <w:rsid w:val="00B72444"/>
    <w:rsid w:val="00B7277D"/>
    <w:rsid w:val="00B7303E"/>
    <w:rsid w:val="00B93B62"/>
    <w:rsid w:val="00B953D1"/>
    <w:rsid w:val="00BA30D0"/>
    <w:rsid w:val="00BB35A9"/>
    <w:rsid w:val="00BE475B"/>
    <w:rsid w:val="00BE64B3"/>
    <w:rsid w:val="00C03F8F"/>
    <w:rsid w:val="00C04BD2"/>
    <w:rsid w:val="00C13EEC"/>
    <w:rsid w:val="00C156A4"/>
    <w:rsid w:val="00C20FAA"/>
    <w:rsid w:val="00C2459D"/>
    <w:rsid w:val="00C354A2"/>
    <w:rsid w:val="00C42C95"/>
    <w:rsid w:val="00C439C9"/>
    <w:rsid w:val="00C507F4"/>
    <w:rsid w:val="00C55E5B"/>
    <w:rsid w:val="00C720A4"/>
    <w:rsid w:val="00C7611C"/>
    <w:rsid w:val="00C83893"/>
    <w:rsid w:val="00C90F1A"/>
    <w:rsid w:val="00C93633"/>
    <w:rsid w:val="00C94097"/>
    <w:rsid w:val="00C95F90"/>
    <w:rsid w:val="00CA4269"/>
    <w:rsid w:val="00CA6A8D"/>
    <w:rsid w:val="00CA7330"/>
    <w:rsid w:val="00CB64F0"/>
    <w:rsid w:val="00CC2909"/>
    <w:rsid w:val="00D032A3"/>
    <w:rsid w:val="00D05E6F"/>
    <w:rsid w:val="00D33442"/>
    <w:rsid w:val="00D44BAD"/>
    <w:rsid w:val="00D4569B"/>
    <w:rsid w:val="00D45B55"/>
    <w:rsid w:val="00D702F3"/>
    <w:rsid w:val="00D7097B"/>
    <w:rsid w:val="00D8031C"/>
    <w:rsid w:val="00D866DB"/>
    <w:rsid w:val="00D870B3"/>
    <w:rsid w:val="00D91DFA"/>
    <w:rsid w:val="00DB1AB2"/>
    <w:rsid w:val="00DC0DA2"/>
    <w:rsid w:val="00DD035B"/>
    <w:rsid w:val="00DD1EB7"/>
    <w:rsid w:val="00DD3A65"/>
    <w:rsid w:val="00DD62C6"/>
    <w:rsid w:val="00E00498"/>
    <w:rsid w:val="00E2617A"/>
    <w:rsid w:val="00E538E6"/>
    <w:rsid w:val="00E6266D"/>
    <w:rsid w:val="00E802A2"/>
    <w:rsid w:val="00E82E7A"/>
    <w:rsid w:val="00E85C0B"/>
    <w:rsid w:val="00EA39E6"/>
    <w:rsid w:val="00EA5F9B"/>
    <w:rsid w:val="00EB4E90"/>
    <w:rsid w:val="00ED67AF"/>
    <w:rsid w:val="00EE128C"/>
    <w:rsid w:val="00EF66D9"/>
    <w:rsid w:val="00EF6BA5"/>
    <w:rsid w:val="00EF780D"/>
    <w:rsid w:val="00EF7A98"/>
    <w:rsid w:val="00F0267E"/>
    <w:rsid w:val="00F2163C"/>
    <w:rsid w:val="00F33186"/>
    <w:rsid w:val="00F474C9"/>
    <w:rsid w:val="00F61675"/>
    <w:rsid w:val="00F64138"/>
    <w:rsid w:val="00F6686B"/>
    <w:rsid w:val="00F677A0"/>
    <w:rsid w:val="00F67F74"/>
    <w:rsid w:val="00F73DE3"/>
    <w:rsid w:val="00F84DD2"/>
    <w:rsid w:val="00F86BA9"/>
    <w:rsid w:val="00FA26DF"/>
    <w:rsid w:val="00FB0872"/>
    <w:rsid w:val="00FB4E90"/>
    <w:rsid w:val="00FB54CC"/>
    <w:rsid w:val="00FD1A37"/>
    <w:rsid w:val="00FF0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6184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4651DE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4651DE"/>
    <w:rsid w:val="005C6B75"/>
    <w:rsid w:val="006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5FCD597-5F9E-4D99-BD96-27775E1DDD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4632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Secretariat</dc:creator>
  <cp:keywords>CIMO/TT-RadRef-1</cp:keywords>
  <dc:description>Commission for Instruments and Methods of Observation OPAG on Remote-Sensing Technologies</dc:description>
  <cp:lastModifiedBy>Isabelle Ruedi</cp:lastModifiedBy>
  <cp:revision>3</cp:revision>
  <cp:lastPrinted>2017-05-18T14:45:00Z</cp:lastPrinted>
  <dcterms:created xsi:type="dcterms:W3CDTF">2017-11-07T12:25:00Z</dcterms:created>
  <dcterms:modified xsi:type="dcterms:W3CDTF">2017-11-07T12:35:00Z</dcterms:modified>
  <cp:category>Doc. 1.2(2)</cp:category>
  <cp:contentStatus>DRAFT 1</cp:contentStatus>
</cp:coreProperties>
</file>