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576"/>
      </w:tblGrid>
      <w:tr w:rsidR="00100A31">
        <w:trPr>
          <w:trHeight w:val="2880"/>
          <w:jc w:val="center"/>
        </w:trPr>
        <w:tc>
          <w:tcPr>
            <w:tcW w:w="5000" w:type="pct"/>
          </w:tcPr>
          <w:p w:rsidR="00100A31" w:rsidRDefault="00100A31" w:rsidP="00A56BC5">
            <w:pPr>
              <w:pStyle w:val="NoSpacing"/>
              <w:jc w:val="center"/>
              <w:rPr>
                <w:rFonts w:ascii="Cambria" w:hAnsi="Cambria"/>
                <w:caps/>
              </w:rPr>
            </w:pPr>
          </w:p>
        </w:tc>
      </w:tr>
      <w:tr w:rsidR="00100A31">
        <w:trPr>
          <w:trHeight w:val="1440"/>
          <w:jc w:val="center"/>
        </w:trPr>
        <w:tc>
          <w:tcPr>
            <w:tcW w:w="5000" w:type="pct"/>
            <w:tcBorders>
              <w:bottom w:val="single" w:sz="4" w:space="0" w:color="4F81BD"/>
            </w:tcBorders>
            <w:vAlign w:val="center"/>
          </w:tcPr>
          <w:p w:rsidR="00100A31" w:rsidRDefault="00100A31" w:rsidP="00A56BC5">
            <w:pPr>
              <w:pStyle w:val="NoSpacing"/>
              <w:jc w:val="center"/>
              <w:rPr>
                <w:rFonts w:ascii="Cambria" w:hAnsi="Cambria"/>
                <w:sz w:val="80"/>
                <w:szCs w:val="80"/>
              </w:rPr>
            </w:pPr>
            <w:r>
              <w:rPr>
                <w:rFonts w:ascii="Cambria" w:hAnsi="Cambria"/>
                <w:sz w:val="80"/>
                <w:szCs w:val="80"/>
              </w:rPr>
              <w:t>EDR Turbulence Implementation Plan</w:t>
            </w:r>
          </w:p>
        </w:tc>
      </w:tr>
      <w:tr w:rsidR="00100A31">
        <w:trPr>
          <w:trHeight w:val="720"/>
          <w:jc w:val="center"/>
        </w:trPr>
        <w:tc>
          <w:tcPr>
            <w:tcW w:w="5000" w:type="pct"/>
            <w:tcBorders>
              <w:top w:val="single" w:sz="4" w:space="0" w:color="4F81BD"/>
            </w:tcBorders>
            <w:vAlign w:val="center"/>
          </w:tcPr>
          <w:p w:rsidR="00100A31" w:rsidRDefault="00100A31" w:rsidP="00A56BC5">
            <w:pPr>
              <w:pStyle w:val="NoSpacing"/>
              <w:jc w:val="center"/>
              <w:rPr>
                <w:rFonts w:ascii="Cambria" w:hAnsi="Cambria"/>
                <w:sz w:val="44"/>
                <w:szCs w:val="44"/>
              </w:rPr>
            </w:pPr>
            <w:r>
              <w:rPr>
                <w:rFonts w:ascii="Cambria" w:hAnsi="Cambria"/>
                <w:sz w:val="44"/>
                <w:szCs w:val="44"/>
              </w:rPr>
              <w:t>DRAFT</w:t>
            </w:r>
          </w:p>
        </w:tc>
      </w:tr>
      <w:tr w:rsidR="00100A31">
        <w:trPr>
          <w:trHeight w:val="360"/>
          <w:jc w:val="center"/>
        </w:trPr>
        <w:tc>
          <w:tcPr>
            <w:tcW w:w="5000" w:type="pct"/>
            <w:vAlign w:val="center"/>
          </w:tcPr>
          <w:p w:rsidR="00100A31" w:rsidRPr="002F536A" w:rsidRDefault="00100A31">
            <w:pPr>
              <w:pStyle w:val="NoSpacing"/>
              <w:jc w:val="center"/>
            </w:pPr>
          </w:p>
        </w:tc>
      </w:tr>
      <w:tr w:rsidR="00100A31">
        <w:trPr>
          <w:trHeight w:val="360"/>
          <w:jc w:val="center"/>
        </w:trPr>
        <w:tc>
          <w:tcPr>
            <w:tcW w:w="5000" w:type="pct"/>
            <w:vAlign w:val="center"/>
          </w:tcPr>
          <w:p w:rsidR="00100A31" w:rsidRPr="002F536A" w:rsidRDefault="00100A31">
            <w:pPr>
              <w:pStyle w:val="NoSpacing"/>
              <w:jc w:val="center"/>
              <w:rPr>
                <w:b/>
                <w:bCs/>
              </w:rPr>
            </w:pPr>
            <w:r w:rsidRPr="002F536A">
              <w:rPr>
                <w:b/>
                <w:bCs/>
              </w:rPr>
              <w:t>Gregory Meymaris, NCAR</w:t>
            </w:r>
          </w:p>
        </w:tc>
      </w:tr>
      <w:tr w:rsidR="00100A31">
        <w:trPr>
          <w:trHeight w:val="360"/>
          <w:jc w:val="center"/>
        </w:trPr>
        <w:tc>
          <w:tcPr>
            <w:tcW w:w="5000" w:type="pct"/>
            <w:vAlign w:val="center"/>
          </w:tcPr>
          <w:p w:rsidR="00100A31" w:rsidRPr="002F536A" w:rsidRDefault="00100A31" w:rsidP="00A56BC5">
            <w:pPr>
              <w:pStyle w:val="NoSpacing"/>
              <w:jc w:val="center"/>
              <w:rPr>
                <w:b/>
                <w:bCs/>
              </w:rPr>
            </w:pPr>
            <w:r w:rsidRPr="002F536A">
              <w:rPr>
                <w:b/>
                <w:bCs/>
              </w:rPr>
              <w:fldChar w:fldCharType="begin"/>
            </w:r>
            <w:r w:rsidRPr="002F536A">
              <w:rPr>
                <w:b/>
                <w:bCs/>
              </w:rPr>
              <w:instrText xml:space="preserve"> DATE \@ "MMMM d, yyyy" </w:instrText>
            </w:r>
            <w:r w:rsidRPr="002F536A">
              <w:rPr>
                <w:b/>
                <w:bCs/>
              </w:rPr>
              <w:fldChar w:fldCharType="separate"/>
            </w:r>
            <w:r>
              <w:rPr>
                <w:b/>
                <w:bCs/>
                <w:noProof/>
              </w:rPr>
              <w:t>February 14, 2014</w:t>
            </w:r>
            <w:r w:rsidRPr="002F536A">
              <w:rPr>
                <w:b/>
                <w:bCs/>
              </w:rPr>
              <w:fldChar w:fldCharType="end"/>
            </w:r>
          </w:p>
        </w:tc>
      </w:tr>
    </w:tbl>
    <w:p w:rsidR="00100A31" w:rsidRDefault="00100A31"/>
    <w:p w:rsidR="00100A31" w:rsidRDefault="00100A31"/>
    <w:tbl>
      <w:tblPr>
        <w:tblpPr w:leftFromText="187" w:rightFromText="187" w:horzAnchor="margin" w:tblpXSpec="center" w:tblpYSpec="bottom"/>
        <w:tblW w:w="5000" w:type="pct"/>
        <w:tblLook w:val="00A0"/>
      </w:tblPr>
      <w:tblGrid>
        <w:gridCol w:w="9576"/>
      </w:tblGrid>
      <w:tr w:rsidR="00100A31">
        <w:tc>
          <w:tcPr>
            <w:tcW w:w="5000" w:type="pct"/>
          </w:tcPr>
          <w:p w:rsidR="00100A31" w:rsidRPr="002F536A" w:rsidRDefault="00100A31" w:rsidP="00A56BC5">
            <w:pPr>
              <w:pStyle w:val="NoSpacing"/>
            </w:pPr>
          </w:p>
        </w:tc>
      </w:tr>
    </w:tbl>
    <w:p w:rsidR="00100A31" w:rsidRDefault="00100A31"/>
    <w:p w:rsidR="00100A31" w:rsidRDefault="00100A31">
      <w:pPr>
        <w:spacing w:after="0" w:line="240" w:lineRule="auto"/>
        <w:rPr>
          <w:rFonts w:ascii="Cambria" w:hAnsi="Cambria"/>
          <w:b/>
          <w:bCs/>
          <w:kern w:val="32"/>
          <w:sz w:val="32"/>
          <w:szCs w:val="32"/>
        </w:rPr>
      </w:pPr>
      <w:r>
        <w:br w:type="page"/>
      </w:r>
    </w:p>
    <w:p w:rsidR="00100A31" w:rsidRDefault="00100A31" w:rsidP="008C58C1">
      <w:pPr>
        <w:pStyle w:val="Heading1"/>
        <w:spacing w:line="240" w:lineRule="auto"/>
      </w:pPr>
      <w:r>
        <w:t>Introduction</w:t>
      </w:r>
    </w:p>
    <w:p w:rsidR="00100A31" w:rsidRPr="008C5DDD" w:rsidRDefault="00100A31" w:rsidP="008C58C1">
      <w:pPr>
        <w:spacing w:line="240" w:lineRule="auto"/>
      </w:pPr>
      <w:r>
        <w:t xml:space="preserve">In the U.S., and presumably elsewhere in the world, unexpected turbulence encounters are a leading source of occupant injuries.  Costs from injuries, aircraft damage. inspection and maintenance, and delays are significant.  Because turbulence is often invisible to both pilots and remote sensing devices (e.g. radar), </w:t>
      </w:r>
      <w:r>
        <w:rPr>
          <w:i/>
        </w:rPr>
        <w:t>in situ</w:t>
      </w:r>
      <w:r>
        <w:t xml:space="preserve"> aircraft observations are a critical piece of the turbulence mitigation puzzle.  Reliable turbulence observations are essential for the development, running, and verification of any turbulence nowcast and forecast product, or can be used like a pilot report (PIREP/AIREP) for situational awareness for tactical turbulence avoidance.</w:t>
      </w:r>
    </w:p>
    <w:p w:rsidR="00100A31" w:rsidRDefault="00100A31" w:rsidP="008C58C1">
      <w:pPr>
        <w:spacing w:line="240" w:lineRule="auto"/>
      </w:pPr>
      <w:r>
        <w:t xml:space="preserve">Traditionally, the only </w:t>
      </w:r>
      <w:r>
        <w:rPr>
          <w:i/>
        </w:rPr>
        <w:t>in situ</w:t>
      </w:r>
      <w:r>
        <w:t xml:space="preserve"> aircraft observations of turbulence are provided by pilots (PIREP/AIREP).  While useful, there are significant problems with pilot generated turbulence reports including:</w:t>
      </w:r>
    </w:p>
    <w:p w:rsidR="00100A31" w:rsidRDefault="00100A31" w:rsidP="008C58C1">
      <w:pPr>
        <w:numPr>
          <w:ilvl w:val="0"/>
          <w:numId w:val="1"/>
        </w:numPr>
        <w:spacing w:line="240" w:lineRule="auto"/>
      </w:pPr>
      <w:r>
        <w:t>subjectivity of the turbulence intensity</w:t>
      </w:r>
    </w:p>
    <w:p w:rsidR="00100A31" w:rsidRDefault="00100A31" w:rsidP="008C58C1">
      <w:pPr>
        <w:numPr>
          <w:ilvl w:val="0"/>
          <w:numId w:val="1"/>
        </w:numPr>
        <w:spacing w:line="240" w:lineRule="auto"/>
      </w:pPr>
      <w:r>
        <w:t>substantial errors of the reported time and position</w:t>
      </w:r>
    </w:p>
    <w:p w:rsidR="00100A31" w:rsidRDefault="00100A31" w:rsidP="008C58C1">
      <w:pPr>
        <w:numPr>
          <w:ilvl w:val="0"/>
          <w:numId w:val="1"/>
        </w:numPr>
        <w:spacing w:line="240" w:lineRule="auto"/>
      </w:pPr>
      <w:r>
        <w:t>a pilot’s experience of turbulence depends on the aircraft type and flight conditions</w:t>
      </w:r>
    </w:p>
    <w:p w:rsidR="00100A31" w:rsidRDefault="00100A31" w:rsidP="008C58C1">
      <w:pPr>
        <w:numPr>
          <w:ilvl w:val="0"/>
          <w:numId w:val="1"/>
        </w:numPr>
        <w:spacing w:line="240" w:lineRule="auto"/>
      </w:pPr>
      <w:r>
        <w:t>severe under-reporting of smooth conditions</w:t>
      </w:r>
    </w:p>
    <w:p w:rsidR="00100A31" w:rsidRDefault="00100A31" w:rsidP="008C58C1">
      <w:pPr>
        <w:spacing w:line="240" w:lineRule="auto"/>
      </w:pPr>
      <w:r>
        <w:t xml:space="preserve">An ideal observation would be objective, accurate with respect to time, position, and intensity, independent of the aircraft (i.e. solely  atmospheric), and would provide an unbiased sampling of turbulence where aircraft fly.  To address this, under the sponsorship if the U.S. Federal Aviation Andministration (FAA), the National Center for Atmospheric Research developed an </w:t>
      </w:r>
      <w:r>
        <w:rPr>
          <w:i/>
        </w:rPr>
        <w:t>in situ</w:t>
      </w:r>
      <w:r>
        <w:t xml:space="preserve"> turbulence reporting algorithm, which reports eddy dissipation rate.  Technically, EDR (defined as the cube root of the eddy dissipation rate) is what is reported.  MacCready (1964) first suggested the use of EDR as a metric of turbulence intensity.  It </w:t>
      </w:r>
      <w:r w:rsidRPr="00381BCD">
        <w:t xml:space="preserve">is particularly useful operationally, since </w:t>
      </w:r>
      <w:r>
        <w:t>EDR along the vertical direction</w:t>
      </w:r>
      <w:r w:rsidRPr="00381BCD">
        <w:t xml:space="preserve"> is proportional to the RMS (root-mean-square) vertical acceleration experienced by an aircraft</w:t>
      </w:r>
      <w:r>
        <w:t xml:space="preserve"> for specific flight conditions</w:t>
      </w:r>
      <w:r w:rsidRPr="00B21459">
        <w:t xml:space="preserve"> (</w:t>
      </w:r>
      <w:r>
        <w:t xml:space="preserve">MacCready 1964; </w:t>
      </w:r>
      <w:r w:rsidRPr="00B21459">
        <w:t>Cornman et al. 1995</w:t>
      </w:r>
      <w:r>
        <w:t xml:space="preserve">).  Further, EDR has been adopted as the standard metric for atmospheric turbulence reporting by ICAO (2001).  </w:t>
      </w:r>
    </w:p>
    <w:p w:rsidR="00100A31" w:rsidRDefault="00100A31" w:rsidP="008C58C1">
      <w:pPr>
        <w:pStyle w:val="Heading2"/>
        <w:spacing w:line="240" w:lineRule="auto"/>
      </w:pPr>
      <w:r>
        <w:t>Implementations</w:t>
      </w:r>
    </w:p>
    <w:p w:rsidR="00100A31" w:rsidRPr="00CF3ACB" w:rsidRDefault="00100A31" w:rsidP="008C58C1">
      <w:pPr>
        <w:spacing w:line="240" w:lineRule="auto"/>
      </w:pPr>
      <w:r>
        <w:t xml:space="preserve">There are three “flavors” of operational EDR algorithms: the vertical acceleration-based (NCAR1, TAPS), the true airspeed-based (TAMDAR), and the vertical wind-based (NCAR2).  </w:t>
      </w:r>
    </w:p>
    <w:p w:rsidR="00100A31" w:rsidRDefault="00100A31" w:rsidP="008C58C1">
      <w:pPr>
        <w:pStyle w:val="Heading1"/>
        <w:spacing w:line="240" w:lineRule="auto"/>
      </w:pPr>
      <w:r>
        <w:t>Aims</w:t>
      </w:r>
    </w:p>
    <w:p w:rsidR="00100A31" w:rsidRDefault="00100A31" w:rsidP="00FA6C3E">
      <w:pPr>
        <w:pStyle w:val="ListParagraph"/>
        <w:numPr>
          <w:ilvl w:val="0"/>
          <w:numId w:val="3"/>
        </w:numPr>
        <w:spacing w:line="240" w:lineRule="auto"/>
      </w:pPr>
      <w:r>
        <w:t xml:space="preserve">Encourage and enable EDR software deployment and downlink capabilities within the AMDAR program with the goal of providing EDR data access to airlines, turbulence forecasting/nowcasting entities, NWP entities, etc.  </w:t>
      </w:r>
    </w:p>
    <w:p w:rsidR="00100A31" w:rsidRDefault="00100A31" w:rsidP="00FA6C3E">
      <w:pPr>
        <w:pStyle w:val="ListParagraph"/>
        <w:numPr>
          <w:ilvl w:val="0"/>
          <w:numId w:val="3"/>
        </w:numPr>
        <w:spacing w:line="240" w:lineRule="auto"/>
      </w:pPr>
      <w:r>
        <w:t>Provide guidance on EDR data usage</w:t>
      </w:r>
    </w:p>
    <w:p w:rsidR="00100A31" w:rsidRDefault="00100A31" w:rsidP="008C58C1">
      <w:pPr>
        <w:pStyle w:val="Heading1"/>
        <w:spacing w:line="240" w:lineRule="auto"/>
      </w:pPr>
      <w:r>
        <w:t>Stakeholders</w:t>
      </w:r>
    </w:p>
    <w:p w:rsidR="00100A31" w:rsidRDefault="00100A31" w:rsidP="008C58C1">
      <w:pPr>
        <w:pStyle w:val="ListParagraph"/>
        <w:numPr>
          <w:ilvl w:val="0"/>
          <w:numId w:val="2"/>
        </w:numPr>
        <w:spacing w:line="240" w:lineRule="auto"/>
      </w:pPr>
      <w:r>
        <w:t>Airlines</w:t>
      </w:r>
    </w:p>
    <w:p w:rsidR="00100A31" w:rsidRDefault="00100A31" w:rsidP="008C58C1">
      <w:pPr>
        <w:pStyle w:val="ListParagraph"/>
        <w:numPr>
          <w:ilvl w:val="0"/>
          <w:numId w:val="2"/>
        </w:numPr>
        <w:spacing w:line="240" w:lineRule="auto"/>
      </w:pPr>
      <w:r>
        <w:t>Turbulence Forecasting/Nowcasting entities (research, operational, etc.)</w:t>
      </w:r>
    </w:p>
    <w:p w:rsidR="00100A31" w:rsidRDefault="00100A31" w:rsidP="008C58C1">
      <w:pPr>
        <w:pStyle w:val="ListParagraph"/>
        <w:numPr>
          <w:ilvl w:val="0"/>
          <w:numId w:val="2"/>
        </w:numPr>
        <w:spacing w:line="240" w:lineRule="auto"/>
      </w:pPr>
      <w:r>
        <w:t>Government Agencies (e.g. FAA)</w:t>
      </w:r>
    </w:p>
    <w:p w:rsidR="00100A31" w:rsidRDefault="00100A31" w:rsidP="008C58C1">
      <w:pPr>
        <w:pStyle w:val="ListParagraph"/>
        <w:numPr>
          <w:ilvl w:val="0"/>
          <w:numId w:val="2"/>
        </w:numPr>
        <w:spacing w:line="240" w:lineRule="auto"/>
      </w:pPr>
      <w:r>
        <w:t>Flight management entities (e.g. weather display)</w:t>
      </w:r>
    </w:p>
    <w:p w:rsidR="00100A31" w:rsidRDefault="00100A31" w:rsidP="008C58C1">
      <w:pPr>
        <w:pStyle w:val="ListParagraph"/>
        <w:numPr>
          <w:ilvl w:val="0"/>
          <w:numId w:val="2"/>
        </w:numPr>
        <w:spacing w:line="240" w:lineRule="auto"/>
      </w:pPr>
      <w:r>
        <w:t>NWP entities</w:t>
      </w:r>
    </w:p>
    <w:p w:rsidR="00100A31" w:rsidRPr="008C58C1" w:rsidRDefault="00100A31" w:rsidP="008C58C1">
      <w:pPr>
        <w:pStyle w:val="ListParagraph"/>
        <w:numPr>
          <w:ilvl w:val="0"/>
          <w:numId w:val="2"/>
        </w:numPr>
        <w:spacing w:line="240" w:lineRule="auto"/>
      </w:pPr>
      <w:r>
        <w:t>Wake vortex community?</w:t>
      </w:r>
    </w:p>
    <w:p w:rsidR="00100A31" w:rsidRDefault="00100A31" w:rsidP="00054DFB">
      <w:pPr>
        <w:pStyle w:val="Heading1"/>
        <w:spacing w:line="240" w:lineRule="auto"/>
      </w:pPr>
      <w:r>
        <w:t>Scope</w:t>
      </w:r>
    </w:p>
    <w:p w:rsidR="00100A31" w:rsidRDefault="00100A31" w:rsidP="003871B1">
      <w:pPr>
        <w:pStyle w:val="ListParagraph"/>
        <w:numPr>
          <w:ilvl w:val="0"/>
          <w:numId w:val="3"/>
        </w:numPr>
        <w:spacing w:line="240" w:lineRule="auto"/>
      </w:pPr>
      <w:r>
        <w:t>EDR software availability and implementation</w:t>
      </w:r>
    </w:p>
    <w:p w:rsidR="00100A31" w:rsidRDefault="00100A31" w:rsidP="00804AD3">
      <w:pPr>
        <w:pStyle w:val="ListParagraph"/>
        <w:numPr>
          <w:ilvl w:val="1"/>
          <w:numId w:val="3"/>
        </w:numPr>
        <w:spacing w:line="240" w:lineRule="auto"/>
      </w:pPr>
      <w:r>
        <w:t>Current (NCAR2) software is available as C library (requires integration into ACMS), as C library with accompanying Teledyne interface software (requires assistance from Delta), or a software application for Honeywell ACMS (-02 and -50 boxes; only for B737-700/-800/-900) (requires assistance from Honeywell)</w:t>
      </w:r>
    </w:p>
    <w:p w:rsidR="00100A31" w:rsidRDefault="00100A31" w:rsidP="00804AD3">
      <w:pPr>
        <w:pStyle w:val="ListParagraph"/>
        <w:numPr>
          <w:ilvl w:val="1"/>
          <w:numId w:val="3"/>
        </w:numPr>
        <w:spacing w:line="240" w:lineRule="auto"/>
      </w:pPr>
      <w:r>
        <w:t>Should consider working with Teledyne to ease future deployments on Teledyne systems.</w:t>
      </w:r>
    </w:p>
    <w:p w:rsidR="00100A31" w:rsidRDefault="00100A31" w:rsidP="00804AD3">
      <w:pPr>
        <w:pStyle w:val="ListParagraph"/>
        <w:numPr>
          <w:ilvl w:val="1"/>
          <w:numId w:val="3"/>
        </w:numPr>
        <w:spacing w:line="240" w:lineRule="auto"/>
      </w:pPr>
      <w:r>
        <w:t>New aircraft types require ability to record high-rate input data for tuning and verification</w:t>
      </w:r>
    </w:p>
    <w:p w:rsidR="00100A31" w:rsidRDefault="00100A31" w:rsidP="00804AD3">
      <w:pPr>
        <w:pStyle w:val="ListParagraph"/>
        <w:numPr>
          <w:ilvl w:val="1"/>
          <w:numId w:val="3"/>
        </w:numPr>
        <w:spacing w:line="240" w:lineRule="auto"/>
      </w:pPr>
      <w:r>
        <w:t>FAA has funded NCAR to update software and documentation package to allow an entity to integrate EDR into ACMS with little or no support.  The package would include requirements checking, tuning, and testing.  First phase is to be finished by end of Q3 14.  A partner airline would take this package and implement, providing feedback which, funding permitting, would be incorporated into a phase 2 sometime after Q4 14.</w:t>
      </w:r>
      <w:bookmarkStart w:id="0" w:name="_GoBack"/>
      <w:bookmarkEnd w:id="0"/>
    </w:p>
    <w:p w:rsidR="00100A31" w:rsidRDefault="00100A31" w:rsidP="00FA6C3E">
      <w:pPr>
        <w:pStyle w:val="ListParagraph"/>
        <w:numPr>
          <w:ilvl w:val="0"/>
          <w:numId w:val="3"/>
        </w:numPr>
        <w:spacing w:line="240" w:lineRule="auto"/>
      </w:pPr>
      <w:r>
        <w:t>integration of EDR reporting into AMDAR software</w:t>
      </w:r>
    </w:p>
    <w:p w:rsidR="00100A31" w:rsidRDefault="00100A31" w:rsidP="00680DA8">
      <w:pPr>
        <w:pStyle w:val="ListParagraph"/>
        <w:numPr>
          <w:ilvl w:val="1"/>
          <w:numId w:val="3"/>
        </w:numPr>
        <w:spacing w:line="240" w:lineRule="auto"/>
      </w:pPr>
      <w:r>
        <w:t>Update ARINC 620 specification as needed</w:t>
      </w:r>
    </w:p>
    <w:p w:rsidR="00100A31" w:rsidRDefault="00100A31" w:rsidP="00680DA8">
      <w:pPr>
        <w:pStyle w:val="ListParagraph"/>
        <w:numPr>
          <w:ilvl w:val="1"/>
          <w:numId w:val="3"/>
        </w:numPr>
        <w:spacing w:line="240" w:lineRule="auto"/>
      </w:pPr>
      <w:r>
        <w:t>Handling of triggered as well as routing reporting</w:t>
      </w:r>
    </w:p>
    <w:p w:rsidR="00100A31" w:rsidRDefault="00100A31" w:rsidP="00FA6C3E">
      <w:pPr>
        <w:pStyle w:val="ListParagraph"/>
        <w:numPr>
          <w:ilvl w:val="0"/>
          <w:numId w:val="3"/>
        </w:numPr>
        <w:spacing w:line="240" w:lineRule="auto"/>
      </w:pPr>
      <w:r>
        <w:t>Engagement with existing partner airlines (extension in the USA, expansion globally, commencing with Europe)</w:t>
      </w:r>
    </w:p>
    <w:p w:rsidR="00100A31" w:rsidRDefault="00100A31" w:rsidP="00FA6C3E">
      <w:pPr>
        <w:pStyle w:val="ListParagraph"/>
        <w:numPr>
          <w:ilvl w:val="0"/>
          <w:numId w:val="3"/>
        </w:numPr>
        <w:spacing w:line="240" w:lineRule="auto"/>
      </w:pPr>
      <w:r>
        <w:t>Engagement with data users (mainly aviation meteorology) regarding requirements for application/data use</w:t>
      </w:r>
    </w:p>
    <w:p w:rsidR="00100A31" w:rsidRDefault="00100A31" w:rsidP="00FA6C3E">
      <w:pPr>
        <w:pStyle w:val="ListParagraph"/>
        <w:numPr>
          <w:ilvl w:val="0"/>
          <w:numId w:val="3"/>
        </w:numPr>
        <w:spacing w:line="240" w:lineRule="auto"/>
      </w:pPr>
      <w:r>
        <w:t>Pilot projects (e.g. Air France)</w:t>
      </w:r>
    </w:p>
    <w:p w:rsidR="00100A31" w:rsidRPr="003958A0" w:rsidRDefault="00100A31" w:rsidP="00FA6C3E">
      <w:pPr>
        <w:pStyle w:val="ListParagraph"/>
        <w:numPr>
          <w:ilvl w:val="0"/>
          <w:numId w:val="3"/>
        </w:numPr>
        <w:spacing w:line="240" w:lineRule="auto"/>
      </w:pPr>
      <w:r>
        <w:t>Develop guidance for airline usage of EDR data.</w:t>
      </w:r>
    </w:p>
    <w:p w:rsidR="00100A31" w:rsidRDefault="00100A31" w:rsidP="008C58C1">
      <w:pPr>
        <w:pStyle w:val="Heading1"/>
        <w:spacing w:line="240" w:lineRule="auto"/>
      </w:pPr>
      <w:r>
        <w:t>Strategy</w:t>
      </w:r>
    </w:p>
    <w:p w:rsidR="00100A31" w:rsidRPr="001E41CF" w:rsidRDefault="00100A31" w:rsidP="001E41CF">
      <w:r>
        <w:t>Encourage and coordinate implementation of EDR outside of USA by initially focusing on development in Europe.  In particular, seek out willing European airline to partner with on a pilot EDR implementation.</w:t>
      </w:r>
    </w:p>
    <w:p w:rsidR="00100A31" w:rsidRDefault="00100A31" w:rsidP="008C58C1">
      <w:pPr>
        <w:pStyle w:val="Heading1"/>
        <w:spacing w:line="240" w:lineRule="auto"/>
      </w:pPr>
      <w:r>
        <w:t>Key Tasks</w:t>
      </w:r>
    </w:p>
    <w:p w:rsidR="00100A31" w:rsidRDefault="00100A31" w:rsidP="008C58C1">
      <w:pPr>
        <w:pStyle w:val="Heading1"/>
        <w:spacing w:line="240" w:lineRule="auto"/>
      </w:pPr>
      <w:r>
        <w:t>Timeline</w:t>
      </w:r>
    </w:p>
    <w:p w:rsidR="00100A31" w:rsidRDefault="00100A31" w:rsidP="008C58C1">
      <w:pPr>
        <w:pStyle w:val="Heading1"/>
        <w:spacing w:line="240" w:lineRule="auto"/>
      </w:pPr>
      <w:r>
        <w:t>Risks</w:t>
      </w:r>
    </w:p>
    <w:p w:rsidR="00100A31" w:rsidRPr="003871B1" w:rsidRDefault="00100A31" w:rsidP="003871B1">
      <w:r>
        <w:t xml:space="preserve">The largest known technical risk is the implementation of the EDR software on an aircraft.  The current (NCAR) software has been successfully installed on B737-700/800/900 (Honeywell and Teledyne ACMS) and B767-300/400 (Teledyne ACMS).  Costs for deployment on different configurations vary substantially.  </w:t>
      </w:r>
    </w:p>
    <w:p w:rsidR="00100A31" w:rsidRDefault="00100A31" w:rsidP="008C58C1">
      <w:pPr>
        <w:pStyle w:val="Heading1"/>
        <w:spacing w:line="240" w:lineRule="auto"/>
      </w:pPr>
      <w:r>
        <w:t>Bibliography</w:t>
      </w:r>
    </w:p>
    <w:p w:rsidR="00100A31" w:rsidRPr="00EA43D5" w:rsidRDefault="00100A31" w:rsidP="008C58C1">
      <w:pPr>
        <w:pStyle w:val="BodyText"/>
        <w:spacing w:after="120"/>
        <w:ind w:left="360" w:hanging="360"/>
      </w:pPr>
      <w:r w:rsidRPr="00EA43D5">
        <w:t xml:space="preserve">Cornman, L. B., C. S. Morse, and G. Cunning, 1995: Real-time estimation of atmospheric turbulence severity from in-situ aircraft measurements. </w:t>
      </w:r>
      <w:r w:rsidRPr="00EA43D5">
        <w:rPr>
          <w:i/>
        </w:rPr>
        <w:t xml:space="preserve"> J. Aircraft</w:t>
      </w:r>
      <w:r w:rsidRPr="00EA43D5">
        <w:t xml:space="preserve">, </w:t>
      </w:r>
      <w:r w:rsidRPr="00EA43D5">
        <w:rPr>
          <w:b/>
        </w:rPr>
        <w:t>32,</w:t>
      </w:r>
      <w:r w:rsidRPr="00EA43D5">
        <w:t xml:space="preserve"> 171-177.</w:t>
      </w:r>
    </w:p>
    <w:p w:rsidR="00100A31" w:rsidRPr="002F6566" w:rsidRDefault="00100A31" w:rsidP="008C58C1">
      <w:pPr>
        <w:pStyle w:val="TableofAuthorities"/>
        <w:spacing w:after="120" w:line="240" w:lineRule="auto"/>
        <w:ind w:left="360" w:hanging="360"/>
      </w:pPr>
      <w:r w:rsidRPr="002F6566">
        <w:t>International Civil Aviation Organization (ICAO), 2001: Meteorological service for international air navigation. – Annex 3 to the Convention on International Civil Aviation, 14</w:t>
      </w:r>
      <w:r w:rsidRPr="002F6566">
        <w:rPr>
          <w:vertAlign w:val="superscript"/>
        </w:rPr>
        <w:t>th</w:t>
      </w:r>
      <w:r w:rsidRPr="002F6566">
        <w:t xml:space="preserve"> Edition, 128 pp. [pdf file available from authors]</w:t>
      </w:r>
    </w:p>
    <w:p w:rsidR="00100A31" w:rsidRDefault="00100A31" w:rsidP="008C58C1">
      <w:pPr>
        <w:spacing w:after="120" w:line="240" w:lineRule="auto"/>
        <w:ind w:left="360" w:hanging="360"/>
      </w:pPr>
      <w:r w:rsidRPr="002F6566">
        <w:t>MacCready, P.</w:t>
      </w:r>
      <w:r>
        <w:t xml:space="preserve"> B. Jr.</w:t>
      </w:r>
      <w:r w:rsidRPr="002F6566">
        <w:t>, 196</w:t>
      </w:r>
      <w:r>
        <w:t>2:  The inertial subrange of atmospheric turbulence</w:t>
      </w:r>
      <w:r>
        <w:rPr>
          <w:rStyle w:val="Title1"/>
        </w:rPr>
        <w:t xml:space="preserve">. </w:t>
      </w:r>
      <w:r>
        <w:rPr>
          <w:rStyle w:val="ital"/>
          <w:i/>
          <w:iCs/>
        </w:rPr>
        <w:t>J. Geophys. Res.</w:t>
      </w:r>
      <w:r>
        <w:t xml:space="preserve">, </w:t>
      </w:r>
      <w:r w:rsidRPr="001C726D">
        <w:rPr>
          <w:rStyle w:val="ital"/>
          <w:b/>
        </w:rPr>
        <w:t>6</w:t>
      </w:r>
      <w:r>
        <w:rPr>
          <w:rStyle w:val="ital"/>
          <w:b/>
        </w:rPr>
        <w:t>7</w:t>
      </w:r>
      <w:r>
        <w:t>, 1051–1059.</w:t>
      </w:r>
    </w:p>
    <w:p w:rsidR="00100A31" w:rsidRPr="00F756D7" w:rsidRDefault="00100A31" w:rsidP="008C58C1">
      <w:pPr>
        <w:spacing w:line="240" w:lineRule="auto"/>
      </w:pPr>
    </w:p>
    <w:sectPr w:rsidR="00100A31" w:rsidRPr="00F756D7" w:rsidSect="00A56BC5">
      <w:pgSz w:w="12240" w:h="15840"/>
      <w:pgMar w:top="1440"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B3E43"/>
    <w:multiLevelType w:val="hybridMultilevel"/>
    <w:tmpl w:val="AEF8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C5D8A"/>
    <w:multiLevelType w:val="hybridMultilevel"/>
    <w:tmpl w:val="DB002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A42A6D"/>
    <w:multiLevelType w:val="hybridMultilevel"/>
    <w:tmpl w:val="805C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0821D1"/>
    <w:multiLevelType w:val="hybridMultilevel"/>
    <w:tmpl w:val="1602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21D"/>
    <w:rsid w:val="00001454"/>
    <w:rsid w:val="00003E3F"/>
    <w:rsid w:val="00013A25"/>
    <w:rsid w:val="00015C13"/>
    <w:rsid w:val="00015EAD"/>
    <w:rsid w:val="000166F5"/>
    <w:rsid w:val="0002164B"/>
    <w:rsid w:val="00023244"/>
    <w:rsid w:val="00025A75"/>
    <w:rsid w:val="000309C4"/>
    <w:rsid w:val="00032B8C"/>
    <w:rsid w:val="00035C5A"/>
    <w:rsid w:val="00040AB2"/>
    <w:rsid w:val="000437BE"/>
    <w:rsid w:val="000443CE"/>
    <w:rsid w:val="0004532B"/>
    <w:rsid w:val="000462B3"/>
    <w:rsid w:val="0005234F"/>
    <w:rsid w:val="00054327"/>
    <w:rsid w:val="00054DFB"/>
    <w:rsid w:val="000603FD"/>
    <w:rsid w:val="0006469B"/>
    <w:rsid w:val="00065C67"/>
    <w:rsid w:val="0006623A"/>
    <w:rsid w:val="00066D4B"/>
    <w:rsid w:val="000672AE"/>
    <w:rsid w:val="0007000E"/>
    <w:rsid w:val="00072143"/>
    <w:rsid w:val="00073420"/>
    <w:rsid w:val="000754A4"/>
    <w:rsid w:val="000763C7"/>
    <w:rsid w:val="000815C9"/>
    <w:rsid w:val="00085599"/>
    <w:rsid w:val="00085E7E"/>
    <w:rsid w:val="0009124C"/>
    <w:rsid w:val="000918A6"/>
    <w:rsid w:val="0009361F"/>
    <w:rsid w:val="00093996"/>
    <w:rsid w:val="0009732D"/>
    <w:rsid w:val="00097CCB"/>
    <w:rsid w:val="000A15A4"/>
    <w:rsid w:val="000A2570"/>
    <w:rsid w:val="000A433B"/>
    <w:rsid w:val="000A79A3"/>
    <w:rsid w:val="000B0C02"/>
    <w:rsid w:val="000B3F5D"/>
    <w:rsid w:val="000B60C5"/>
    <w:rsid w:val="000B723D"/>
    <w:rsid w:val="000C0AFB"/>
    <w:rsid w:val="000C1A73"/>
    <w:rsid w:val="000C2083"/>
    <w:rsid w:val="000D2834"/>
    <w:rsid w:val="000D2EC5"/>
    <w:rsid w:val="000D3CB5"/>
    <w:rsid w:val="000D3DA0"/>
    <w:rsid w:val="000D49D7"/>
    <w:rsid w:val="000D63A2"/>
    <w:rsid w:val="000D697A"/>
    <w:rsid w:val="000D7B41"/>
    <w:rsid w:val="000E1A08"/>
    <w:rsid w:val="000E29DC"/>
    <w:rsid w:val="000E65BB"/>
    <w:rsid w:val="000E6EC9"/>
    <w:rsid w:val="000F2D97"/>
    <w:rsid w:val="000F4900"/>
    <w:rsid w:val="000F73B7"/>
    <w:rsid w:val="00100A31"/>
    <w:rsid w:val="00100E44"/>
    <w:rsid w:val="00102D67"/>
    <w:rsid w:val="001032F9"/>
    <w:rsid w:val="00106948"/>
    <w:rsid w:val="00107029"/>
    <w:rsid w:val="0011017D"/>
    <w:rsid w:val="00113712"/>
    <w:rsid w:val="001161F2"/>
    <w:rsid w:val="00122757"/>
    <w:rsid w:val="00122C4B"/>
    <w:rsid w:val="00124F07"/>
    <w:rsid w:val="001273E6"/>
    <w:rsid w:val="00134B69"/>
    <w:rsid w:val="00135113"/>
    <w:rsid w:val="00137E60"/>
    <w:rsid w:val="00141017"/>
    <w:rsid w:val="001420F3"/>
    <w:rsid w:val="0015200D"/>
    <w:rsid w:val="00152B89"/>
    <w:rsid w:val="001602EE"/>
    <w:rsid w:val="00162B4E"/>
    <w:rsid w:val="00162F5D"/>
    <w:rsid w:val="00163F51"/>
    <w:rsid w:val="00165E33"/>
    <w:rsid w:val="0017688A"/>
    <w:rsid w:val="0017743A"/>
    <w:rsid w:val="00186CC7"/>
    <w:rsid w:val="00187EBD"/>
    <w:rsid w:val="00196D80"/>
    <w:rsid w:val="0019725C"/>
    <w:rsid w:val="001A1EAE"/>
    <w:rsid w:val="001A3943"/>
    <w:rsid w:val="001A4A71"/>
    <w:rsid w:val="001A60BF"/>
    <w:rsid w:val="001A68BE"/>
    <w:rsid w:val="001B28BC"/>
    <w:rsid w:val="001B3E41"/>
    <w:rsid w:val="001B5436"/>
    <w:rsid w:val="001B5961"/>
    <w:rsid w:val="001B5CC3"/>
    <w:rsid w:val="001B735E"/>
    <w:rsid w:val="001C302A"/>
    <w:rsid w:val="001C4374"/>
    <w:rsid w:val="001C5AA1"/>
    <w:rsid w:val="001C726D"/>
    <w:rsid w:val="001D37C8"/>
    <w:rsid w:val="001D4E06"/>
    <w:rsid w:val="001E41CF"/>
    <w:rsid w:val="001E62F2"/>
    <w:rsid w:val="001E777E"/>
    <w:rsid w:val="001F0AD8"/>
    <w:rsid w:val="001F1C06"/>
    <w:rsid w:val="001F204E"/>
    <w:rsid w:val="001F22CC"/>
    <w:rsid w:val="001F2582"/>
    <w:rsid w:val="001F37B7"/>
    <w:rsid w:val="00200E39"/>
    <w:rsid w:val="00201412"/>
    <w:rsid w:val="002028EF"/>
    <w:rsid w:val="00211E7A"/>
    <w:rsid w:val="00220095"/>
    <w:rsid w:val="00221F72"/>
    <w:rsid w:val="00225202"/>
    <w:rsid w:val="00232559"/>
    <w:rsid w:val="0023365D"/>
    <w:rsid w:val="0023390A"/>
    <w:rsid w:val="002406C2"/>
    <w:rsid w:val="00241E8F"/>
    <w:rsid w:val="00243DCB"/>
    <w:rsid w:val="00244317"/>
    <w:rsid w:val="00247ED1"/>
    <w:rsid w:val="00251168"/>
    <w:rsid w:val="002519CD"/>
    <w:rsid w:val="00254FF6"/>
    <w:rsid w:val="002557A7"/>
    <w:rsid w:val="00267CE0"/>
    <w:rsid w:val="0027035E"/>
    <w:rsid w:val="002717C5"/>
    <w:rsid w:val="00275892"/>
    <w:rsid w:val="00275B6F"/>
    <w:rsid w:val="00276DFA"/>
    <w:rsid w:val="002813AE"/>
    <w:rsid w:val="00283E41"/>
    <w:rsid w:val="002849C4"/>
    <w:rsid w:val="002856A1"/>
    <w:rsid w:val="002A0426"/>
    <w:rsid w:val="002A08EB"/>
    <w:rsid w:val="002A0D33"/>
    <w:rsid w:val="002A23AF"/>
    <w:rsid w:val="002A37D4"/>
    <w:rsid w:val="002B2270"/>
    <w:rsid w:val="002B4CEF"/>
    <w:rsid w:val="002C0B5A"/>
    <w:rsid w:val="002C42F8"/>
    <w:rsid w:val="002D2C41"/>
    <w:rsid w:val="002E030B"/>
    <w:rsid w:val="002E0924"/>
    <w:rsid w:val="002E3243"/>
    <w:rsid w:val="002F536A"/>
    <w:rsid w:val="002F6566"/>
    <w:rsid w:val="002F6EEA"/>
    <w:rsid w:val="003008BD"/>
    <w:rsid w:val="00303C9E"/>
    <w:rsid w:val="00304DDE"/>
    <w:rsid w:val="00311A63"/>
    <w:rsid w:val="00315B0C"/>
    <w:rsid w:val="00316054"/>
    <w:rsid w:val="00316F90"/>
    <w:rsid w:val="00317692"/>
    <w:rsid w:val="00317D08"/>
    <w:rsid w:val="003203D2"/>
    <w:rsid w:val="003231DF"/>
    <w:rsid w:val="00323922"/>
    <w:rsid w:val="0032496A"/>
    <w:rsid w:val="003272CA"/>
    <w:rsid w:val="00330BD6"/>
    <w:rsid w:val="00330D63"/>
    <w:rsid w:val="00331DFF"/>
    <w:rsid w:val="003345B4"/>
    <w:rsid w:val="00335DD6"/>
    <w:rsid w:val="003374F1"/>
    <w:rsid w:val="00342519"/>
    <w:rsid w:val="0034281C"/>
    <w:rsid w:val="0034457E"/>
    <w:rsid w:val="00344780"/>
    <w:rsid w:val="003452DF"/>
    <w:rsid w:val="00345D3C"/>
    <w:rsid w:val="003502C0"/>
    <w:rsid w:val="003519AF"/>
    <w:rsid w:val="00352B59"/>
    <w:rsid w:val="003556EC"/>
    <w:rsid w:val="00357835"/>
    <w:rsid w:val="00357C2F"/>
    <w:rsid w:val="00357FCC"/>
    <w:rsid w:val="00362494"/>
    <w:rsid w:val="003633E0"/>
    <w:rsid w:val="0037000A"/>
    <w:rsid w:val="00370A96"/>
    <w:rsid w:val="00376C1B"/>
    <w:rsid w:val="003817A4"/>
    <w:rsid w:val="00381BCD"/>
    <w:rsid w:val="0038213A"/>
    <w:rsid w:val="00384E58"/>
    <w:rsid w:val="003860BF"/>
    <w:rsid w:val="003865AC"/>
    <w:rsid w:val="00386733"/>
    <w:rsid w:val="003871B1"/>
    <w:rsid w:val="00387F38"/>
    <w:rsid w:val="00390B6A"/>
    <w:rsid w:val="00391FA4"/>
    <w:rsid w:val="003956F5"/>
    <w:rsid w:val="003958A0"/>
    <w:rsid w:val="00395C38"/>
    <w:rsid w:val="00396545"/>
    <w:rsid w:val="003A154A"/>
    <w:rsid w:val="003A1899"/>
    <w:rsid w:val="003A2E51"/>
    <w:rsid w:val="003A3E31"/>
    <w:rsid w:val="003A5CE6"/>
    <w:rsid w:val="003A753B"/>
    <w:rsid w:val="003B01DB"/>
    <w:rsid w:val="003B1BA4"/>
    <w:rsid w:val="003B280D"/>
    <w:rsid w:val="003C4896"/>
    <w:rsid w:val="003C4EA8"/>
    <w:rsid w:val="003D0B5F"/>
    <w:rsid w:val="003D2765"/>
    <w:rsid w:val="003D4867"/>
    <w:rsid w:val="003D51B4"/>
    <w:rsid w:val="003D6F1B"/>
    <w:rsid w:val="003D735B"/>
    <w:rsid w:val="003E4496"/>
    <w:rsid w:val="003F26EF"/>
    <w:rsid w:val="003F3397"/>
    <w:rsid w:val="0040040D"/>
    <w:rsid w:val="0040337A"/>
    <w:rsid w:val="00406D42"/>
    <w:rsid w:val="00406DFC"/>
    <w:rsid w:val="004076C8"/>
    <w:rsid w:val="00410F45"/>
    <w:rsid w:val="00413AB9"/>
    <w:rsid w:val="00415585"/>
    <w:rsid w:val="0041586D"/>
    <w:rsid w:val="004169F3"/>
    <w:rsid w:val="00417FA0"/>
    <w:rsid w:val="00422247"/>
    <w:rsid w:val="00424DFD"/>
    <w:rsid w:val="00424E7C"/>
    <w:rsid w:val="00425E83"/>
    <w:rsid w:val="00430B6C"/>
    <w:rsid w:val="004317E8"/>
    <w:rsid w:val="00431ED6"/>
    <w:rsid w:val="00431FC2"/>
    <w:rsid w:val="00432F59"/>
    <w:rsid w:val="00435C98"/>
    <w:rsid w:val="00435D46"/>
    <w:rsid w:val="004419F1"/>
    <w:rsid w:val="00443BDF"/>
    <w:rsid w:val="00447708"/>
    <w:rsid w:val="00447894"/>
    <w:rsid w:val="00447E37"/>
    <w:rsid w:val="00450CA3"/>
    <w:rsid w:val="00451FE0"/>
    <w:rsid w:val="00453D24"/>
    <w:rsid w:val="00454E3F"/>
    <w:rsid w:val="00455839"/>
    <w:rsid w:val="00456AA0"/>
    <w:rsid w:val="00461005"/>
    <w:rsid w:val="00462FC6"/>
    <w:rsid w:val="0046449A"/>
    <w:rsid w:val="004647C0"/>
    <w:rsid w:val="0046703C"/>
    <w:rsid w:val="00471D0E"/>
    <w:rsid w:val="00475A57"/>
    <w:rsid w:val="0048020A"/>
    <w:rsid w:val="00483FFD"/>
    <w:rsid w:val="004849CC"/>
    <w:rsid w:val="00485DDF"/>
    <w:rsid w:val="00485FF7"/>
    <w:rsid w:val="0049079A"/>
    <w:rsid w:val="00491EB8"/>
    <w:rsid w:val="00491FA6"/>
    <w:rsid w:val="00496996"/>
    <w:rsid w:val="004969D6"/>
    <w:rsid w:val="004A503B"/>
    <w:rsid w:val="004A54AE"/>
    <w:rsid w:val="004A7313"/>
    <w:rsid w:val="004B1375"/>
    <w:rsid w:val="004B2109"/>
    <w:rsid w:val="004B6E42"/>
    <w:rsid w:val="004C2923"/>
    <w:rsid w:val="004C2E0C"/>
    <w:rsid w:val="004C421A"/>
    <w:rsid w:val="004C53A2"/>
    <w:rsid w:val="004C58D8"/>
    <w:rsid w:val="004D0A17"/>
    <w:rsid w:val="004D2B90"/>
    <w:rsid w:val="004D54FF"/>
    <w:rsid w:val="004E640B"/>
    <w:rsid w:val="004E7D5C"/>
    <w:rsid w:val="004F0EAF"/>
    <w:rsid w:val="004F73EC"/>
    <w:rsid w:val="00500665"/>
    <w:rsid w:val="005015AF"/>
    <w:rsid w:val="00503685"/>
    <w:rsid w:val="0050579D"/>
    <w:rsid w:val="00505EB7"/>
    <w:rsid w:val="0051075F"/>
    <w:rsid w:val="00521A3F"/>
    <w:rsid w:val="0052507D"/>
    <w:rsid w:val="0052684A"/>
    <w:rsid w:val="005269B2"/>
    <w:rsid w:val="00532058"/>
    <w:rsid w:val="00532D09"/>
    <w:rsid w:val="00532E4F"/>
    <w:rsid w:val="00533996"/>
    <w:rsid w:val="005402F1"/>
    <w:rsid w:val="00540703"/>
    <w:rsid w:val="005407DE"/>
    <w:rsid w:val="00543764"/>
    <w:rsid w:val="00544C61"/>
    <w:rsid w:val="005477B7"/>
    <w:rsid w:val="00555205"/>
    <w:rsid w:val="00561B2B"/>
    <w:rsid w:val="0056672E"/>
    <w:rsid w:val="00566E37"/>
    <w:rsid w:val="00577F44"/>
    <w:rsid w:val="005816FB"/>
    <w:rsid w:val="00581A41"/>
    <w:rsid w:val="00584DC6"/>
    <w:rsid w:val="00586742"/>
    <w:rsid w:val="00586BDD"/>
    <w:rsid w:val="00591C5F"/>
    <w:rsid w:val="00593A14"/>
    <w:rsid w:val="00596D18"/>
    <w:rsid w:val="005A050D"/>
    <w:rsid w:val="005A1B66"/>
    <w:rsid w:val="005B21E9"/>
    <w:rsid w:val="005B53EA"/>
    <w:rsid w:val="005B600C"/>
    <w:rsid w:val="005C1FD0"/>
    <w:rsid w:val="005C74B0"/>
    <w:rsid w:val="005D27BF"/>
    <w:rsid w:val="005D52A6"/>
    <w:rsid w:val="005D58CB"/>
    <w:rsid w:val="005E0A39"/>
    <w:rsid w:val="005E4ABA"/>
    <w:rsid w:val="005E7242"/>
    <w:rsid w:val="005F20B0"/>
    <w:rsid w:val="005F238E"/>
    <w:rsid w:val="005F657E"/>
    <w:rsid w:val="00600E1D"/>
    <w:rsid w:val="0060153F"/>
    <w:rsid w:val="00602AC4"/>
    <w:rsid w:val="006038F0"/>
    <w:rsid w:val="00604513"/>
    <w:rsid w:val="00604B66"/>
    <w:rsid w:val="006054B2"/>
    <w:rsid w:val="00606A86"/>
    <w:rsid w:val="00607DF1"/>
    <w:rsid w:val="006112F1"/>
    <w:rsid w:val="00611455"/>
    <w:rsid w:val="00620999"/>
    <w:rsid w:val="00622971"/>
    <w:rsid w:val="006249D8"/>
    <w:rsid w:val="00625F68"/>
    <w:rsid w:val="00627476"/>
    <w:rsid w:val="0062760D"/>
    <w:rsid w:val="00630095"/>
    <w:rsid w:val="00630112"/>
    <w:rsid w:val="006319FC"/>
    <w:rsid w:val="00632C72"/>
    <w:rsid w:val="0063425F"/>
    <w:rsid w:val="00634DC3"/>
    <w:rsid w:val="00642316"/>
    <w:rsid w:val="00643709"/>
    <w:rsid w:val="0064468A"/>
    <w:rsid w:val="00644D0C"/>
    <w:rsid w:val="00645129"/>
    <w:rsid w:val="006464F5"/>
    <w:rsid w:val="00653530"/>
    <w:rsid w:val="006553E7"/>
    <w:rsid w:val="0065656A"/>
    <w:rsid w:val="006579EC"/>
    <w:rsid w:val="00657C2C"/>
    <w:rsid w:val="0066353D"/>
    <w:rsid w:val="0066606B"/>
    <w:rsid w:val="0067075C"/>
    <w:rsid w:val="00671958"/>
    <w:rsid w:val="0067703B"/>
    <w:rsid w:val="00680DA8"/>
    <w:rsid w:val="00681498"/>
    <w:rsid w:val="00687E66"/>
    <w:rsid w:val="00694827"/>
    <w:rsid w:val="00694BD3"/>
    <w:rsid w:val="00695660"/>
    <w:rsid w:val="006966B3"/>
    <w:rsid w:val="0069695D"/>
    <w:rsid w:val="006A2592"/>
    <w:rsid w:val="006A3AAC"/>
    <w:rsid w:val="006A5CF7"/>
    <w:rsid w:val="006A7D8C"/>
    <w:rsid w:val="006B3CCF"/>
    <w:rsid w:val="006B6984"/>
    <w:rsid w:val="006B6C3A"/>
    <w:rsid w:val="006B7111"/>
    <w:rsid w:val="006C455A"/>
    <w:rsid w:val="006C6722"/>
    <w:rsid w:val="006D12E8"/>
    <w:rsid w:val="006D311E"/>
    <w:rsid w:val="006D727D"/>
    <w:rsid w:val="006E15B5"/>
    <w:rsid w:val="006E46A1"/>
    <w:rsid w:val="006F0758"/>
    <w:rsid w:val="006F0D1D"/>
    <w:rsid w:val="006F22D4"/>
    <w:rsid w:val="006F4BA6"/>
    <w:rsid w:val="006F5DC7"/>
    <w:rsid w:val="00700428"/>
    <w:rsid w:val="00700575"/>
    <w:rsid w:val="00705C5A"/>
    <w:rsid w:val="007124EA"/>
    <w:rsid w:val="00712816"/>
    <w:rsid w:val="00714EB2"/>
    <w:rsid w:val="00716D7D"/>
    <w:rsid w:val="00723D4F"/>
    <w:rsid w:val="00726CA0"/>
    <w:rsid w:val="00735FA9"/>
    <w:rsid w:val="0074005D"/>
    <w:rsid w:val="00740EA7"/>
    <w:rsid w:val="007466F0"/>
    <w:rsid w:val="007527E3"/>
    <w:rsid w:val="0076187F"/>
    <w:rsid w:val="00762B0B"/>
    <w:rsid w:val="00764B02"/>
    <w:rsid w:val="0076588A"/>
    <w:rsid w:val="00767F30"/>
    <w:rsid w:val="00767F34"/>
    <w:rsid w:val="00770159"/>
    <w:rsid w:val="00770AD3"/>
    <w:rsid w:val="00772808"/>
    <w:rsid w:val="00772F44"/>
    <w:rsid w:val="00780413"/>
    <w:rsid w:val="007826FA"/>
    <w:rsid w:val="0078278F"/>
    <w:rsid w:val="00785E9F"/>
    <w:rsid w:val="00790524"/>
    <w:rsid w:val="00792648"/>
    <w:rsid w:val="0079522D"/>
    <w:rsid w:val="007A42EB"/>
    <w:rsid w:val="007A5C6E"/>
    <w:rsid w:val="007B2E34"/>
    <w:rsid w:val="007B385F"/>
    <w:rsid w:val="007B5D92"/>
    <w:rsid w:val="007C26B0"/>
    <w:rsid w:val="007C7BA1"/>
    <w:rsid w:val="007D1C80"/>
    <w:rsid w:val="007D2C70"/>
    <w:rsid w:val="007D336F"/>
    <w:rsid w:val="007D49C1"/>
    <w:rsid w:val="007D58B6"/>
    <w:rsid w:val="007E0CFA"/>
    <w:rsid w:val="007E1D55"/>
    <w:rsid w:val="007E3E04"/>
    <w:rsid w:val="007E3F64"/>
    <w:rsid w:val="007E63EE"/>
    <w:rsid w:val="007F07C6"/>
    <w:rsid w:val="00801905"/>
    <w:rsid w:val="00804AD3"/>
    <w:rsid w:val="00805E45"/>
    <w:rsid w:val="00806463"/>
    <w:rsid w:val="00806AE9"/>
    <w:rsid w:val="00806DBA"/>
    <w:rsid w:val="00810172"/>
    <w:rsid w:val="008113BF"/>
    <w:rsid w:val="00812314"/>
    <w:rsid w:val="008126DD"/>
    <w:rsid w:val="008207A3"/>
    <w:rsid w:val="008219D8"/>
    <w:rsid w:val="008229CE"/>
    <w:rsid w:val="008251A0"/>
    <w:rsid w:val="00827DD0"/>
    <w:rsid w:val="00830D93"/>
    <w:rsid w:val="00836745"/>
    <w:rsid w:val="00837B7F"/>
    <w:rsid w:val="00843AB5"/>
    <w:rsid w:val="008472E8"/>
    <w:rsid w:val="00847A62"/>
    <w:rsid w:val="00847ED3"/>
    <w:rsid w:val="00850C59"/>
    <w:rsid w:val="0085194B"/>
    <w:rsid w:val="00851A27"/>
    <w:rsid w:val="00852054"/>
    <w:rsid w:val="00855319"/>
    <w:rsid w:val="00855382"/>
    <w:rsid w:val="00856CAB"/>
    <w:rsid w:val="00857637"/>
    <w:rsid w:val="0086044F"/>
    <w:rsid w:val="00860783"/>
    <w:rsid w:val="00860F26"/>
    <w:rsid w:val="008618C9"/>
    <w:rsid w:val="00861E8B"/>
    <w:rsid w:val="00864BAE"/>
    <w:rsid w:val="00865CB0"/>
    <w:rsid w:val="00871C9F"/>
    <w:rsid w:val="0087294A"/>
    <w:rsid w:val="00873361"/>
    <w:rsid w:val="008734D2"/>
    <w:rsid w:val="00874D21"/>
    <w:rsid w:val="00882C13"/>
    <w:rsid w:val="00887D8F"/>
    <w:rsid w:val="00891205"/>
    <w:rsid w:val="008975A7"/>
    <w:rsid w:val="008A30FA"/>
    <w:rsid w:val="008A3BA0"/>
    <w:rsid w:val="008B4D10"/>
    <w:rsid w:val="008B6766"/>
    <w:rsid w:val="008C0DBA"/>
    <w:rsid w:val="008C4AC2"/>
    <w:rsid w:val="008C58C1"/>
    <w:rsid w:val="008C59FC"/>
    <w:rsid w:val="008C5DDD"/>
    <w:rsid w:val="008C7A0F"/>
    <w:rsid w:val="008D0505"/>
    <w:rsid w:val="008D61F2"/>
    <w:rsid w:val="008E1FC0"/>
    <w:rsid w:val="008E395A"/>
    <w:rsid w:val="008E3FCE"/>
    <w:rsid w:val="008E4380"/>
    <w:rsid w:val="008E4911"/>
    <w:rsid w:val="008F0E24"/>
    <w:rsid w:val="008F1E60"/>
    <w:rsid w:val="008F2366"/>
    <w:rsid w:val="008F3899"/>
    <w:rsid w:val="008F41BB"/>
    <w:rsid w:val="008F6F35"/>
    <w:rsid w:val="00904154"/>
    <w:rsid w:val="009116DA"/>
    <w:rsid w:val="00912054"/>
    <w:rsid w:val="00916471"/>
    <w:rsid w:val="009171D2"/>
    <w:rsid w:val="00917CF8"/>
    <w:rsid w:val="00917D1E"/>
    <w:rsid w:val="00920994"/>
    <w:rsid w:val="00920A1B"/>
    <w:rsid w:val="009219CA"/>
    <w:rsid w:val="009270CB"/>
    <w:rsid w:val="0092732C"/>
    <w:rsid w:val="009309E7"/>
    <w:rsid w:val="009337DC"/>
    <w:rsid w:val="0093615C"/>
    <w:rsid w:val="00937B57"/>
    <w:rsid w:val="009418DF"/>
    <w:rsid w:val="00941D45"/>
    <w:rsid w:val="00941E37"/>
    <w:rsid w:val="009446D4"/>
    <w:rsid w:val="00944AA2"/>
    <w:rsid w:val="00947524"/>
    <w:rsid w:val="00954E3B"/>
    <w:rsid w:val="00956A58"/>
    <w:rsid w:val="009621E2"/>
    <w:rsid w:val="00962AEA"/>
    <w:rsid w:val="0096477C"/>
    <w:rsid w:val="00966B36"/>
    <w:rsid w:val="00967B9C"/>
    <w:rsid w:val="00972D75"/>
    <w:rsid w:val="00977D60"/>
    <w:rsid w:val="0098282D"/>
    <w:rsid w:val="00985610"/>
    <w:rsid w:val="00987E5B"/>
    <w:rsid w:val="00997D8C"/>
    <w:rsid w:val="009A25C8"/>
    <w:rsid w:val="009A7629"/>
    <w:rsid w:val="009B1746"/>
    <w:rsid w:val="009B3D8A"/>
    <w:rsid w:val="009B487D"/>
    <w:rsid w:val="009B5148"/>
    <w:rsid w:val="009C24C2"/>
    <w:rsid w:val="009C2C8D"/>
    <w:rsid w:val="009C40A3"/>
    <w:rsid w:val="009D0288"/>
    <w:rsid w:val="009D3156"/>
    <w:rsid w:val="009D38A3"/>
    <w:rsid w:val="009D3D26"/>
    <w:rsid w:val="009D530F"/>
    <w:rsid w:val="009D6870"/>
    <w:rsid w:val="009D78DB"/>
    <w:rsid w:val="009E2A63"/>
    <w:rsid w:val="009E372C"/>
    <w:rsid w:val="009F0B4E"/>
    <w:rsid w:val="009F1CAA"/>
    <w:rsid w:val="009F24CD"/>
    <w:rsid w:val="009F32F9"/>
    <w:rsid w:val="009F6F64"/>
    <w:rsid w:val="009F6FBC"/>
    <w:rsid w:val="00A01ED1"/>
    <w:rsid w:val="00A03264"/>
    <w:rsid w:val="00A062A2"/>
    <w:rsid w:val="00A134E8"/>
    <w:rsid w:val="00A138C3"/>
    <w:rsid w:val="00A15224"/>
    <w:rsid w:val="00A152D3"/>
    <w:rsid w:val="00A2209C"/>
    <w:rsid w:val="00A22774"/>
    <w:rsid w:val="00A23024"/>
    <w:rsid w:val="00A31F33"/>
    <w:rsid w:val="00A32345"/>
    <w:rsid w:val="00A34E9E"/>
    <w:rsid w:val="00A3633E"/>
    <w:rsid w:val="00A371B6"/>
    <w:rsid w:val="00A4087F"/>
    <w:rsid w:val="00A46292"/>
    <w:rsid w:val="00A5201C"/>
    <w:rsid w:val="00A530FC"/>
    <w:rsid w:val="00A549CB"/>
    <w:rsid w:val="00A54D8B"/>
    <w:rsid w:val="00A55723"/>
    <w:rsid w:val="00A55865"/>
    <w:rsid w:val="00A56603"/>
    <w:rsid w:val="00A56BC5"/>
    <w:rsid w:val="00A57E45"/>
    <w:rsid w:val="00A65083"/>
    <w:rsid w:val="00A6733F"/>
    <w:rsid w:val="00A702B2"/>
    <w:rsid w:val="00A80BF9"/>
    <w:rsid w:val="00A8132D"/>
    <w:rsid w:val="00A820BF"/>
    <w:rsid w:val="00A829EA"/>
    <w:rsid w:val="00A84612"/>
    <w:rsid w:val="00A856F2"/>
    <w:rsid w:val="00A8627B"/>
    <w:rsid w:val="00A87DA0"/>
    <w:rsid w:val="00A90557"/>
    <w:rsid w:val="00A91689"/>
    <w:rsid w:val="00A9506F"/>
    <w:rsid w:val="00AA119D"/>
    <w:rsid w:val="00AA2148"/>
    <w:rsid w:val="00AA3831"/>
    <w:rsid w:val="00AA525D"/>
    <w:rsid w:val="00AA526A"/>
    <w:rsid w:val="00AA52D6"/>
    <w:rsid w:val="00AA70CE"/>
    <w:rsid w:val="00AB0188"/>
    <w:rsid w:val="00AB1AE7"/>
    <w:rsid w:val="00AB2AC1"/>
    <w:rsid w:val="00AB31DB"/>
    <w:rsid w:val="00AB435B"/>
    <w:rsid w:val="00AC3710"/>
    <w:rsid w:val="00AC53C6"/>
    <w:rsid w:val="00AC670B"/>
    <w:rsid w:val="00AC6A7F"/>
    <w:rsid w:val="00AD6B1B"/>
    <w:rsid w:val="00AE0931"/>
    <w:rsid w:val="00AE45B7"/>
    <w:rsid w:val="00AE5C85"/>
    <w:rsid w:val="00AE6E7B"/>
    <w:rsid w:val="00AF640C"/>
    <w:rsid w:val="00AF7A8C"/>
    <w:rsid w:val="00B0265F"/>
    <w:rsid w:val="00B07137"/>
    <w:rsid w:val="00B13DEC"/>
    <w:rsid w:val="00B14267"/>
    <w:rsid w:val="00B20870"/>
    <w:rsid w:val="00B21459"/>
    <w:rsid w:val="00B23A42"/>
    <w:rsid w:val="00B25257"/>
    <w:rsid w:val="00B2772A"/>
    <w:rsid w:val="00B3301E"/>
    <w:rsid w:val="00B33F48"/>
    <w:rsid w:val="00B350F5"/>
    <w:rsid w:val="00B3527E"/>
    <w:rsid w:val="00B3550B"/>
    <w:rsid w:val="00B35B54"/>
    <w:rsid w:val="00B449DE"/>
    <w:rsid w:val="00B45E46"/>
    <w:rsid w:val="00B5099E"/>
    <w:rsid w:val="00B56ADF"/>
    <w:rsid w:val="00B60AC5"/>
    <w:rsid w:val="00B61AD5"/>
    <w:rsid w:val="00B629B0"/>
    <w:rsid w:val="00B76337"/>
    <w:rsid w:val="00B82B56"/>
    <w:rsid w:val="00B835F5"/>
    <w:rsid w:val="00B86274"/>
    <w:rsid w:val="00B86A87"/>
    <w:rsid w:val="00B871BB"/>
    <w:rsid w:val="00B93FF0"/>
    <w:rsid w:val="00B95388"/>
    <w:rsid w:val="00BA4B0D"/>
    <w:rsid w:val="00BA7833"/>
    <w:rsid w:val="00BB2523"/>
    <w:rsid w:val="00BB6BE2"/>
    <w:rsid w:val="00BB75E7"/>
    <w:rsid w:val="00BC1623"/>
    <w:rsid w:val="00BC454C"/>
    <w:rsid w:val="00BC5BC2"/>
    <w:rsid w:val="00BC788C"/>
    <w:rsid w:val="00BC7F14"/>
    <w:rsid w:val="00BD3318"/>
    <w:rsid w:val="00BD67C5"/>
    <w:rsid w:val="00BE0E09"/>
    <w:rsid w:val="00BE2AD1"/>
    <w:rsid w:val="00BE479D"/>
    <w:rsid w:val="00BE4C74"/>
    <w:rsid w:val="00BE610E"/>
    <w:rsid w:val="00BF443A"/>
    <w:rsid w:val="00BF58AA"/>
    <w:rsid w:val="00BF68D9"/>
    <w:rsid w:val="00BF6D79"/>
    <w:rsid w:val="00BF7C01"/>
    <w:rsid w:val="00BF7F11"/>
    <w:rsid w:val="00C01597"/>
    <w:rsid w:val="00C0321D"/>
    <w:rsid w:val="00C03516"/>
    <w:rsid w:val="00C03D05"/>
    <w:rsid w:val="00C04665"/>
    <w:rsid w:val="00C05E24"/>
    <w:rsid w:val="00C07ABA"/>
    <w:rsid w:val="00C13147"/>
    <w:rsid w:val="00C14619"/>
    <w:rsid w:val="00C15275"/>
    <w:rsid w:val="00C17D63"/>
    <w:rsid w:val="00C2307F"/>
    <w:rsid w:val="00C23D48"/>
    <w:rsid w:val="00C23ED0"/>
    <w:rsid w:val="00C27BE4"/>
    <w:rsid w:val="00C30EC8"/>
    <w:rsid w:val="00C356C8"/>
    <w:rsid w:val="00C35CE8"/>
    <w:rsid w:val="00C36613"/>
    <w:rsid w:val="00C36956"/>
    <w:rsid w:val="00C3712E"/>
    <w:rsid w:val="00C47B61"/>
    <w:rsid w:val="00C5079A"/>
    <w:rsid w:val="00C50D2C"/>
    <w:rsid w:val="00C51539"/>
    <w:rsid w:val="00C51DCE"/>
    <w:rsid w:val="00C52C52"/>
    <w:rsid w:val="00C61C40"/>
    <w:rsid w:val="00C63D69"/>
    <w:rsid w:val="00C64AAD"/>
    <w:rsid w:val="00C663F9"/>
    <w:rsid w:val="00C6676C"/>
    <w:rsid w:val="00C71B3F"/>
    <w:rsid w:val="00C744BF"/>
    <w:rsid w:val="00C74B2E"/>
    <w:rsid w:val="00C74B9E"/>
    <w:rsid w:val="00C75182"/>
    <w:rsid w:val="00C75262"/>
    <w:rsid w:val="00C80E8C"/>
    <w:rsid w:val="00C810DC"/>
    <w:rsid w:val="00C855D0"/>
    <w:rsid w:val="00C859F4"/>
    <w:rsid w:val="00C901B7"/>
    <w:rsid w:val="00C91E48"/>
    <w:rsid w:val="00C92863"/>
    <w:rsid w:val="00C93AFB"/>
    <w:rsid w:val="00C969EB"/>
    <w:rsid w:val="00C97005"/>
    <w:rsid w:val="00CA131B"/>
    <w:rsid w:val="00CB0A59"/>
    <w:rsid w:val="00CB10CA"/>
    <w:rsid w:val="00CB404E"/>
    <w:rsid w:val="00CB418E"/>
    <w:rsid w:val="00CC0CD5"/>
    <w:rsid w:val="00CC5D53"/>
    <w:rsid w:val="00CC5DF7"/>
    <w:rsid w:val="00CD1823"/>
    <w:rsid w:val="00CD2A0F"/>
    <w:rsid w:val="00CD2C2D"/>
    <w:rsid w:val="00CD4C8F"/>
    <w:rsid w:val="00CD519E"/>
    <w:rsid w:val="00CD6BD2"/>
    <w:rsid w:val="00CD7336"/>
    <w:rsid w:val="00CD78E2"/>
    <w:rsid w:val="00CE35B0"/>
    <w:rsid w:val="00CE3A9E"/>
    <w:rsid w:val="00CF13F7"/>
    <w:rsid w:val="00CF3ACB"/>
    <w:rsid w:val="00CF71FC"/>
    <w:rsid w:val="00D00E8F"/>
    <w:rsid w:val="00D04B8A"/>
    <w:rsid w:val="00D108D6"/>
    <w:rsid w:val="00D12538"/>
    <w:rsid w:val="00D136D7"/>
    <w:rsid w:val="00D147AE"/>
    <w:rsid w:val="00D17ABF"/>
    <w:rsid w:val="00D20AF7"/>
    <w:rsid w:val="00D21F20"/>
    <w:rsid w:val="00D22989"/>
    <w:rsid w:val="00D23DFB"/>
    <w:rsid w:val="00D25C30"/>
    <w:rsid w:val="00D27179"/>
    <w:rsid w:val="00D321B6"/>
    <w:rsid w:val="00D32EF3"/>
    <w:rsid w:val="00D366BE"/>
    <w:rsid w:val="00D368A5"/>
    <w:rsid w:val="00D4054E"/>
    <w:rsid w:val="00D41277"/>
    <w:rsid w:val="00D41DAE"/>
    <w:rsid w:val="00D44554"/>
    <w:rsid w:val="00D45C65"/>
    <w:rsid w:val="00D45E0D"/>
    <w:rsid w:val="00D54880"/>
    <w:rsid w:val="00D54DBB"/>
    <w:rsid w:val="00D55BBE"/>
    <w:rsid w:val="00D55C21"/>
    <w:rsid w:val="00D6531F"/>
    <w:rsid w:val="00D65344"/>
    <w:rsid w:val="00D67064"/>
    <w:rsid w:val="00D74176"/>
    <w:rsid w:val="00D74718"/>
    <w:rsid w:val="00D753AD"/>
    <w:rsid w:val="00D75EE0"/>
    <w:rsid w:val="00D76001"/>
    <w:rsid w:val="00D775CD"/>
    <w:rsid w:val="00D808FC"/>
    <w:rsid w:val="00D8182C"/>
    <w:rsid w:val="00D8497B"/>
    <w:rsid w:val="00D85BE8"/>
    <w:rsid w:val="00D86365"/>
    <w:rsid w:val="00D8724D"/>
    <w:rsid w:val="00D906DA"/>
    <w:rsid w:val="00DA0738"/>
    <w:rsid w:val="00DA1760"/>
    <w:rsid w:val="00DA6734"/>
    <w:rsid w:val="00DB188E"/>
    <w:rsid w:val="00DB238A"/>
    <w:rsid w:val="00DB2F5C"/>
    <w:rsid w:val="00DB37BC"/>
    <w:rsid w:val="00DB39BC"/>
    <w:rsid w:val="00DB70B5"/>
    <w:rsid w:val="00DC2214"/>
    <w:rsid w:val="00DC27F2"/>
    <w:rsid w:val="00DD26B9"/>
    <w:rsid w:val="00DD5C8E"/>
    <w:rsid w:val="00DD6487"/>
    <w:rsid w:val="00DD715C"/>
    <w:rsid w:val="00DD790C"/>
    <w:rsid w:val="00DE1E17"/>
    <w:rsid w:val="00DE64DD"/>
    <w:rsid w:val="00DE6B45"/>
    <w:rsid w:val="00DE7860"/>
    <w:rsid w:val="00DF43FC"/>
    <w:rsid w:val="00DF58C4"/>
    <w:rsid w:val="00E00BF6"/>
    <w:rsid w:val="00E052FE"/>
    <w:rsid w:val="00E1093C"/>
    <w:rsid w:val="00E12B4F"/>
    <w:rsid w:val="00E155CA"/>
    <w:rsid w:val="00E16770"/>
    <w:rsid w:val="00E17151"/>
    <w:rsid w:val="00E17BC7"/>
    <w:rsid w:val="00E20021"/>
    <w:rsid w:val="00E20B5C"/>
    <w:rsid w:val="00E20CFE"/>
    <w:rsid w:val="00E25795"/>
    <w:rsid w:val="00E26245"/>
    <w:rsid w:val="00E26A03"/>
    <w:rsid w:val="00E26E53"/>
    <w:rsid w:val="00E309D3"/>
    <w:rsid w:val="00E31ACB"/>
    <w:rsid w:val="00E31F1B"/>
    <w:rsid w:val="00E3293E"/>
    <w:rsid w:val="00E3446F"/>
    <w:rsid w:val="00E35721"/>
    <w:rsid w:val="00E35A09"/>
    <w:rsid w:val="00E37340"/>
    <w:rsid w:val="00E374E5"/>
    <w:rsid w:val="00E42308"/>
    <w:rsid w:val="00E42489"/>
    <w:rsid w:val="00E42A4E"/>
    <w:rsid w:val="00E42DCE"/>
    <w:rsid w:val="00E430F7"/>
    <w:rsid w:val="00E445BF"/>
    <w:rsid w:val="00E47922"/>
    <w:rsid w:val="00E50114"/>
    <w:rsid w:val="00E50B8E"/>
    <w:rsid w:val="00E515D0"/>
    <w:rsid w:val="00E53267"/>
    <w:rsid w:val="00E54B46"/>
    <w:rsid w:val="00E60E76"/>
    <w:rsid w:val="00E61119"/>
    <w:rsid w:val="00E620FC"/>
    <w:rsid w:val="00E6551F"/>
    <w:rsid w:val="00E67EF3"/>
    <w:rsid w:val="00E71FA7"/>
    <w:rsid w:val="00E725A6"/>
    <w:rsid w:val="00E7354A"/>
    <w:rsid w:val="00E73D64"/>
    <w:rsid w:val="00E76328"/>
    <w:rsid w:val="00E76AD5"/>
    <w:rsid w:val="00E92657"/>
    <w:rsid w:val="00E93C8C"/>
    <w:rsid w:val="00E94412"/>
    <w:rsid w:val="00E97462"/>
    <w:rsid w:val="00E97FCD"/>
    <w:rsid w:val="00EA2641"/>
    <w:rsid w:val="00EA2D15"/>
    <w:rsid w:val="00EA329C"/>
    <w:rsid w:val="00EA43D5"/>
    <w:rsid w:val="00EA700B"/>
    <w:rsid w:val="00EB0B35"/>
    <w:rsid w:val="00EB2B63"/>
    <w:rsid w:val="00EB407A"/>
    <w:rsid w:val="00EC1C51"/>
    <w:rsid w:val="00EC484A"/>
    <w:rsid w:val="00ED30D3"/>
    <w:rsid w:val="00ED487C"/>
    <w:rsid w:val="00ED558A"/>
    <w:rsid w:val="00ED6B65"/>
    <w:rsid w:val="00ED73C7"/>
    <w:rsid w:val="00EE1B83"/>
    <w:rsid w:val="00EE5DEF"/>
    <w:rsid w:val="00EE66BF"/>
    <w:rsid w:val="00EF1C4E"/>
    <w:rsid w:val="00EF2883"/>
    <w:rsid w:val="00EF567F"/>
    <w:rsid w:val="00EF6CC9"/>
    <w:rsid w:val="00EF75BC"/>
    <w:rsid w:val="00EF7802"/>
    <w:rsid w:val="00F02D5B"/>
    <w:rsid w:val="00F04AC9"/>
    <w:rsid w:val="00F05ADC"/>
    <w:rsid w:val="00F07984"/>
    <w:rsid w:val="00F1698A"/>
    <w:rsid w:val="00F2247E"/>
    <w:rsid w:val="00F24549"/>
    <w:rsid w:val="00F24D26"/>
    <w:rsid w:val="00F24F00"/>
    <w:rsid w:val="00F2515E"/>
    <w:rsid w:val="00F257D2"/>
    <w:rsid w:val="00F2605D"/>
    <w:rsid w:val="00F261BB"/>
    <w:rsid w:val="00F30C7D"/>
    <w:rsid w:val="00F33862"/>
    <w:rsid w:val="00F35C31"/>
    <w:rsid w:val="00F36BA7"/>
    <w:rsid w:val="00F42ECB"/>
    <w:rsid w:val="00F451E6"/>
    <w:rsid w:val="00F4603D"/>
    <w:rsid w:val="00F460A0"/>
    <w:rsid w:val="00F56B2D"/>
    <w:rsid w:val="00F60179"/>
    <w:rsid w:val="00F62BCB"/>
    <w:rsid w:val="00F64467"/>
    <w:rsid w:val="00F66566"/>
    <w:rsid w:val="00F665FB"/>
    <w:rsid w:val="00F66849"/>
    <w:rsid w:val="00F72786"/>
    <w:rsid w:val="00F7337F"/>
    <w:rsid w:val="00F7416F"/>
    <w:rsid w:val="00F756D7"/>
    <w:rsid w:val="00F756F3"/>
    <w:rsid w:val="00F75B6C"/>
    <w:rsid w:val="00F75D86"/>
    <w:rsid w:val="00F82415"/>
    <w:rsid w:val="00F825CD"/>
    <w:rsid w:val="00F8406E"/>
    <w:rsid w:val="00F8694A"/>
    <w:rsid w:val="00F918FD"/>
    <w:rsid w:val="00F9357C"/>
    <w:rsid w:val="00F944DE"/>
    <w:rsid w:val="00F97157"/>
    <w:rsid w:val="00FA662D"/>
    <w:rsid w:val="00FA6C3E"/>
    <w:rsid w:val="00FB1372"/>
    <w:rsid w:val="00FB16EC"/>
    <w:rsid w:val="00FB1F1B"/>
    <w:rsid w:val="00FB38C5"/>
    <w:rsid w:val="00FB59BA"/>
    <w:rsid w:val="00FC1142"/>
    <w:rsid w:val="00FC2463"/>
    <w:rsid w:val="00FC3443"/>
    <w:rsid w:val="00FC5C50"/>
    <w:rsid w:val="00FC6E1F"/>
    <w:rsid w:val="00FD0322"/>
    <w:rsid w:val="00FD229C"/>
    <w:rsid w:val="00FD461C"/>
    <w:rsid w:val="00FD4BE1"/>
    <w:rsid w:val="00FE4F44"/>
    <w:rsid w:val="00FE77E4"/>
    <w:rsid w:val="00FF38B5"/>
    <w:rsid w:val="00FF5861"/>
    <w:rsid w:val="00FF5A33"/>
    <w:rsid w:val="00FF7F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able of authorities"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A71"/>
    <w:pPr>
      <w:spacing w:after="200" w:line="276" w:lineRule="auto"/>
    </w:pPr>
  </w:style>
  <w:style w:type="paragraph" w:styleId="Heading1">
    <w:name w:val="heading 1"/>
    <w:basedOn w:val="Normal"/>
    <w:next w:val="Normal"/>
    <w:link w:val="Heading1Char"/>
    <w:uiPriority w:val="99"/>
    <w:qFormat/>
    <w:rsid w:val="00200E3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D20AF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0E39"/>
    <w:rPr>
      <w:rFonts w:ascii="Cambria" w:hAnsi="Cambria"/>
      <w:b/>
      <w:kern w:val="32"/>
      <w:sz w:val="32"/>
    </w:rPr>
  </w:style>
  <w:style w:type="character" w:customStyle="1" w:styleId="Heading2Char">
    <w:name w:val="Heading 2 Char"/>
    <w:basedOn w:val="DefaultParagraphFont"/>
    <w:link w:val="Heading2"/>
    <w:uiPriority w:val="99"/>
    <w:locked/>
    <w:rsid w:val="00D20AF7"/>
    <w:rPr>
      <w:rFonts w:ascii="Cambria" w:hAnsi="Cambria"/>
      <w:b/>
      <w:i/>
      <w:sz w:val="28"/>
    </w:rPr>
  </w:style>
  <w:style w:type="character" w:styleId="CommentReference">
    <w:name w:val="annotation reference"/>
    <w:basedOn w:val="DefaultParagraphFont"/>
    <w:uiPriority w:val="99"/>
    <w:semiHidden/>
    <w:rsid w:val="00200E39"/>
    <w:rPr>
      <w:rFonts w:cs="Times New Roman"/>
      <w:sz w:val="16"/>
    </w:rPr>
  </w:style>
  <w:style w:type="paragraph" w:styleId="CommentText">
    <w:name w:val="annotation text"/>
    <w:basedOn w:val="Normal"/>
    <w:link w:val="CommentTextChar"/>
    <w:uiPriority w:val="99"/>
    <w:semiHidden/>
    <w:rsid w:val="00200E39"/>
    <w:pPr>
      <w:spacing w:after="0" w:line="480" w:lineRule="exact"/>
      <w:ind w:firstLine="432"/>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200E39"/>
    <w:rPr>
      <w:rFonts w:ascii="Times New Roman" w:hAnsi="Times New Roman"/>
      <w:lang/>
    </w:rPr>
  </w:style>
  <w:style w:type="character" w:styleId="Emphasis">
    <w:name w:val="Emphasis"/>
    <w:basedOn w:val="DefaultParagraphFont"/>
    <w:uiPriority w:val="99"/>
    <w:qFormat/>
    <w:rsid w:val="00200E39"/>
    <w:rPr>
      <w:rFonts w:cs="Times New Roman"/>
      <w:i/>
    </w:rPr>
  </w:style>
  <w:style w:type="character" w:customStyle="1" w:styleId="st">
    <w:name w:val="st"/>
    <w:uiPriority w:val="99"/>
    <w:rsid w:val="00200E39"/>
  </w:style>
  <w:style w:type="paragraph" w:styleId="BalloonText">
    <w:name w:val="Balloon Text"/>
    <w:basedOn w:val="Normal"/>
    <w:link w:val="BalloonTextChar"/>
    <w:uiPriority w:val="99"/>
    <w:semiHidden/>
    <w:rsid w:val="00200E3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00E39"/>
    <w:rPr>
      <w:rFonts w:ascii="Tahoma" w:hAnsi="Tahoma"/>
      <w:sz w:val="16"/>
    </w:rPr>
  </w:style>
  <w:style w:type="character" w:customStyle="1" w:styleId="Title1">
    <w:name w:val="Title1"/>
    <w:basedOn w:val="DefaultParagraphFont"/>
    <w:uiPriority w:val="99"/>
    <w:rsid w:val="00F756D7"/>
    <w:rPr>
      <w:rFonts w:cs="Times New Roman"/>
    </w:rPr>
  </w:style>
  <w:style w:type="character" w:customStyle="1" w:styleId="ital">
    <w:name w:val="ital"/>
    <w:basedOn w:val="DefaultParagraphFont"/>
    <w:uiPriority w:val="99"/>
    <w:rsid w:val="00F756D7"/>
    <w:rPr>
      <w:rFonts w:cs="Times New Roman"/>
    </w:rPr>
  </w:style>
  <w:style w:type="paragraph" w:styleId="BodyText">
    <w:name w:val="Body Text"/>
    <w:basedOn w:val="Normal"/>
    <w:link w:val="BodyTextChar"/>
    <w:uiPriority w:val="99"/>
    <w:rsid w:val="00F756D7"/>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F756D7"/>
    <w:rPr>
      <w:rFonts w:ascii="Times New Roman" w:hAnsi="Times New Roman" w:cs="Times New Roman"/>
      <w:sz w:val="24"/>
      <w:szCs w:val="24"/>
      <w:lang/>
    </w:rPr>
  </w:style>
  <w:style w:type="paragraph" w:styleId="TableofAuthorities">
    <w:name w:val="table of authorities"/>
    <w:basedOn w:val="Normal"/>
    <w:uiPriority w:val="99"/>
    <w:semiHidden/>
    <w:rsid w:val="00F756D7"/>
    <w:pPr>
      <w:spacing w:after="0" w:line="480" w:lineRule="exact"/>
      <w:ind w:left="432" w:hanging="432"/>
    </w:pPr>
    <w:rPr>
      <w:rFonts w:ascii="Times New Roman" w:eastAsia="Times New Roman" w:hAnsi="Times New Roman"/>
      <w:sz w:val="24"/>
      <w:szCs w:val="24"/>
    </w:rPr>
  </w:style>
  <w:style w:type="paragraph" w:styleId="ListParagraph">
    <w:name w:val="List Paragraph"/>
    <w:basedOn w:val="Normal"/>
    <w:uiPriority w:val="99"/>
    <w:qFormat/>
    <w:rsid w:val="008C58C1"/>
    <w:pPr>
      <w:ind w:left="720"/>
      <w:contextualSpacing/>
    </w:pPr>
  </w:style>
  <w:style w:type="paragraph" w:styleId="NoSpacing">
    <w:name w:val="No Spacing"/>
    <w:link w:val="NoSpacingChar"/>
    <w:uiPriority w:val="99"/>
    <w:qFormat/>
    <w:rsid w:val="00A56BC5"/>
    <w:rPr>
      <w:rFonts w:eastAsia="Times New Roman"/>
      <w:lang w:eastAsia="ja-JP"/>
    </w:rPr>
  </w:style>
  <w:style w:type="character" w:customStyle="1" w:styleId="NoSpacingChar">
    <w:name w:val="No Spacing Char"/>
    <w:basedOn w:val="DefaultParagraphFont"/>
    <w:link w:val="NoSpacing"/>
    <w:uiPriority w:val="99"/>
    <w:locked/>
    <w:rsid w:val="00A56BC5"/>
    <w:rPr>
      <w:rFonts w:ascii="Calibri" w:hAnsi="Calibri" w:cs="Times New Roman"/>
      <w:sz w:val="22"/>
      <w:szCs w:val="22"/>
      <w:lang w:val="en-US" w:eastAsia="ja-JP"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797</Words>
  <Characters>4547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EDR Turbulence Implementation Plan</dc:title>
  <dc:subject>DRAFT</dc:subject>
  <dc:creator>Gregory Meymaris, NCAR</dc:creator>
  <cp:keywords/>
  <dc:description/>
  <cp:lastModifiedBy>Dean Lockett</cp:lastModifiedBy>
  <cp:revision>2</cp:revision>
  <dcterms:created xsi:type="dcterms:W3CDTF">2014-02-14T07:42:00Z</dcterms:created>
  <dcterms:modified xsi:type="dcterms:W3CDTF">2014-02-14T07:42:00Z</dcterms:modified>
</cp:coreProperties>
</file>