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DD4182"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7175EF" w:rsidRDefault="00DD4182" w:rsidP="007175EF">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7175EF">
                  <w:rPr>
                    <w:rFonts w:cs="Tahoma"/>
                    <w:b/>
                    <w:bCs/>
                    <w:color w:val="365F91" w:themeColor="accent1" w:themeShade="BF"/>
                    <w:szCs w:val="22"/>
                    <w:lang w:val="en-US"/>
                  </w:rPr>
                  <w:t>CIMO/</w:t>
                </w:r>
                <w:r w:rsidR="00521594" w:rsidRPr="007175EF">
                  <w:rPr>
                    <w:rFonts w:cs="Tahoma"/>
                    <w:b/>
                    <w:bCs/>
                    <w:color w:val="365F91" w:themeColor="accent1" w:themeShade="BF"/>
                    <w:szCs w:val="22"/>
                    <w:lang w:val="en-US"/>
                  </w:rPr>
                  <w:t>MG</w:t>
                </w:r>
                <w:r w:rsidR="000059CA" w:rsidRPr="007175EF">
                  <w:rPr>
                    <w:rFonts w:cs="Tahoma"/>
                    <w:b/>
                    <w:bCs/>
                    <w:color w:val="365F91" w:themeColor="accent1" w:themeShade="BF"/>
                    <w:szCs w:val="22"/>
                    <w:lang w:val="en-US"/>
                  </w:rPr>
                  <w:t>-</w:t>
                </w:r>
                <w:r w:rsidR="001647E8" w:rsidRPr="007175EF">
                  <w:rPr>
                    <w:rFonts w:cs="Tahoma"/>
                    <w:b/>
                    <w:bCs/>
                    <w:color w:val="365F91" w:themeColor="accent1" w:themeShade="BF"/>
                    <w:szCs w:val="22"/>
                    <w:lang w:val="en-US"/>
                  </w:rPr>
                  <w:t>1</w:t>
                </w:r>
                <w:r w:rsidR="00521594" w:rsidRPr="007175EF">
                  <w:rPr>
                    <w:rFonts w:cs="Tahoma"/>
                    <w:b/>
                    <w:bCs/>
                    <w:color w:val="365F91" w:themeColor="accent1" w:themeShade="BF"/>
                    <w:szCs w:val="22"/>
                    <w:lang w:val="en-US"/>
                  </w:rPr>
                  <w:t>5</w:t>
                </w:r>
              </w:sdtContent>
            </w:sdt>
            <w:r w:rsidR="000D4FA3" w:rsidRPr="007175EF">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7175EF">
                  <w:rPr>
                    <w:rFonts w:cs="Tahoma"/>
                    <w:b/>
                    <w:bCs/>
                    <w:color w:val="365F91" w:themeColor="accent1" w:themeShade="BF"/>
                    <w:szCs w:val="22"/>
                    <w:lang w:val="en-US"/>
                  </w:rPr>
                  <w:t xml:space="preserve">Doc. </w:t>
                </w:r>
                <w:r w:rsidR="007175EF" w:rsidRPr="007175EF">
                  <w:rPr>
                    <w:rFonts w:cs="Tahoma"/>
                    <w:b/>
                    <w:bCs/>
                    <w:color w:val="365F91" w:themeColor="accent1" w:themeShade="BF"/>
                    <w:szCs w:val="22"/>
                    <w:lang w:val="en-US"/>
                  </w:rPr>
                  <w:t>2</w:t>
                </w:r>
                <w:r w:rsidR="000D4FA3" w:rsidRPr="007175EF">
                  <w:rPr>
                    <w:rFonts w:cs="Tahoma"/>
                    <w:b/>
                    <w:bCs/>
                    <w:color w:val="365F91" w:themeColor="accent1" w:themeShade="BF"/>
                    <w:szCs w:val="22"/>
                    <w:lang w:val="en-US"/>
                  </w:rPr>
                  <w:t>.</w:t>
                </w:r>
                <w:r w:rsidR="007175EF" w:rsidRPr="007175EF">
                  <w:rPr>
                    <w:rFonts w:cs="Tahoma"/>
                    <w:b/>
                    <w:bCs/>
                    <w:color w:val="365F91" w:themeColor="accent1" w:themeShade="BF"/>
                    <w:szCs w:val="22"/>
                    <w:lang w:val="en-US"/>
                  </w:rPr>
                  <w:t>5</w:t>
                </w:r>
                <w:r w:rsidR="000D4FA3" w:rsidRPr="007175EF">
                  <w:rPr>
                    <w:rFonts w:cs="Tahoma"/>
                    <w:b/>
                    <w:bCs/>
                    <w:color w:val="365F91" w:themeColor="accent1" w:themeShade="BF"/>
                    <w:szCs w:val="22"/>
                    <w:lang w:val="en-US"/>
                  </w:rPr>
                  <w:t>(</w:t>
                </w:r>
                <w:r w:rsidR="007175EF" w:rsidRPr="007175EF">
                  <w:rPr>
                    <w:rFonts w:cs="Tahoma"/>
                    <w:b/>
                    <w:bCs/>
                    <w:color w:val="365F91" w:themeColor="accent1" w:themeShade="BF"/>
                    <w:szCs w:val="22"/>
                    <w:lang w:val="en-US"/>
                  </w:rPr>
                  <w:t>2</w:t>
                </w:r>
                <w:r w:rsidR="000D4FA3" w:rsidRPr="007175EF">
                  <w:rPr>
                    <w:rFonts w:cs="Tahoma"/>
                    <w:b/>
                    <w:bCs/>
                    <w:color w:val="365F91" w:themeColor="accent1" w:themeShade="BF"/>
                    <w:szCs w:val="22"/>
                    <w:lang w:val="en-US"/>
                  </w:rPr>
                  <w:t>)</w:t>
                </w:r>
              </w:sdtContent>
            </w:sdt>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7175EF" w:rsidRDefault="00993581" w:rsidP="004A549F">
            <w:pPr>
              <w:tabs>
                <w:tab w:val="clear" w:pos="1134"/>
              </w:tabs>
              <w:spacing w:after="60"/>
              <w:ind w:right="34"/>
              <w:jc w:val="right"/>
              <w:rPr>
                <w:rFonts w:cs="Tahoma"/>
                <w:color w:val="365F91" w:themeColor="accent1" w:themeShade="BF"/>
                <w:szCs w:val="22"/>
              </w:rPr>
            </w:pPr>
            <w:r w:rsidRPr="007175EF">
              <w:rPr>
                <w:rFonts w:cs="Tahoma"/>
                <w:color w:val="365F91" w:themeColor="accent1" w:themeShade="BF"/>
                <w:szCs w:val="22"/>
              </w:rPr>
              <w:t>Submitted by:</w:t>
            </w:r>
            <w:r w:rsidRPr="007175EF">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7175EF" w:rsidRPr="007175EF">
                  <w:rPr>
                    <w:rFonts w:cs="Tahoma"/>
                    <w:color w:val="365F91" w:themeColor="accent1" w:themeShade="BF"/>
                    <w:szCs w:val="22"/>
                  </w:rPr>
                  <w:t>J.P. van der Meulen</w:t>
                </w:r>
              </w:sdtContent>
            </w:sdt>
          </w:p>
          <w:p w:rsidR="00993581" w:rsidRPr="007175EF" w:rsidRDefault="007175EF" w:rsidP="001647E8">
            <w:pPr>
              <w:tabs>
                <w:tab w:val="clear" w:pos="1134"/>
              </w:tabs>
              <w:spacing w:after="60"/>
              <w:ind w:right="-108"/>
              <w:jc w:val="right"/>
              <w:rPr>
                <w:rFonts w:cs="Tahoma"/>
                <w:color w:val="365F91" w:themeColor="accent1" w:themeShade="BF"/>
                <w:szCs w:val="22"/>
              </w:rPr>
            </w:pPr>
            <w:r w:rsidRPr="007175EF">
              <w:rPr>
                <w:rFonts w:cs="Tahoma"/>
                <w:color w:val="365F91" w:themeColor="accent1" w:themeShade="BF"/>
                <w:szCs w:val="22"/>
              </w:rPr>
              <w:t>22</w:t>
            </w:r>
            <w:r w:rsidR="000D4FA3" w:rsidRPr="007175EF">
              <w:rPr>
                <w:rFonts w:cs="Tahoma"/>
                <w:color w:val="365F91" w:themeColor="accent1" w:themeShade="BF"/>
                <w:szCs w:val="22"/>
              </w:rPr>
              <w:t>.</w:t>
            </w:r>
            <w:r w:rsidRPr="007175EF">
              <w:rPr>
                <w:rFonts w:cs="Tahoma"/>
                <w:color w:val="365F91" w:themeColor="accent1" w:themeShade="BF"/>
                <w:szCs w:val="22"/>
              </w:rPr>
              <w:t>03</w:t>
            </w:r>
            <w:r w:rsidR="000D4FA3" w:rsidRPr="007175EF">
              <w:rPr>
                <w:rFonts w:cs="Tahoma"/>
                <w:color w:val="365F91" w:themeColor="accent1" w:themeShade="BF"/>
                <w:szCs w:val="22"/>
              </w:rPr>
              <w:t>.</w:t>
            </w:r>
            <w:r w:rsidR="0050695F" w:rsidRPr="007175EF">
              <w:rPr>
                <w:rFonts w:cs="Tahoma"/>
                <w:color w:val="365F91" w:themeColor="accent1" w:themeShade="BF"/>
                <w:szCs w:val="22"/>
              </w:rPr>
              <w:t>201</w:t>
            </w:r>
            <w:r w:rsidR="001647E8" w:rsidRPr="007175EF">
              <w:rPr>
                <w:rFonts w:cs="Tahoma"/>
                <w:color w:val="365F91" w:themeColor="accent1" w:themeShade="BF"/>
                <w:szCs w:val="22"/>
              </w:rPr>
              <w:t>8</w:t>
            </w:r>
          </w:p>
          <w:p w:rsidR="00993581" w:rsidRPr="007175EF"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255587">
      <w:pPr>
        <w:pStyle w:val="Heading1"/>
        <w:numPr>
          <w:ilvl w:val="0"/>
          <w:numId w:val="0"/>
        </w:numPr>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6B17F4" w:rsidRPr="00887305" w:rsidRDefault="006B17F4" w:rsidP="006B17F4">
      <w:pPr>
        <w:jc w:val="center"/>
        <w:rPr>
          <w:b/>
          <w:bCs/>
        </w:rPr>
      </w:pPr>
      <w:r>
        <w:rPr>
          <w:b/>
          <w:bCs/>
          <w:iCs/>
        </w:rPr>
        <w:t>REPORT</w:t>
      </w:r>
      <w:r w:rsidRPr="00714E7A">
        <w:rPr>
          <w:b/>
          <w:bCs/>
          <w:iCs/>
        </w:rPr>
        <w:t xml:space="preserve"> </w:t>
      </w:r>
      <w:r>
        <w:rPr>
          <w:b/>
          <w:bCs/>
          <w:iCs/>
        </w:rPr>
        <w:t>FROM THE</w:t>
      </w:r>
      <w:r w:rsidRPr="00714E7A">
        <w:rPr>
          <w:b/>
          <w:bCs/>
          <w:iCs/>
        </w:rPr>
        <w:t xml:space="preserve"> CIMO </w:t>
      </w:r>
      <w:r>
        <w:rPr>
          <w:b/>
          <w:bCs/>
          <w:iCs/>
        </w:rPr>
        <w:t>FOCAL POINT ON DISASTER RISK REDUCTION</w:t>
      </w:r>
    </w:p>
    <w:p w:rsidR="006B17F4" w:rsidRPr="002933FB" w:rsidRDefault="006B17F4" w:rsidP="006B17F4">
      <w:pPr>
        <w:autoSpaceDE w:val="0"/>
        <w:autoSpaceDN w:val="0"/>
        <w:adjustRightInd w:val="0"/>
        <w:rPr>
          <w:bCs/>
          <w:iCs/>
        </w:rPr>
      </w:pPr>
    </w:p>
    <w:p w:rsidR="00DA1C80" w:rsidRPr="006B17F4" w:rsidRDefault="006B17F4" w:rsidP="006B17F4">
      <w:pPr>
        <w:jc w:val="center"/>
        <w:rPr>
          <w:lang w:val="nl-NL" w:eastAsia="zh-TW"/>
        </w:rPr>
      </w:pPr>
      <w:r w:rsidRPr="009A41E3">
        <w:rPr>
          <w:lang w:val="nl-NL"/>
        </w:rPr>
        <w:t>(Submitted by Jitze P. van der Meulen)</w:t>
      </w:r>
    </w:p>
    <w:p w:rsidR="00DA1C80" w:rsidRPr="006B17F4" w:rsidRDefault="00DA1C80" w:rsidP="00DA1C80">
      <w:pPr>
        <w:pStyle w:val="WMOBodyText"/>
        <w:rPr>
          <w:lang w:val="nl-NL"/>
        </w:rPr>
      </w:pPr>
    </w:p>
    <w:p w:rsidR="00DA1C80" w:rsidRPr="006B17F4" w:rsidRDefault="00DA1C80" w:rsidP="00DA1C80">
      <w:pPr>
        <w:rPr>
          <w:lang w:val="nl-NL"/>
        </w:rPr>
      </w:pPr>
    </w:p>
    <w:p w:rsidR="00DA1C80" w:rsidRPr="006B17F4" w:rsidRDefault="00DA1C80" w:rsidP="00DA1C80">
      <w:pPr>
        <w:rPr>
          <w:lang w:val="nl-NL"/>
        </w:rPr>
      </w:pPr>
    </w:p>
    <w:p w:rsidR="00DA1C80" w:rsidRPr="006B17F4" w:rsidRDefault="00DA1C80" w:rsidP="00DA1C80">
      <w:pPr>
        <w:tabs>
          <w:tab w:val="left" w:pos="2268"/>
          <w:tab w:val="left" w:pos="3402"/>
          <w:tab w:val="left" w:pos="4534"/>
        </w:tabs>
        <w:rPr>
          <w:lang w:val="nl-N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6B17F4" w:rsidRDefault="00DA1C80" w:rsidP="00917FBC">
            <w:pPr>
              <w:rPr>
                <w:lang w:val="nl-NL"/>
              </w:rPr>
            </w:pPr>
          </w:p>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Default="006B17F4" w:rsidP="00917FBC">
            <w:pPr>
              <w:tabs>
                <w:tab w:val="left" w:pos="148"/>
              </w:tabs>
              <w:ind w:left="148" w:right="157"/>
              <w:rPr>
                <w:lang w:val="en-US"/>
              </w:rPr>
            </w:pPr>
            <w:r w:rsidRPr="003E2CA4">
              <w:rPr>
                <w:lang w:val="en-US"/>
              </w:rPr>
              <w:t xml:space="preserve">This document provides information on the </w:t>
            </w:r>
            <w:r>
              <w:rPr>
                <w:lang w:val="en-US"/>
              </w:rPr>
              <w:t>on</w:t>
            </w:r>
            <w:r w:rsidRPr="003E2CA4">
              <w:rPr>
                <w:lang w:val="en-US"/>
              </w:rPr>
              <w:t>going activities of the WMO Disaster Risk Reduction Programme as endorsed by Cg. It informs on the position of CIMO within this programme and the possible contributions to DRR</w:t>
            </w:r>
            <w:r>
              <w:rPr>
                <w:lang w:val="en-US"/>
              </w:rPr>
              <w:t xml:space="preserve"> by CIMO</w:t>
            </w:r>
            <w:r w:rsidRPr="003E2CA4">
              <w:rPr>
                <w:lang w:val="en-US"/>
              </w:rPr>
              <w:t>.</w:t>
            </w:r>
          </w:p>
          <w:p w:rsidR="006B17F4" w:rsidRPr="006B17F4" w:rsidRDefault="006B17F4" w:rsidP="006B17F4">
            <w:pPr>
              <w:pStyle w:val="WMOBodyText"/>
              <w:rPr>
                <w:lang w:val="en-US" w:eastAsia="en-US"/>
              </w:rPr>
            </w:pP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A1C80">
      <w:pPr>
        <w:tabs>
          <w:tab w:val="left" w:pos="851"/>
        </w:tabs>
        <w:ind w:right="-1"/>
      </w:pPr>
      <w:r w:rsidRPr="005E600A">
        <w:tab/>
      </w:r>
      <w:r w:rsidR="006B17F4" w:rsidRPr="005E600A">
        <w:t xml:space="preserve">The Meeting is invited to </w:t>
      </w:r>
      <w:r w:rsidR="006B17F4">
        <w:t>take notice of this report and to decide on any ongoing support by CIMO to the DRR Programme.</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6B17F4" w:rsidP="00DA1C80">
      <w:pPr>
        <w:pStyle w:val="WMOBodyText"/>
        <w:rPr>
          <w:b/>
          <w:lang w:eastAsia="en-US"/>
        </w:rPr>
      </w:pPr>
      <w:r w:rsidRPr="006B17F4">
        <w:rPr>
          <w:b/>
          <w:lang w:eastAsia="en-US"/>
        </w:rPr>
        <w:t>References:</w:t>
      </w:r>
    </w:p>
    <w:p w:rsidR="006B17F4" w:rsidRPr="006B17F4" w:rsidRDefault="006B17F4" w:rsidP="006B17F4">
      <w:pPr>
        <w:pStyle w:val="WMOBodyText"/>
        <w:numPr>
          <w:ilvl w:val="0"/>
          <w:numId w:val="18"/>
        </w:numPr>
        <w:rPr>
          <w:lang w:val="en-US" w:eastAsia="en-US"/>
        </w:rPr>
      </w:pPr>
      <w:r w:rsidRPr="006B17F4">
        <w:rPr>
          <w:lang w:eastAsia="en-US"/>
        </w:rPr>
        <w:t xml:space="preserve">2016 (3rd) Meeting of the WMO Disaster Risk Reduction Focal Points of Regional Associations, Technical Commissions and Programmes </w:t>
      </w:r>
      <w:r w:rsidRPr="006B17F4">
        <w:rPr>
          <w:lang w:val="en-US" w:eastAsia="en-US"/>
        </w:rPr>
        <w:t xml:space="preserve">(DRR FP RA-TC-TP), see </w:t>
      </w:r>
      <w:hyperlink r:id="rId10" w:history="1">
        <w:r w:rsidR="00255587" w:rsidRPr="00255587">
          <w:rPr>
            <w:rStyle w:val="Hyperlink"/>
            <w:lang w:val="en-US" w:eastAsia="en-US"/>
          </w:rPr>
          <w:t>http://www.wmo.int/pages/prog/drr/eventsThematic_en.html</w:t>
        </w:r>
      </w:hyperlink>
      <w:r>
        <w:rPr>
          <w:lang w:val="en-US" w:eastAsia="en-US"/>
        </w:rPr>
        <w:t xml:space="preserve"> </w:t>
      </w:r>
    </w:p>
    <w:p w:rsidR="00DA1C80" w:rsidRPr="006B17F4" w:rsidRDefault="00DA1C80" w:rsidP="00DA1C80">
      <w:pPr>
        <w:pStyle w:val="WMOBodyText"/>
        <w:rPr>
          <w:lang w:val="en-US" w:eastAsia="en-US"/>
        </w:rPr>
      </w:pPr>
    </w:p>
    <w:p w:rsidR="00DA1C80" w:rsidRPr="006B17F4" w:rsidRDefault="00DA1C80" w:rsidP="00DA1C80">
      <w:pPr>
        <w:rPr>
          <w:lang w:val="en-US"/>
        </w:rPr>
      </w:pPr>
    </w:p>
    <w:p w:rsidR="00DA1C80" w:rsidRPr="006B17F4" w:rsidRDefault="00DA1C80" w:rsidP="00DA1C80">
      <w:pPr>
        <w:rPr>
          <w:lang w:val="en-US"/>
        </w:rPr>
      </w:pPr>
    </w:p>
    <w:p w:rsidR="00DA1C80" w:rsidRPr="006B17F4" w:rsidRDefault="00DA1C80" w:rsidP="00DA1C80">
      <w:pPr>
        <w:rPr>
          <w:lang w:val="en-US"/>
        </w:rPr>
      </w:pPr>
    </w:p>
    <w:p w:rsidR="00DA1C80" w:rsidRPr="009163B2" w:rsidRDefault="00DA1C80" w:rsidP="00DD4182">
      <w:pPr>
        <w:tabs>
          <w:tab w:val="left" w:pos="1560"/>
          <w:tab w:val="left" w:pos="1985"/>
        </w:tabs>
      </w:pPr>
      <w:r w:rsidRPr="006549C9">
        <w:rPr>
          <w:b/>
        </w:rPr>
        <w:t>Appendi</w:t>
      </w:r>
      <w:r w:rsidR="00DD4182">
        <w:rPr>
          <w:b/>
        </w:rPr>
        <w:t>x</w:t>
      </w:r>
      <w:r w:rsidRPr="006549C9">
        <w:rPr>
          <w:b/>
        </w:rPr>
        <w:t>:</w:t>
      </w:r>
      <w:r w:rsidR="00DD4182">
        <w:rPr>
          <w:b/>
        </w:rPr>
        <w:tab/>
      </w:r>
      <w:r w:rsidRPr="006549C9">
        <w:tab/>
      </w:r>
      <w:hyperlink w:anchor="Appendix" w:history="1">
        <w:r w:rsidR="007175EF" w:rsidRPr="00DD4182">
          <w:rPr>
            <w:rStyle w:val="Hyperlink"/>
          </w:rPr>
          <w:t>IOM documents, useful for DRR</w:t>
        </w:r>
      </w:hyperlink>
      <w:bookmarkStart w:id="1" w:name="_GoBack"/>
      <w:bookmarkEnd w:id="1"/>
    </w:p>
    <w:p w:rsidR="00DA1C80" w:rsidRDefault="00DA1C80" w:rsidP="00DA1C80">
      <w:pPr>
        <w:tabs>
          <w:tab w:val="left" w:pos="1560"/>
          <w:tab w:val="left" w:pos="1985"/>
        </w:tabs>
      </w:pPr>
      <w:r w:rsidRPr="009163B2">
        <w:tab/>
      </w:r>
      <w:r w:rsidRPr="009163B2">
        <w:tab/>
      </w:r>
    </w:p>
    <w:p w:rsidR="004A549F" w:rsidRDefault="004A549F" w:rsidP="004A549F">
      <w:pPr>
        <w:pStyle w:val="WMOBodyText"/>
        <w:rPr>
          <w:lang w:eastAsia="en-US"/>
        </w:rPr>
        <w:sectPr w:rsidR="004A549F" w:rsidSect="004A549F">
          <w:headerReference w:type="default" r:id="rId11"/>
          <w:footerReference w:type="even" r:id="rId12"/>
          <w:footerReference w:type="default" r:id="rId13"/>
          <w:pgSz w:w="11906" w:h="16838" w:code="9"/>
          <w:pgMar w:top="1134" w:right="1134" w:bottom="1134" w:left="1134" w:header="720" w:footer="720" w:gutter="0"/>
          <w:pgNumType w:start="1"/>
          <w:cols w:space="720"/>
          <w:titlePg/>
          <w:docGrid w:linePitch="272"/>
        </w:sectPr>
      </w:pPr>
    </w:p>
    <w:p w:rsidR="00DA1C80" w:rsidRDefault="00DD4C64" w:rsidP="008E677B">
      <w:pPr>
        <w:tabs>
          <w:tab w:val="left" w:pos="4299"/>
        </w:tabs>
        <w:rPr>
          <w:b/>
          <w:bCs/>
          <w:iCs/>
          <w:lang w:val="en-US"/>
        </w:rPr>
      </w:pPr>
      <w:bookmarkStart w:id="2" w:name="_Draft_Decision_X.X.X(X)/1"/>
      <w:bookmarkStart w:id="3" w:name="_Toc319327009"/>
      <w:bookmarkEnd w:id="2"/>
      <w:r>
        <w:rPr>
          <w:b/>
          <w:bCs/>
          <w:iCs/>
          <w:lang w:val="en-US"/>
        </w:rPr>
        <w:lastRenderedPageBreak/>
        <w:tab/>
      </w:r>
      <w:r>
        <w:rPr>
          <w:b/>
          <w:bCs/>
          <w:iCs/>
          <w:lang w:val="en-US"/>
        </w:rPr>
        <w:tab/>
      </w:r>
    </w:p>
    <w:p w:rsidR="00DA1C80" w:rsidRDefault="008E677B" w:rsidP="008E677B">
      <w:pPr>
        <w:jc w:val="center"/>
        <w:rPr>
          <w:b/>
          <w:bCs/>
          <w:iCs/>
          <w:lang w:val="en-US"/>
        </w:rPr>
      </w:pPr>
      <w:r>
        <w:rPr>
          <w:b/>
          <w:bCs/>
          <w:iCs/>
          <w:lang w:val="en-US"/>
        </w:rPr>
        <w:t>EXECUTIVE SUMMARY</w:t>
      </w:r>
    </w:p>
    <w:p w:rsidR="0070335A" w:rsidRPr="00B52BFC" w:rsidRDefault="0070335A" w:rsidP="001F3E4E">
      <w:pPr>
        <w:numPr>
          <w:ilvl w:val="0"/>
          <w:numId w:val="19"/>
        </w:numPr>
        <w:tabs>
          <w:tab w:val="clear" w:pos="720"/>
          <w:tab w:val="clear" w:pos="1134"/>
          <w:tab w:val="left" w:pos="770"/>
        </w:tabs>
        <w:spacing w:before="240"/>
        <w:ind w:left="771" w:hanging="771"/>
        <w:rPr>
          <w:b/>
          <w:bCs/>
          <w:lang w:val="en-US"/>
        </w:rPr>
      </w:pPr>
      <w:r w:rsidRPr="00B52BFC">
        <w:rPr>
          <w:b/>
          <w:bCs/>
          <w:lang w:val="en-US"/>
        </w:rPr>
        <w:t>INTRODUCTION</w:t>
      </w:r>
    </w:p>
    <w:p w:rsidR="0070335A" w:rsidRDefault="0070335A" w:rsidP="0070335A">
      <w:pPr>
        <w:numPr>
          <w:ilvl w:val="1"/>
          <w:numId w:val="20"/>
        </w:numPr>
        <w:tabs>
          <w:tab w:val="clear" w:pos="1134"/>
          <w:tab w:val="left" w:pos="770"/>
        </w:tabs>
        <w:spacing w:before="120"/>
      </w:pPr>
      <w:r>
        <w:t xml:space="preserve">The Disaster Risk Reduction Programme (DRR) is a core programme within WMO supported by all Technical Commissions and Regional Associations. With dedicated projects initiated by the DRR teams, and with financial support from external partners efforts are made to demonstrate the potential to reduce the impacts of disasters, </w:t>
      </w:r>
      <w:r w:rsidRPr="00853E2E">
        <w:t>related to meteorological, hydrological and climate hazards</w:t>
      </w:r>
      <w:r>
        <w:t xml:space="preserve">. Information on the DRR programme can be found on </w:t>
      </w:r>
      <w:hyperlink r:id="rId14" w:history="1">
        <w:r w:rsidRPr="00853E2E">
          <w:rPr>
            <w:rStyle w:val="Hyperlink"/>
          </w:rPr>
          <w:t>http://www.wmo.int/pages/prog/drr/index_en.html</w:t>
        </w:r>
      </w:hyperlink>
      <w:r>
        <w:t xml:space="preserve">.  </w:t>
      </w:r>
    </w:p>
    <w:p w:rsidR="0070335A" w:rsidRPr="00E505D7" w:rsidRDefault="0070335A" w:rsidP="0070335A">
      <w:pPr>
        <w:numPr>
          <w:ilvl w:val="1"/>
          <w:numId w:val="20"/>
        </w:numPr>
        <w:tabs>
          <w:tab w:val="clear" w:pos="1134"/>
          <w:tab w:val="left" w:pos="770"/>
        </w:tabs>
        <w:spacing w:before="120"/>
        <w:rPr>
          <w:rFonts w:eastAsia="SimSun"/>
          <w:lang w:val="en-US" w:eastAsia="zh-CN"/>
        </w:rPr>
      </w:pPr>
      <w:r>
        <w:t xml:space="preserve">The DRR Programme is the WMO contribution to the </w:t>
      </w:r>
      <w:smartTag w:uri="urn:schemas-microsoft-com:office:smarttags" w:element="City">
        <w:r w:rsidRPr="00853E2E">
          <w:rPr>
            <w:i/>
          </w:rPr>
          <w:t>Sendai</w:t>
        </w:r>
      </w:smartTag>
      <w:r w:rsidRPr="00853E2E">
        <w:rPr>
          <w:i/>
        </w:rPr>
        <w:t xml:space="preserve"> Framework for Disaster Risk Reduction 2015-2030</w:t>
      </w:r>
      <w:r>
        <w:t xml:space="preserve">, </w:t>
      </w:r>
      <w:r w:rsidRPr="00853E2E">
        <w:t xml:space="preserve">adopted by the Third UN World Conference on Disaster Risk Reduction on 18 March 2015 in </w:t>
      </w:r>
      <w:smartTag w:uri="urn:schemas-microsoft-com:office:smarttags" w:element="place">
        <w:smartTag w:uri="urn:schemas-microsoft-com:office:smarttags" w:element="City">
          <w:r w:rsidRPr="00853E2E">
            <w:t>Sendai</w:t>
          </w:r>
        </w:smartTag>
        <w:r w:rsidRPr="00853E2E">
          <w:t xml:space="preserve">, </w:t>
        </w:r>
        <w:smartTag w:uri="urn:schemas-microsoft-com:office:smarttags" w:element="country-region">
          <w:r w:rsidRPr="00853E2E">
            <w:t>Japan</w:t>
          </w:r>
        </w:smartTag>
      </w:smartTag>
      <w:r w:rsidRPr="00853E2E">
        <w:t>.</w:t>
      </w:r>
      <w:r>
        <w:t xml:space="preserve"> This "</w:t>
      </w:r>
      <w:r w:rsidRPr="0070335A">
        <w:rPr>
          <w:u w:val="single"/>
        </w:rPr>
        <w:t>Sendai Framework</w:t>
      </w:r>
      <w:r>
        <w:t xml:space="preserve">" is managed by the United Nations Office for DRR (UNISDR). UNISDR collaborates with 13 UN organizations and the World Bank. Within this framework much attention is given to the realization of </w:t>
      </w:r>
      <w:r w:rsidRPr="0070335A">
        <w:rPr>
          <w:u w:val="single"/>
        </w:rPr>
        <w:t>Early Warning Systems (EWS)</w:t>
      </w:r>
      <w:r>
        <w:t>. Within the programme not only short term events (hydrometeorological hazards) are in focus, but also long term hazards, related to climate change.</w:t>
      </w:r>
    </w:p>
    <w:p w:rsidR="00412911" w:rsidRDefault="0070335A" w:rsidP="0070335A">
      <w:pPr>
        <w:numPr>
          <w:ilvl w:val="1"/>
          <w:numId w:val="20"/>
        </w:numPr>
        <w:tabs>
          <w:tab w:val="clear" w:pos="1134"/>
          <w:tab w:val="left" w:pos="770"/>
        </w:tabs>
        <w:spacing w:before="120"/>
      </w:pPr>
      <w:r>
        <w:t xml:space="preserve">Cg-17 has given priority to DRR. Based on the directions given by Cg EC-67 established a EC working group on DRR to support the implementation of the DRR Programme.  </w:t>
      </w:r>
      <w:r w:rsidR="00412911">
        <w:t>R</w:t>
      </w:r>
      <w:r>
        <w:t xml:space="preserve">ecommended activities </w:t>
      </w:r>
      <w:r w:rsidR="00412911">
        <w:t>are focussed on:</w:t>
      </w:r>
    </w:p>
    <w:p w:rsidR="00412911" w:rsidRDefault="00412911" w:rsidP="00412911">
      <w:pPr>
        <w:pStyle w:val="WMOBodyText"/>
        <w:numPr>
          <w:ilvl w:val="0"/>
          <w:numId w:val="21"/>
        </w:numPr>
        <w:spacing w:before="120"/>
        <w:ind w:left="714" w:hanging="357"/>
        <w:rPr>
          <w:lang w:eastAsia="en-US"/>
        </w:rPr>
      </w:pPr>
      <w:r>
        <w:t>U</w:t>
      </w:r>
      <w:r w:rsidR="0070335A">
        <w:t xml:space="preserve">pdate of DRR Roadmap, </w:t>
      </w:r>
    </w:p>
    <w:p w:rsidR="00412911" w:rsidRDefault="00412911" w:rsidP="00412911">
      <w:pPr>
        <w:pStyle w:val="WMOBodyText"/>
        <w:numPr>
          <w:ilvl w:val="0"/>
          <w:numId w:val="21"/>
        </w:numPr>
        <w:spacing w:before="120"/>
        <w:ind w:left="714" w:hanging="357"/>
        <w:rPr>
          <w:lang w:eastAsia="en-US"/>
        </w:rPr>
      </w:pPr>
      <w:r>
        <w:t>Early Warning Systems and Risk Analysis</w:t>
      </w:r>
    </w:p>
    <w:p w:rsidR="00412911" w:rsidRDefault="00412911" w:rsidP="00412911">
      <w:pPr>
        <w:numPr>
          <w:ilvl w:val="1"/>
          <w:numId w:val="20"/>
        </w:numPr>
        <w:tabs>
          <w:tab w:val="clear" w:pos="1134"/>
          <w:tab w:val="left" w:pos="770"/>
        </w:tabs>
        <w:spacing w:before="120"/>
      </w:pPr>
      <w:r>
        <w:t xml:space="preserve">The input from CIMO is very limited (as shown in the work plan and roadmap). </w:t>
      </w:r>
      <w:r w:rsidR="00810908">
        <w:t>Attention is restricted to the technology with sustainable observing systems, capable to observe in harsh environments and to withstand severe weather</w:t>
      </w:r>
      <w:r w:rsidR="001F3E4E">
        <w:t xml:space="preserve"> (see Annex 1)</w:t>
      </w:r>
      <w:r w:rsidR="00810908">
        <w:t>.</w:t>
      </w:r>
      <w:r w:rsidR="001F3E4E">
        <w:t xml:space="preserve"> These observations implies real time observations and reporting.</w:t>
      </w:r>
    </w:p>
    <w:p w:rsidR="00412911" w:rsidRPr="00B52BFC" w:rsidRDefault="00412911" w:rsidP="001F3E4E">
      <w:pPr>
        <w:numPr>
          <w:ilvl w:val="0"/>
          <w:numId w:val="19"/>
        </w:numPr>
        <w:tabs>
          <w:tab w:val="clear" w:pos="720"/>
          <w:tab w:val="clear" w:pos="1134"/>
          <w:tab w:val="left" w:pos="770"/>
        </w:tabs>
        <w:spacing w:before="240"/>
        <w:ind w:left="771" w:hanging="771"/>
        <w:rPr>
          <w:b/>
          <w:bCs/>
          <w:lang w:val="en-US"/>
        </w:rPr>
      </w:pPr>
      <w:r>
        <w:rPr>
          <w:b/>
          <w:bCs/>
          <w:lang w:val="en-US"/>
        </w:rPr>
        <w:t>PROGRESS</w:t>
      </w:r>
    </w:p>
    <w:p w:rsidR="00810908" w:rsidRPr="00810908" w:rsidRDefault="00412911" w:rsidP="00255587">
      <w:pPr>
        <w:numPr>
          <w:ilvl w:val="1"/>
          <w:numId w:val="19"/>
        </w:numPr>
        <w:tabs>
          <w:tab w:val="clear" w:pos="720"/>
          <w:tab w:val="clear" w:pos="1134"/>
          <w:tab w:val="left" w:pos="709"/>
        </w:tabs>
        <w:spacing w:before="120"/>
        <w:ind w:left="0" w:firstLine="0"/>
        <w:rPr>
          <w:lang w:val="en-US"/>
        </w:rPr>
      </w:pPr>
      <w:r>
        <w:t xml:space="preserve">In December 2016 </w:t>
      </w:r>
      <w:r w:rsidR="00810908">
        <w:t xml:space="preserve">a meeting was organized for the Focal Points of Regional Associations, Technical Commissions and Programmes </w:t>
      </w:r>
      <w:r w:rsidR="00810908" w:rsidRPr="00412911">
        <w:rPr>
          <w:lang w:val="en-US"/>
        </w:rPr>
        <w:t xml:space="preserve">(DRR FP RA-TC-TP). </w:t>
      </w:r>
      <w:r w:rsidR="00810908">
        <w:rPr>
          <w:lang w:val="en-US"/>
        </w:rPr>
        <w:t xml:space="preserve">During this meeting input was provided from all focal points on their specific DRR issues, see the meetings website at </w:t>
      </w:r>
      <w:hyperlink r:id="rId15" w:history="1">
        <w:r w:rsidR="00810908" w:rsidRPr="00412911">
          <w:rPr>
            <w:rStyle w:val="Hyperlink"/>
            <w:lang w:val="en-US"/>
          </w:rPr>
          <w:t>http://www.wmo.int/pages/prog/drr/events/2016_DRR-FP-RA-TC-TP/2016_DRR-FP-RA-TC-TP.html</w:t>
        </w:r>
      </w:hyperlink>
      <w:r w:rsidR="00810908">
        <w:rPr>
          <w:lang w:val="en-US"/>
        </w:rPr>
        <w:t>. During this meeting proposals to improve the DRR Roadmap were submitted.</w:t>
      </w:r>
    </w:p>
    <w:p w:rsidR="00810908" w:rsidRDefault="00810908" w:rsidP="00255587">
      <w:pPr>
        <w:numPr>
          <w:ilvl w:val="1"/>
          <w:numId w:val="19"/>
        </w:numPr>
        <w:tabs>
          <w:tab w:val="clear" w:pos="720"/>
          <w:tab w:val="clear" w:pos="1134"/>
          <w:tab w:val="left" w:pos="709"/>
        </w:tabs>
        <w:spacing w:before="120"/>
        <w:ind w:left="0" w:firstLine="0"/>
        <w:rPr>
          <w:lang w:val="en-US"/>
        </w:rPr>
      </w:pPr>
      <w:r>
        <w:rPr>
          <w:lang w:val="en-US"/>
        </w:rPr>
        <w:t>The DRR Roadmap is updated and the current version 2.1 is published in April 2017. However "</w:t>
      </w:r>
      <w:r w:rsidRPr="00810908">
        <w:rPr>
          <w:lang w:val="en-US"/>
        </w:rPr>
        <w:t>a coordinated, up-to-date organization-wide plan of action that will guide WMO activities in support of all components of disaster risk management</w:t>
      </w:r>
      <w:r>
        <w:rPr>
          <w:lang w:val="en-US"/>
        </w:rPr>
        <w:t>" is still be be implemented.</w:t>
      </w:r>
    </w:p>
    <w:p w:rsidR="001F3E4E" w:rsidRDefault="00810908" w:rsidP="00255587">
      <w:pPr>
        <w:numPr>
          <w:ilvl w:val="1"/>
          <w:numId w:val="19"/>
        </w:numPr>
        <w:tabs>
          <w:tab w:val="clear" w:pos="720"/>
          <w:tab w:val="clear" w:pos="1134"/>
          <w:tab w:val="left" w:pos="709"/>
        </w:tabs>
        <w:spacing w:before="120"/>
        <w:ind w:left="0" w:firstLine="0"/>
        <w:rPr>
          <w:lang w:val="en-US"/>
        </w:rPr>
      </w:pPr>
      <w:r w:rsidRPr="00810908">
        <w:t>Multi-Hazard Early Warning Systems (MHEWS)</w:t>
      </w:r>
      <w:r>
        <w:rPr>
          <w:lang w:val="en-US"/>
        </w:rPr>
        <w:t xml:space="preserve">. </w:t>
      </w:r>
      <w:r w:rsidR="001F3E4E">
        <w:rPr>
          <w:lang w:val="en-US"/>
        </w:rPr>
        <w:t>Currently</w:t>
      </w:r>
      <w:r>
        <w:rPr>
          <w:lang w:val="en-US"/>
        </w:rPr>
        <w:t xml:space="preserve"> much attention is given to </w:t>
      </w:r>
      <w:r w:rsidR="001F3E4E">
        <w:rPr>
          <w:lang w:val="en-US"/>
        </w:rPr>
        <w:t>Early Warning Systems, but detailed plans are not yet provided. So further impact of these plans to CIMO cannot be provided.</w:t>
      </w:r>
    </w:p>
    <w:p w:rsidR="001F3E4E" w:rsidRPr="001F3E4E" w:rsidRDefault="001F3E4E" w:rsidP="001F3E4E">
      <w:pPr>
        <w:numPr>
          <w:ilvl w:val="0"/>
          <w:numId w:val="19"/>
        </w:numPr>
        <w:tabs>
          <w:tab w:val="clear" w:pos="720"/>
          <w:tab w:val="clear" w:pos="1134"/>
          <w:tab w:val="left" w:pos="770"/>
        </w:tabs>
        <w:spacing w:before="240"/>
        <w:ind w:left="771" w:hanging="771"/>
        <w:rPr>
          <w:b/>
          <w:bCs/>
          <w:lang w:val="en-US"/>
        </w:rPr>
      </w:pPr>
      <w:r w:rsidRPr="001F3E4E">
        <w:rPr>
          <w:b/>
          <w:bCs/>
          <w:lang w:val="en-US"/>
        </w:rPr>
        <w:t>PROBLEMS ENCOUNTERED, RISKS IDENTIFIED</w:t>
      </w:r>
    </w:p>
    <w:p w:rsidR="001F3E4E" w:rsidRPr="00255587" w:rsidRDefault="001F3E4E" w:rsidP="00255587">
      <w:pPr>
        <w:pStyle w:val="Heading2"/>
        <w:numPr>
          <w:ilvl w:val="4"/>
          <w:numId w:val="27"/>
        </w:numPr>
        <w:spacing w:before="120"/>
        <w:jc w:val="left"/>
        <w:rPr>
          <w:b w:val="0"/>
        </w:rPr>
      </w:pPr>
      <w:r w:rsidRPr="00255587">
        <w:rPr>
          <w:b w:val="0"/>
        </w:rPr>
        <w:t xml:space="preserve">Although observing systems are crucial for appropriate hazard forecasting services (and early warning systems) there is still </w:t>
      </w:r>
      <w:r w:rsidRPr="00255587">
        <w:rPr>
          <w:b w:val="0"/>
          <w:u w:val="single"/>
        </w:rPr>
        <w:t>no clear task for CIMO</w:t>
      </w:r>
      <w:r w:rsidRPr="00255587">
        <w:rPr>
          <w:b w:val="0"/>
        </w:rPr>
        <w:t xml:space="preserve"> in how to support (the improvement of) these services. </w:t>
      </w:r>
    </w:p>
    <w:p w:rsidR="001F3E4E" w:rsidRDefault="001F3E4E" w:rsidP="001F3E4E">
      <w:pPr>
        <w:numPr>
          <w:ilvl w:val="0"/>
          <w:numId w:val="19"/>
        </w:numPr>
        <w:tabs>
          <w:tab w:val="clear" w:pos="720"/>
          <w:tab w:val="clear" w:pos="1134"/>
          <w:tab w:val="left" w:pos="770"/>
        </w:tabs>
        <w:spacing w:before="240"/>
        <w:ind w:left="771" w:hanging="771"/>
        <w:rPr>
          <w:b/>
          <w:bCs/>
          <w:lang w:val="en-US"/>
        </w:rPr>
      </w:pPr>
      <w:r w:rsidRPr="00B52BFC">
        <w:rPr>
          <w:b/>
          <w:bCs/>
          <w:lang w:val="en-US"/>
        </w:rPr>
        <w:t>RECOMMENDATIONS</w:t>
      </w:r>
      <w:r>
        <w:rPr>
          <w:b/>
          <w:bCs/>
          <w:lang w:val="en-US"/>
        </w:rPr>
        <w:t xml:space="preserve"> - DECISIONS EXPECTED FROM CIMO-MG</w:t>
      </w:r>
    </w:p>
    <w:p w:rsidR="00255587" w:rsidRPr="00255587" w:rsidRDefault="001F3E4E" w:rsidP="00255587">
      <w:pPr>
        <w:pStyle w:val="Heading2"/>
        <w:spacing w:before="120"/>
        <w:jc w:val="left"/>
        <w:rPr>
          <w:b w:val="0"/>
        </w:rPr>
      </w:pPr>
      <w:r w:rsidRPr="00255587">
        <w:rPr>
          <w:b w:val="0"/>
          <w:lang w:val="en-US"/>
        </w:rPr>
        <w:t xml:space="preserve">Continuous support of the work done by the focal point acting on behalf of CIMO within </w:t>
      </w:r>
      <w:r w:rsidRPr="00255587">
        <w:rPr>
          <w:rFonts w:eastAsia="SimSun"/>
          <w:b w:val="0"/>
          <w:lang w:val="en-US" w:eastAsia="zh-CN"/>
        </w:rPr>
        <w:t>DRR FP RA-TC-TP, especially in support of the DRR Roadmap.</w:t>
      </w:r>
      <w:r w:rsidR="00255587" w:rsidRPr="00255587">
        <w:rPr>
          <w:b w:val="0"/>
        </w:rPr>
        <w:t xml:space="preserve"> </w:t>
      </w:r>
    </w:p>
    <w:p w:rsidR="00DA1C80" w:rsidRPr="001F3E4E" w:rsidRDefault="00DA1C80" w:rsidP="00255587">
      <w:pPr>
        <w:tabs>
          <w:tab w:val="left" w:pos="770"/>
        </w:tabs>
        <w:spacing w:before="120"/>
        <w:jc w:val="center"/>
        <w:rPr>
          <w:lang w:val="en-US"/>
        </w:rPr>
      </w:pPr>
      <w:r w:rsidRPr="004F41BF">
        <w:rPr>
          <w:lang w:val="en-US"/>
        </w:rPr>
        <w:t>_________________</w:t>
      </w:r>
    </w:p>
    <w:p w:rsidR="003E5CEF" w:rsidRDefault="003E5CEF" w:rsidP="003E5CEF">
      <w:pPr>
        <w:pStyle w:val="WMOBodyText"/>
        <w:rPr>
          <w:lang w:val="en-US" w:eastAsia="zh-CN"/>
        </w:rPr>
        <w:sectPr w:rsidR="003E5CEF" w:rsidSect="001647E8">
          <w:headerReference w:type="default" r:id="rId16"/>
          <w:headerReference w:type="first" r:id="rId17"/>
          <w:pgSz w:w="11906" w:h="16838" w:code="9"/>
          <w:pgMar w:top="-1276" w:right="1134" w:bottom="1134" w:left="1134" w:header="850" w:footer="720" w:gutter="0"/>
          <w:pgNumType w:start="1"/>
          <w:cols w:space="720"/>
          <w:titlePg/>
          <w:docGrid w:linePitch="272"/>
        </w:sect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000" w:firstRow="0" w:lastRow="0" w:firstColumn="0" w:lastColumn="0" w:noHBand="0" w:noVBand="0"/>
      </w:tblPr>
      <w:tblGrid>
        <w:gridCol w:w="2552"/>
        <w:gridCol w:w="4394"/>
        <w:gridCol w:w="7371"/>
      </w:tblGrid>
      <w:tr w:rsidR="0070335A" w:rsidRPr="009D51F7" w:rsidTr="009F2F9A">
        <w:tc>
          <w:tcPr>
            <w:tcW w:w="14317" w:type="dxa"/>
            <w:gridSpan w:val="3"/>
            <w:shd w:val="clear" w:color="auto" w:fill="E0E0E0"/>
            <w:vAlign w:val="bottom"/>
          </w:tcPr>
          <w:p w:rsidR="0070335A" w:rsidRPr="00A6418B" w:rsidRDefault="007175EF" w:rsidP="009F2F9A">
            <w:pPr>
              <w:keepNext/>
              <w:spacing w:before="120" w:after="80"/>
              <w:ind w:left="360"/>
              <w:rPr>
                <w:b/>
                <w:sz w:val="24"/>
                <w:szCs w:val="24"/>
                <w:lang w:val="en-US"/>
              </w:rPr>
            </w:pPr>
            <w:bookmarkStart w:id="4" w:name="Appendix"/>
            <w:bookmarkEnd w:id="4"/>
            <w:r>
              <w:rPr>
                <w:b/>
                <w:sz w:val="24"/>
                <w:szCs w:val="24"/>
                <w:lang w:val="en-US"/>
              </w:rPr>
              <w:lastRenderedPageBreak/>
              <w:t>Appendix</w:t>
            </w:r>
            <w:r w:rsidR="0070335A">
              <w:rPr>
                <w:b/>
                <w:sz w:val="24"/>
                <w:szCs w:val="24"/>
                <w:lang w:val="en-US"/>
              </w:rPr>
              <w:t xml:space="preserve"> 1: IOM documents, useful for DRR</w:t>
            </w:r>
          </w:p>
          <w:p w:rsidR="0070335A" w:rsidRPr="009D51F7" w:rsidRDefault="0070335A" w:rsidP="009F2F9A">
            <w:pPr>
              <w:keepNext/>
              <w:rPr>
                <w:b/>
                <w:bCs/>
              </w:rPr>
            </w:pPr>
            <w:r>
              <w:t>Please list existing published materials (e.g., Standards, technical guidelines, technical notes, training and educational curricula, public information material) that your Technical Commission has produced that are related to s</w:t>
            </w:r>
            <w:r w:rsidRPr="009D51F7">
              <w:t xml:space="preserve">tandards for </w:t>
            </w:r>
            <w:r>
              <w:t>h</w:t>
            </w:r>
            <w:r w:rsidRPr="009D51F7">
              <w:t xml:space="preserve">azard </w:t>
            </w:r>
            <w:r>
              <w:t>m</w:t>
            </w:r>
            <w:r w:rsidRPr="009D51F7">
              <w:t xml:space="preserve">onitoring, </w:t>
            </w:r>
            <w:r>
              <w:t>d</w:t>
            </w:r>
            <w:r w:rsidRPr="009D51F7">
              <w:t xml:space="preserve">atabases, </w:t>
            </w:r>
            <w:r>
              <w:t>m</w:t>
            </w:r>
            <w:r w:rsidRPr="009D51F7">
              <w:t xml:space="preserve">etadata and </w:t>
            </w:r>
            <w:r>
              <w:t>a</w:t>
            </w:r>
            <w:r w:rsidRPr="009D51F7">
              <w:t xml:space="preserve">nalysis </w:t>
            </w:r>
            <w:r>
              <w:t>t</w:t>
            </w:r>
            <w:r w:rsidRPr="009D51F7">
              <w:t xml:space="preserve">echniques to </w:t>
            </w:r>
            <w:r>
              <w:t>s</w:t>
            </w:r>
            <w:r w:rsidRPr="009D51F7">
              <w:t xml:space="preserve">upport </w:t>
            </w:r>
            <w:r>
              <w:t>r</w:t>
            </w:r>
            <w:r w:rsidRPr="009D51F7">
              <w:t xml:space="preserve">isk </w:t>
            </w:r>
            <w:r>
              <w:t>a</w:t>
            </w:r>
            <w:r w:rsidRPr="009D51F7">
              <w:t>ssessment</w:t>
            </w:r>
            <w:r>
              <w:t>.</w:t>
            </w:r>
          </w:p>
        </w:tc>
      </w:tr>
      <w:tr w:rsidR="0070335A" w:rsidRPr="009D51F7" w:rsidTr="009F2F9A">
        <w:tc>
          <w:tcPr>
            <w:tcW w:w="2552" w:type="dxa"/>
            <w:shd w:val="clear" w:color="auto" w:fill="E0E0E0"/>
            <w:vAlign w:val="bottom"/>
          </w:tcPr>
          <w:p w:rsidR="0070335A" w:rsidRPr="009D51F7" w:rsidRDefault="0070335A" w:rsidP="009F2F9A">
            <w:pPr>
              <w:pStyle w:val="Header"/>
              <w:rPr>
                <w:b/>
                <w:bCs/>
              </w:rPr>
            </w:pPr>
            <w:r w:rsidRPr="009D51F7">
              <w:rPr>
                <w:b/>
                <w:bCs/>
              </w:rPr>
              <w:t>Publication number</w:t>
            </w:r>
          </w:p>
        </w:tc>
        <w:tc>
          <w:tcPr>
            <w:tcW w:w="4394" w:type="dxa"/>
            <w:shd w:val="clear" w:color="auto" w:fill="E0E0E0"/>
            <w:vAlign w:val="bottom"/>
          </w:tcPr>
          <w:p w:rsidR="0070335A" w:rsidRPr="009D51F7" w:rsidRDefault="0070335A" w:rsidP="009F2F9A">
            <w:pPr>
              <w:pStyle w:val="Heading2"/>
              <w:rPr>
                <w:i/>
              </w:rPr>
            </w:pPr>
            <w:r w:rsidRPr="009D51F7">
              <w:rPr>
                <w:i/>
              </w:rPr>
              <w:t>Title of Publication</w:t>
            </w:r>
          </w:p>
        </w:tc>
        <w:tc>
          <w:tcPr>
            <w:tcW w:w="7371" w:type="dxa"/>
            <w:shd w:val="clear" w:color="auto" w:fill="E0E0E0"/>
            <w:vAlign w:val="bottom"/>
          </w:tcPr>
          <w:p w:rsidR="0070335A" w:rsidRPr="009D51F7" w:rsidRDefault="0070335A" w:rsidP="009F2F9A">
            <w:pPr>
              <w:rPr>
                <w:b/>
                <w:bCs/>
              </w:rPr>
            </w:pPr>
            <w:r w:rsidRPr="009D51F7">
              <w:rPr>
                <w:b/>
                <w:bCs/>
              </w:rPr>
              <w:t>Please provide</w:t>
            </w:r>
            <w:r>
              <w:rPr>
                <w:b/>
                <w:bCs/>
              </w:rPr>
              <w:t>:</w:t>
            </w:r>
            <w:r w:rsidRPr="009D51F7">
              <w:rPr>
                <w:b/>
                <w:bCs/>
              </w:rPr>
              <w:t xml:space="preserve"> i) </w:t>
            </w:r>
            <w:r>
              <w:rPr>
                <w:b/>
                <w:bCs/>
              </w:rPr>
              <w:t>A</w:t>
            </w:r>
            <w:r w:rsidRPr="009D51F7">
              <w:rPr>
                <w:b/>
                <w:bCs/>
              </w:rPr>
              <w:t xml:space="preserve"> brief description of the scope of this publication</w:t>
            </w:r>
            <w:r>
              <w:rPr>
                <w:b/>
                <w:bCs/>
              </w:rPr>
              <w:t xml:space="preserve"> and how it relates to the topic of this technical workshop</w:t>
            </w:r>
            <w:r w:rsidRPr="009D51F7">
              <w:rPr>
                <w:b/>
                <w:bCs/>
              </w:rPr>
              <w:t>, ii) Through which OPAG, Working Group, Expert Team it was produced, iii) if this publication is available electronically please provide download link.</w:t>
            </w:r>
          </w:p>
        </w:tc>
      </w:tr>
      <w:tr w:rsidR="0070335A" w:rsidTr="009F2F9A">
        <w:tc>
          <w:tcPr>
            <w:tcW w:w="2552" w:type="dxa"/>
          </w:tcPr>
          <w:p w:rsidR="0070335A" w:rsidRDefault="0070335A" w:rsidP="009F2F9A">
            <w:r>
              <w:t>WMO - No. 8 (2014; upd. 2017)</w:t>
            </w:r>
          </w:p>
          <w:p w:rsidR="0070335A" w:rsidRDefault="0070335A" w:rsidP="009F2F9A">
            <w:r>
              <w:t>(see IMOP/CIMO website)</w:t>
            </w:r>
          </w:p>
        </w:tc>
        <w:tc>
          <w:tcPr>
            <w:tcW w:w="4394" w:type="dxa"/>
          </w:tcPr>
          <w:p w:rsidR="0070335A" w:rsidRPr="007F07B6" w:rsidRDefault="0070335A" w:rsidP="009F2F9A">
            <w:r w:rsidRPr="007F07B6">
              <w:t>WMO GUIDE TO METEOROLOGICAL INSTRUMENTS AND METHODS OF OBSERVATION</w:t>
            </w:r>
          </w:p>
        </w:tc>
        <w:tc>
          <w:tcPr>
            <w:tcW w:w="7371" w:type="dxa"/>
          </w:tcPr>
          <w:p w:rsidR="0070335A" w:rsidRDefault="0070335A" w:rsidP="009F2F9A">
            <w:r>
              <w:t xml:space="preserve">Guidance and recommended standard practices on instruments and methods of observation. Refer to all chapters; however no particular chapter on measurements during hazardous events. </w:t>
            </w:r>
          </w:p>
          <w:p w:rsidR="0070335A" w:rsidRDefault="0070335A" w:rsidP="009F2F9A">
            <w:smartTag w:uri="urn:schemas-microsoft-com:office:smarttags" w:element="place">
              <w:smartTag w:uri="urn:schemas-microsoft-com:office:smarttags" w:element="PlaceName">
                <w:r>
                  <w:t>OPAG</w:t>
                </w:r>
              </w:smartTag>
              <w:r>
                <w:t xml:space="preserve"> </w:t>
              </w:r>
              <w:smartTag w:uri="urn:schemas-microsoft-com:office:smarttags" w:element="PlaceName">
                <w:r>
                  <w:t>CAPACITY</w:t>
                </w:r>
              </w:smartTag>
              <w:r>
                <w:t xml:space="preserve"> </w:t>
              </w:r>
              <w:smartTag w:uri="urn:schemas-microsoft-com:office:smarttags" w:element="PlaceType">
                <w:r>
                  <w:t>BUILDING</w:t>
                </w:r>
              </w:smartTag>
            </w:smartTag>
            <w:r>
              <w:t>, CIMO Guide Editorial Board</w:t>
            </w:r>
          </w:p>
        </w:tc>
      </w:tr>
      <w:tr w:rsidR="0070335A" w:rsidTr="009F2F9A">
        <w:tc>
          <w:tcPr>
            <w:tcW w:w="2552" w:type="dxa"/>
          </w:tcPr>
          <w:p w:rsidR="0070335A" w:rsidRDefault="0070335A" w:rsidP="009F2F9A">
            <w:r>
              <w:t>IOM Reports (see IMOP/CIMO website)</w:t>
            </w:r>
          </w:p>
        </w:tc>
        <w:tc>
          <w:tcPr>
            <w:tcW w:w="4394" w:type="dxa"/>
          </w:tcPr>
          <w:p w:rsidR="0070335A" w:rsidRDefault="0070335A" w:rsidP="009F2F9A">
            <w:r>
              <w:t>Various titles, related to instrument intercomparisons</w:t>
            </w:r>
          </w:p>
        </w:tc>
        <w:tc>
          <w:tcPr>
            <w:tcW w:w="7371" w:type="dxa"/>
          </w:tcPr>
          <w:p w:rsidR="0070335A" w:rsidRDefault="0070335A" w:rsidP="009F2F9A">
            <w:r>
              <w:t>Reference to a number of Intercomparisons, some specific related to extreme or severe events or extreme climates.</w:t>
            </w:r>
          </w:p>
        </w:tc>
      </w:tr>
      <w:tr w:rsidR="0070335A" w:rsidTr="009F2F9A">
        <w:tc>
          <w:tcPr>
            <w:tcW w:w="2552" w:type="dxa"/>
          </w:tcPr>
          <w:p w:rsidR="0070335A" w:rsidRDefault="0070335A" w:rsidP="009F2F9A">
            <w:r>
              <w:t>IOM Reports (see IMOP/CIMO website)</w:t>
            </w:r>
          </w:p>
        </w:tc>
        <w:tc>
          <w:tcPr>
            <w:tcW w:w="4394" w:type="dxa"/>
          </w:tcPr>
          <w:p w:rsidR="0070335A" w:rsidRDefault="0070335A" w:rsidP="009F2F9A">
            <w:r>
              <w:t>Various reports with publications, presented during Technical Conferences</w:t>
            </w:r>
          </w:p>
        </w:tc>
        <w:tc>
          <w:tcPr>
            <w:tcW w:w="7371" w:type="dxa"/>
          </w:tcPr>
          <w:p w:rsidR="0070335A" w:rsidRDefault="0070335A" w:rsidP="009F2F9A">
            <w:r>
              <w:t>Collection of publications, related with severe weather events</w:t>
            </w:r>
          </w:p>
        </w:tc>
      </w:tr>
    </w:tbl>
    <w:p w:rsidR="006E5C30" w:rsidRPr="0070335A" w:rsidRDefault="006E5C30" w:rsidP="006E5C30">
      <w:pPr>
        <w:pStyle w:val="WMOBodyText"/>
        <w:rPr>
          <w:lang w:eastAsia="en-US"/>
        </w:rPr>
      </w:pPr>
    </w:p>
    <w:p w:rsidR="00DA1C80" w:rsidRDefault="00DA1C80" w:rsidP="007175EF">
      <w:pPr>
        <w:pStyle w:val="ListParagraph"/>
        <w:tabs>
          <w:tab w:val="clear" w:pos="1134"/>
        </w:tabs>
        <w:spacing w:after="120"/>
        <w:ind w:left="360"/>
        <w:contextualSpacing w:val="0"/>
        <w:jc w:val="center"/>
      </w:pPr>
      <w:r w:rsidRPr="00842BEE">
        <w:rPr>
          <w:rFonts w:eastAsia="Batang"/>
          <w:lang w:val="en-US" w:eastAsia="ko-KR"/>
        </w:rPr>
        <w:t>________________</w:t>
      </w:r>
      <w:bookmarkEnd w:id="3"/>
    </w:p>
    <w:sectPr w:rsidR="00DA1C80" w:rsidSect="0070335A">
      <w:headerReference w:type="even" r:id="rId18"/>
      <w:headerReference w:type="default" r:id="rId19"/>
      <w:headerReference w:type="first" r:id="rId20"/>
      <w:pgSz w:w="16840" w:h="11907" w:orient="landscape"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D7" w:rsidRDefault="008F20D7">
      <w:r>
        <w:separator/>
      </w:r>
    </w:p>
    <w:p w:rsidR="008F20D7" w:rsidRDefault="008F20D7"/>
    <w:p w:rsidR="008F20D7" w:rsidRDefault="008F20D7"/>
  </w:endnote>
  <w:endnote w:type="continuationSeparator" w:id="0">
    <w:p w:rsidR="008F20D7" w:rsidRDefault="008F20D7">
      <w:r>
        <w:continuationSeparator/>
      </w:r>
    </w:p>
    <w:p w:rsidR="008F20D7" w:rsidRDefault="008F20D7"/>
    <w:p w:rsidR="008F20D7" w:rsidRDefault="008F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FD6BE8" w:rsidP="002F70DD">
    <w:pPr>
      <w:pStyle w:val="Footer"/>
      <w:framePr w:wrap="around" w:vAnchor="text" w:hAnchor="margin" w:xAlign="right" w:y="1"/>
      <w:rPr>
        <w:rStyle w:val="PageNumber"/>
      </w:rPr>
    </w:pPr>
    <w:r>
      <w:rPr>
        <w:rStyle w:val="PageNumber"/>
      </w:rPr>
      <w:fldChar w:fldCharType="begin"/>
    </w:r>
    <w:r w:rsidR="00DA1C80">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D7" w:rsidRDefault="008F20D7">
      <w:r>
        <w:separator/>
      </w:r>
    </w:p>
  </w:footnote>
  <w:footnote w:type="continuationSeparator" w:id="0">
    <w:p w:rsidR="008F20D7" w:rsidRDefault="008F20D7">
      <w:r>
        <w:continuationSeparator/>
      </w:r>
    </w:p>
    <w:p w:rsidR="008F20D7" w:rsidRDefault="008F20D7"/>
    <w:p w:rsidR="008F20D7" w:rsidRDefault="008F2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521594">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007175EF">
      <w:rPr>
        <w:lang w:val="de-DE"/>
      </w:rPr>
      <w:t xml:space="preserve"> </w:t>
    </w:r>
    <w:r w:rsidR="007175EF" w:rsidRPr="007175EF">
      <w:rPr>
        <w:lang w:val="de-DE"/>
      </w:rPr>
      <w:t>2.5(2)</w:t>
    </w:r>
    <w:r w:rsidRPr="007175EF">
      <w:rPr>
        <w:lang w:val="de-DE"/>
      </w:rPr>
      <w:t>,</w:t>
    </w:r>
    <w:r w:rsidR="007175EF">
      <w:rPr>
        <w:lang w:val="de-DE"/>
      </w:rPr>
      <w:t xml:space="preserve"> </w:t>
    </w:r>
    <w:r w:rsidRPr="00521594">
      <w:rPr>
        <w:rStyle w:val="PageNumber"/>
        <w:lang w:val="en-US"/>
      </w:rPr>
      <w:t xml:space="preserve">p. </w:t>
    </w:r>
    <w:r w:rsidR="00FD6BE8" w:rsidRPr="001726D2">
      <w:rPr>
        <w:rStyle w:val="PageNumber"/>
      </w:rPr>
      <w:fldChar w:fldCharType="begin"/>
    </w:r>
    <w:r w:rsidRPr="00521594">
      <w:rPr>
        <w:rStyle w:val="PageNumber"/>
        <w:lang w:val="en-US"/>
      </w:rPr>
      <w:instrText xml:space="preserve"> PAGE </w:instrText>
    </w:r>
    <w:r w:rsidR="00FD6BE8" w:rsidRPr="001726D2">
      <w:rPr>
        <w:rStyle w:val="PageNumber"/>
      </w:rPr>
      <w:fldChar w:fldCharType="separate"/>
    </w:r>
    <w:r w:rsidR="00DD4182">
      <w:rPr>
        <w:rStyle w:val="PageNumber"/>
        <w:noProof/>
        <w:lang w:val="en-US"/>
      </w:rPr>
      <w:t>1</w:t>
    </w:r>
    <w:r w:rsidR="00FD6BE8"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D4182">
    <w:pPr>
      <w:pStyle w:val="Header"/>
    </w:pP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D4182">
    <w:pPr>
      <w:pStyle w:val="Header"/>
    </w:pPr>
    <w:r>
      <w:rPr>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D4182">
    <w:pPr>
      <w:pStyle w:val="Header"/>
    </w:pP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D4182">
    <w:pPr>
      <w:pStyle w:val="Header"/>
    </w:pP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521594">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w:t>
    </w:r>
    <w:r w:rsidRPr="007175EF">
      <w:rPr>
        <w:lang w:val="de-DE"/>
      </w:rPr>
      <w:t>c.</w:t>
    </w:r>
    <w:r w:rsidR="007175EF" w:rsidRPr="007175EF">
      <w:rPr>
        <w:lang w:val="de-DE"/>
      </w:rPr>
      <w:t xml:space="preserve"> 2.5(2)</w:t>
    </w:r>
    <w:r w:rsidRPr="007175EF">
      <w:rPr>
        <w:lang w:val="de-DE"/>
      </w:rPr>
      <w:t>,</w:t>
    </w:r>
    <w:r w:rsidR="003E5CEF" w:rsidRPr="007175EF">
      <w:rPr>
        <w:lang w:val="de-DE"/>
      </w:rPr>
      <w:t>Appe</w:t>
    </w:r>
    <w:r w:rsidR="003E5CEF">
      <w:rPr>
        <w:lang w:val="de-DE"/>
      </w:rPr>
      <w:t xml:space="preserve">ndix </w:t>
    </w:r>
    <w:r w:rsidR="007175EF">
      <w:rPr>
        <w:lang w:val="de-DE"/>
      </w:rPr>
      <w:t>1</w:t>
    </w:r>
    <w:r w:rsidR="003E5CEF">
      <w:rPr>
        <w:lang w:val="de-DE"/>
      </w:rPr>
      <w:t xml:space="preserve">, </w:t>
    </w:r>
    <w:r w:rsidRPr="00521594">
      <w:rPr>
        <w:rStyle w:val="PageNumber"/>
        <w:lang w:val="en-US"/>
      </w:rPr>
      <w:t xml:space="preserve">p. </w:t>
    </w:r>
    <w:r w:rsidR="00FD6BE8" w:rsidRPr="001726D2">
      <w:rPr>
        <w:rStyle w:val="PageNumber"/>
      </w:rPr>
      <w:fldChar w:fldCharType="begin"/>
    </w:r>
    <w:r w:rsidRPr="00521594">
      <w:rPr>
        <w:rStyle w:val="PageNumber"/>
        <w:lang w:val="en-US"/>
      </w:rPr>
      <w:instrText xml:space="preserve"> PAGE </w:instrText>
    </w:r>
    <w:r w:rsidR="00FD6BE8" w:rsidRPr="001726D2">
      <w:rPr>
        <w:rStyle w:val="PageNumber"/>
      </w:rPr>
      <w:fldChar w:fldCharType="separate"/>
    </w:r>
    <w:r w:rsidR="00DD4182">
      <w:rPr>
        <w:rStyle w:val="PageNumber"/>
        <w:noProof/>
        <w:lang w:val="en-US"/>
      </w:rPr>
      <w:t>1</w:t>
    </w:r>
    <w:r w:rsidR="00FD6BE8" w:rsidRPr="001726D2">
      <w:rPr>
        <w:rStyle w:val="PageNumber"/>
      </w:rPr>
      <w:fldChar w:fldCharType="end"/>
    </w:r>
    <w:r w:rsidR="00DD4182">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53128E"/>
    <w:multiLevelType w:val="multilevel"/>
    <w:tmpl w:val="04090029"/>
    <w:lvl w:ilvl="0">
      <w:start w:val="1"/>
      <w:numFmt w:val="decimal"/>
      <w:pStyle w:val="Heading1"/>
      <w:suff w:val="space"/>
      <w:lvlText w:val="Chapter %1"/>
      <w:lvlJc w:val="left"/>
      <w:pPr>
        <w:ind w:left="0" w:firstLine="0"/>
      </w:pPr>
      <w:rPr>
        <w:rFonts w:hint="default"/>
        <w:b/>
      </w:rPr>
    </w:lvl>
    <w:lvl w:ilvl="1">
      <w:start w:val="1"/>
      <w:numFmt w:val="none"/>
      <w:pStyle w:val="Heading2"/>
      <w:suff w:val="nothing"/>
      <w:lvlText w:val=""/>
      <w:lvlJc w:val="left"/>
      <w:pPr>
        <w:ind w:left="0" w:firstLine="0"/>
      </w:pPr>
      <w:rPr>
        <w:rFonts w:hint="default"/>
        <w:b w:val="0"/>
        <w:i w:val="0"/>
      </w:rPr>
    </w:lvl>
    <w:lvl w:ilvl="2">
      <w:start w:val="1"/>
      <w:numFmt w:val="none"/>
      <w:pStyle w:val="Heading3"/>
      <w:suff w:val="nothing"/>
      <w:lvlText w:val=""/>
      <w:lvlJc w:val="left"/>
      <w:pPr>
        <w:ind w:left="0" w:firstLine="0"/>
      </w:pPr>
      <w:rPr>
        <w:rFonts w:hint="default"/>
        <w:b/>
        <w:i w:val="0"/>
      </w:rPr>
    </w:lvl>
    <w:lvl w:ilvl="3">
      <w:start w:val="1"/>
      <w:numFmt w:val="none"/>
      <w:pStyle w:val="Heading4"/>
      <w:suff w:val="nothing"/>
      <w:lvlText w:val=""/>
      <w:lvlJc w:val="left"/>
      <w:pPr>
        <w:ind w:left="0" w:firstLine="0"/>
      </w:pPr>
      <w:rPr>
        <w:rFonts w:hint="default"/>
        <w:b/>
      </w:rPr>
    </w:lvl>
    <w:lvl w:ilvl="4">
      <w:start w:val="1"/>
      <w:numFmt w:val="none"/>
      <w:pStyle w:val="Heading5"/>
      <w:suff w:val="nothing"/>
      <w:lvlText w:val=""/>
      <w:lvlJc w:val="left"/>
      <w:pPr>
        <w:ind w:left="0" w:firstLine="0"/>
      </w:pPr>
      <w:rPr>
        <w:rFonts w:hint="default"/>
        <w:b/>
      </w:rPr>
    </w:lvl>
    <w:lvl w:ilvl="5">
      <w:start w:val="1"/>
      <w:numFmt w:val="none"/>
      <w:pStyle w:val="Heading6"/>
      <w:suff w:val="nothing"/>
      <w:lvlText w:val=""/>
      <w:lvlJc w:val="left"/>
      <w:pPr>
        <w:ind w:left="0" w:firstLine="0"/>
      </w:pPr>
      <w:rPr>
        <w:rFonts w:hint="default"/>
        <w:b/>
      </w:rPr>
    </w:lvl>
    <w:lvl w:ilvl="6">
      <w:start w:val="1"/>
      <w:numFmt w:val="none"/>
      <w:pStyle w:val="Heading7"/>
      <w:suff w:val="nothing"/>
      <w:lvlText w:val=""/>
      <w:lvlJc w:val="left"/>
      <w:pPr>
        <w:ind w:left="0" w:firstLine="0"/>
      </w:pPr>
      <w:rPr>
        <w:rFonts w:hint="default"/>
        <w:b/>
      </w:rPr>
    </w:lvl>
    <w:lvl w:ilvl="7">
      <w:start w:val="1"/>
      <w:numFmt w:val="none"/>
      <w:pStyle w:val="Heading8"/>
      <w:suff w:val="nothing"/>
      <w:lvlText w:val=""/>
      <w:lvlJc w:val="left"/>
      <w:pPr>
        <w:ind w:left="0" w:firstLine="0"/>
      </w:pPr>
      <w:rPr>
        <w:rFonts w:hint="default"/>
        <w:b/>
      </w:rPr>
    </w:lvl>
    <w:lvl w:ilvl="8">
      <w:start w:val="1"/>
      <w:numFmt w:val="none"/>
      <w:pStyle w:val="Heading9"/>
      <w:suff w:val="nothing"/>
      <w:lvlText w:val=""/>
      <w:lvlJc w:val="left"/>
      <w:pPr>
        <w:ind w:left="0" w:firstLine="0"/>
      </w:pPr>
      <w:rPr>
        <w:rFonts w:hint="default"/>
        <w:b/>
      </w:r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D1499D"/>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5403696"/>
    <w:multiLevelType w:val="hybridMultilevel"/>
    <w:tmpl w:val="C3D8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10DBB"/>
    <w:multiLevelType w:val="multilevel"/>
    <w:tmpl w:val="C446355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2.%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955726"/>
    <w:multiLevelType w:val="multilevel"/>
    <w:tmpl w:val="B84244B4"/>
    <w:lvl w:ilvl="0">
      <w:start w:val="3"/>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5F3669DE"/>
    <w:multiLevelType w:val="multilevel"/>
    <w:tmpl w:val="86A4ACFE"/>
    <w:lvl w:ilvl="0">
      <w:start w:val="1"/>
      <w:numFmt w:val="decimal"/>
      <w:suff w:val="space"/>
      <w:lvlText w:val="Chapter %1"/>
      <w:lvlJc w:val="left"/>
      <w:pPr>
        <w:ind w:left="0" w:firstLine="0"/>
      </w:pPr>
      <w:rPr>
        <w:rFonts w:hint="default"/>
        <w:b/>
      </w:rPr>
    </w:lvl>
    <w:lvl w:ilvl="1">
      <w:start w:val="1"/>
      <w:numFmt w:val="decimal"/>
      <w:lvlText w:val="%2."/>
      <w:lvlJc w:val="left"/>
      <w:pPr>
        <w:ind w:left="0" w:firstLine="0"/>
      </w:pPr>
      <w:rPr>
        <w:rFonts w:hint="default"/>
        <w:b w:val="0"/>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rPr>
    </w:lvl>
    <w:lvl w:ilvl="4">
      <w:start w:val="1"/>
      <w:numFmt w:val="none"/>
      <w:suff w:val="nothing"/>
      <w:lvlText w:val=""/>
      <w:lvlJc w:val="left"/>
      <w:pPr>
        <w:ind w:left="0" w:firstLine="0"/>
      </w:pPr>
      <w:rPr>
        <w:rFonts w:hint="default"/>
        <w:b/>
      </w:rPr>
    </w:lvl>
    <w:lvl w:ilvl="5">
      <w:start w:val="1"/>
      <w:numFmt w:val="none"/>
      <w:suff w:val="nothing"/>
      <w:lvlText w:val=""/>
      <w:lvlJc w:val="left"/>
      <w:pPr>
        <w:ind w:left="0" w:firstLine="0"/>
      </w:pPr>
      <w:rPr>
        <w:rFonts w:hint="default"/>
        <w:b/>
      </w:rPr>
    </w:lvl>
    <w:lvl w:ilvl="6">
      <w:start w:val="1"/>
      <w:numFmt w:val="none"/>
      <w:suff w:val="nothing"/>
      <w:lvlText w:val=""/>
      <w:lvlJc w:val="left"/>
      <w:pPr>
        <w:ind w:left="0" w:firstLine="0"/>
      </w:pPr>
      <w:rPr>
        <w:rFonts w:hint="default"/>
        <w:b/>
      </w:rPr>
    </w:lvl>
    <w:lvl w:ilvl="7">
      <w:start w:val="1"/>
      <w:numFmt w:val="none"/>
      <w:suff w:val="nothing"/>
      <w:lvlText w:val=""/>
      <w:lvlJc w:val="left"/>
      <w:pPr>
        <w:ind w:left="0" w:firstLine="0"/>
      </w:pPr>
      <w:rPr>
        <w:rFonts w:hint="default"/>
        <w:b/>
      </w:rPr>
    </w:lvl>
    <w:lvl w:ilvl="8">
      <w:start w:val="1"/>
      <w:numFmt w:val="none"/>
      <w:suff w:val="nothing"/>
      <w:lvlText w:val=""/>
      <w:lvlJc w:val="left"/>
      <w:pPr>
        <w:ind w:left="0" w:firstLine="0"/>
      </w:pPr>
      <w:rPr>
        <w:rFonts w:hint="default"/>
        <w:b/>
      </w:rPr>
    </w:lvl>
  </w:abstractNum>
  <w:abstractNum w:abstractNumId="18">
    <w:nsid w:val="60001CEC"/>
    <w:multiLevelType w:val="hybridMultilevel"/>
    <w:tmpl w:val="7F021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1C53EA"/>
    <w:multiLevelType w:val="multilevel"/>
    <w:tmpl w:val="D030375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2.%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74257F8E"/>
    <w:multiLevelType w:val="multilevel"/>
    <w:tmpl w:val="6BD2B83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nsid w:val="7FD96B34"/>
    <w:multiLevelType w:val="multilevel"/>
    <w:tmpl w:val="D0303756"/>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1"/>
  </w:num>
  <w:num w:numId="9">
    <w:abstractNumId w:val="3"/>
  </w:num>
  <w:num w:numId="10">
    <w:abstractNumId w:val="8"/>
  </w:num>
  <w:num w:numId="11">
    <w:abstractNumId w:val="12"/>
  </w:num>
  <w:num w:numId="12">
    <w:abstractNumId w:val="0"/>
  </w:num>
  <w:num w:numId="13">
    <w:abstractNumId w:val="20"/>
  </w:num>
  <w:num w:numId="14">
    <w:abstractNumId w:val="16"/>
  </w:num>
  <w:num w:numId="15">
    <w:abstractNumId w:val="21"/>
  </w:num>
  <w:num w:numId="16">
    <w:abstractNumId w:val="13"/>
  </w:num>
  <w:num w:numId="17">
    <w:abstractNumId w:val="1"/>
  </w:num>
  <w:num w:numId="18">
    <w:abstractNumId w:val="18"/>
  </w:num>
  <w:num w:numId="19">
    <w:abstractNumId w:val="25"/>
  </w:num>
  <w:num w:numId="20">
    <w:abstractNumId w:val="22"/>
  </w:num>
  <w:num w:numId="21">
    <w:abstractNumId w:val="7"/>
  </w:num>
  <w:num w:numId="22">
    <w:abstractNumId w:val="6"/>
  </w:num>
  <w:num w:numId="23">
    <w:abstractNumId w:val="2"/>
  </w:num>
  <w:num w:numId="24">
    <w:abstractNumId w:val="15"/>
  </w:num>
  <w:num w:numId="25">
    <w:abstractNumId w:val="19"/>
  </w:num>
  <w:num w:numId="26">
    <w:abstractNumId w:val="10"/>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1F3E4E"/>
    <w:rsid w:val="0020095E"/>
    <w:rsid w:val="00210D30"/>
    <w:rsid w:val="00214938"/>
    <w:rsid w:val="00234A34"/>
    <w:rsid w:val="0025255D"/>
    <w:rsid w:val="00255587"/>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2911"/>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B17F4"/>
    <w:rsid w:val="006C25F8"/>
    <w:rsid w:val="006D5576"/>
    <w:rsid w:val="006E5C30"/>
    <w:rsid w:val="006E5FE9"/>
    <w:rsid w:val="006E766D"/>
    <w:rsid w:val="006F38E1"/>
    <w:rsid w:val="006F501F"/>
    <w:rsid w:val="0070335A"/>
    <w:rsid w:val="00705C9F"/>
    <w:rsid w:val="00716951"/>
    <w:rsid w:val="007175EF"/>
    <w:rsid w:val="00725988"/>
    <w:rsid w:val="00733AEA"/>
    <w:rsid w:val="00735D9E"/>
    <w:rsid w:val="0075136C"/>
    <w:rsid w:val="00754CF7"/>
    <w:rsid w:val="00771A68"/>
    <w:rsid w:val="00777D58"/>
    <w:rsid w:val="007C212A"/>
    <w:rsid w:val="007E7D21"/>
    <w:rsid w:val="007F482F"/>
    <w:rsid w:val="00807CC5"/>
    <w:rsid w:val="00810908"/>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8F20D7"/>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91DFA"/>
    <w:rsid w:val="00DA1C80"/>
    <w:rsid w:val="00DB1AB2"/>
    <w:rsid w:val="00DC0DA2"/>
    <w:rsid w:val="00DD3A65"/>
    <w:rsid w:val="00DD4182"/>
    <w:rsid w:val="00DD4C64"/>
    <w:rsid w:val="00DD62C6"/>
    <w:rsid w:val="00E00498"/>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D6BE8"/>
    <w:rsid w:val="00FF095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numPr>
        <w:numId w:val="23"/>
      </w:numPr>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numPr>
        <w:ilvl w:val="1"/>
        <w:numId w:val="23"/>
      </w:numPr>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numPr>
        <w:ilvl w:val="2"/>
        <w:numId w:val="23"/>
      </w:numPr>
      <w:spacing w:before="360"/>
      <w:jc w:val="left"/>
      <w:outlineLvl w:val="2"/>
    </w:pPr>
    <w:rPr>
      <w:b/>
      <w:bCs/>
      <w:szCs w:val="22"/>
      <w:lang w:eastAsia="zh-TW"/>
    </w:rPr>
  </w:style>
  <w:style w:type="paragraph" w:styleId="Heading4">
    <w:name w:val="heading 4"/>
    <w:basedOn w:val="Normal"/>
    <w:next w:val="Normal"/>
    <w:link w:val="Heading4Char"/>
    <w:qFormat/>
    <w:rsid w:val="0086271D"/>
    <w:pPr>
      <w:keepNext/>
      <w:keepLines/>
      <w:numPr>
        <w:ilvl w:val="3"/>
        <w:numId w:val="23"/>
      </w:numPr>
      <w:spacing w:before="360"/>
      <w:jc w:val="left"/>
      <w:outlineLvl w:val="3"/>
    </w:pPr>
    <w:rPr>
      <w:b/>
      <w:i/>
      <w:lang w:eastAsia="zh-TW"/>
    </w:rPr>
  </w:style>
  <w:style w:type="paragraph" w:styleId="Heading5">
    <w:name w:val="heading 5"/>
    <w:basedOn w:val="Normal"/>
    <w:next w:val="Normal"/>
    <w:qFormat/>
    <w:rsid w:val="00C13EEC"/>
    <w:pPr>
      <w:numPr>
        <w:ilvl w:val="4"/>
        <w:numId w:val="23"/>
      </w:numPr>
      <w:tabs>
        <w:tab w:val="left" w:pos="1080"/>
      </w:tabs>
      <w:spacing w:before="240"/>
      <w:outlineLvl w:val="4"/>
    </w:pPr>
    <w:rPr>
      <w:bCs/>
      <w:i/>
      <w:iCs/>
      <w:szCs w:val="22"/>
      <w:lang w:eastAsia="zh-TW"/>
    </w:rPr>
  </w:style>
  <w:style w:type="paragraph" w:styleId="Heading6">
    <w:name w:val="heading 6"/>
    <w:basedOn w:val="Normal"/>
    <w:next w:val="Normal"/>
    <w:qFormat/>
    <w:rsid w:val="00C13EEC"/>
    <w:pPr>
      <w:keepNext/>
      <w:widowControl w:val="0"/>
      <w:numPr>
        <w:ilvl w:val="5"/>
        <w:numId w:val="23"/>
      </w:numPr>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numPr>
        <w:ilvl w:val="6"/>
        <w:numId w:val="23"/>
      </w:numPr>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numPr>
        <w:ilvl w:val="7"/>
        <w:numId w:val="2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numPr>
        <w:ilvl w:val="8"/>
        <w:numId w:val="2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Verdana" w:eastAsia="Arial" w:hAnsi="Verdana" w:cs="Arial"/>
      <w:b/>
      <w:i/>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numPr>
        <w:numId w:val="23"/>
      </w:numPr>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numPr>
        <w:ilvl w:val="1"/>
        <w:numId w:val="23"/>
      </w:numPr>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numPr>
        <w:ilvl w:val="2"/>
        <w:numId w:val="23"/>
      </w:numPr>
      <w:spacing w:before="360"/>
      <w:jc w:val="left"/>
      <w:outlineLvl w:val="2"/>
    </w:pPr>
    <w:rPr>
      <w:b/>
      <w:bCs/>
      <w:szCs w:val="22"/>
      <w:lang w:eastAsia="zh-TW"/>
    </w:rPr>
  </w:style>
  <w:style w:type="paragraph" w:styleId="Heading4">
    <w:name w:val="heading 4"/>
    <w:basedOn w:val="Normal"/>
    <w:next w:val="Normal"/>
    <w:link w:val="Heading4Char"/>
    <w:qFormat/>
    <w:rsid w:val="0086271D"/>
    <w:pPr>
      <w:keepNext/>
      <w:keepLines/>
      <w:numPr>
        <w:ilvl w:val="3"/>
        <w:numId w:val="23"/>
      </w:numPr>
      <w:spacing w:before="360"/>
      <w:jc w:val="left"/>
      <w:outlineLvl w:val="3"/>
    </w:pPr>
    <w:rPr>
      <w:b/>
      <w:i/>
      <w:lang w:eastAsia="zh-TW"/>
    </w:rPr>
  </w:style>
  <w:style w:type="paragraph" w:styleId="Heading5">
    <w:name w:val="heading 5"/>
    <w:basedOn w:val="Normal"/>
    <w:next w:val="Normal"/>
    <w:qFormat/>
    <w:rsid w:val="00C13EEC"/>
    <w:pPr>
      <w:numPr>
        <w:ilvl w:val="4"/>
        <w:numId w:val="23"/>
      </w:numPr>
      <w:tabs>
        <w:tab w:val="left" w:pos="1080"/>
      </w:tabs>
      <w:spacing w:before="240"/>
      <w:outlineLvl w:val="4"/>
    </w:pPr>
    <w:rPr>
      <w:bCs/>
      <w:i/>
      <w:iCs/>
      <w:szCs w:val="22"/>
      <w:lang w:eastAsia="zh-TW"/>
    </w:rPr>
  </w:style>
  <w:style w:type="paragraph" w:styleId="Heading6">
    <w:name w:val="heading 6"/>
    <w:basedOn w:val="Normal"/>
    <w:next w:val="Normal"/>
    <w:qFormat/>
    <w:rsid w:val="00C13EEC"/>
    <w:pPr>
      <w:keepNext/>
      <w:widowControl w:val="0"/>
      <w:numPr>
        <w:ilvl w:val="5"/>
        <w:numId w:val="23"/>
      </w:numPr>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numPr>
        <w:ilvl w:val="6"/>
        <w:numId w:val="23"/>
      </w:numPr>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numPr>
        <w:ilvl w:val="7"/>
        <w:numId w:val="2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numPr>
        <w:ilvl w:val="8"/>
        <w:numId w:val="2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Verdana" w:eastAsia="Arial" w:hAnsi="Verdana" w:cs="Arial"/>
      <w:b/>
      <w:i/>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mo.int/pages/prog/drr/events/2016_DRR-FP-RA-TC-TP/2016_DRR-FP-RA-TC-TP.html" TargetMode="External"/><Relationship Id="rId23" Type="http://schemas.openxmlformats.org/officeDocument/2006/relationships/theme" Target="theme/theme1.xml"/><Relationship Id="rId10" Type="http://schemas.openxmlformats.org/officeDocument/2006/relationships/hyperlink" Target="http://www.wmo.int/pages/prog/drr/eventsThematic_en.htm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mo.int/pages/prog/drr/index_en.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4651DE"/>
    <w:rsid w:val="005C6B75"/>
    <w:rsid w:val="007F033D"/>
    <w:rsid w:val="009220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92201C"/>
  </w:style>
  <w:style w:type="paragraph" w:customStyle="1" w:styleId="A3DF14CB61FB4386A1E7E7BF42A7F6D5">
    <w:name w:val="A3DF14CB61FB4386A1E7E7BF42A7F6D5"/>
    <w:rsid w:val="0092201C"/>
  </w:style>
  <w:style w:type="paragraph" w:customStyle="1" w:styleId="E29AC86F113F4996A68E03228D44FE90">
    <w:name w:val="E29AC86F113F4996A68E03228D44FE90"/>
    <w:rsid w:val="0092201C"/>
  </w:style>
  <w:style w:type="paragraph" w:customStyle="1" w:styleId="4532020BD05F40D08AB2451687C7B423">
    <w:name w:val="4532020BD05F40D08AB2451687C7B423"/>
    <w:rsid w:val="0092201C"/>
  </w:style>
  <w:style w:type="paragraph" w:customStyle="1" w:styleId="A9EDB6C449554CC88E818CBF10D2E58B">
    <w:name w:val="A9EDB6C449554CC88E818CBF10D2E58B"/>
    <w:rsid w:val="0092201C"/>
  </w:style>
  <w:style w:type="paragraph" w:customStyle="1" w:styleId="5B4941C1474345119813183015639959">
    <w:name w:val="5B4941C1474345119813183015639959"/>
    <w:rsid w:val="0092201C"/>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44D5D79-974F-4761-BD75-38E213700E7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5859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J.P. van der Meulen</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2018-03-23T15:44:00Z</dcterms:created>
  <dcterms:modified xsi:type="dcterms:W3CDTF">2018-03-23T15:44:00Z</dcterms:modified>
  <cp:category>Doc. 2.5(2)</cp:category>
  <cp:contentStatus>DRAFT 1</cp:contentStatus>
</cp:coreProperties>
</file>