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D666D">
              <w:rPr>
                <w:noProof/>
                <w:color w:val="365F91" w:themeColor="accent1" w:themeShade="BF"/>
                <w:szCs w:val="22"/>
                <w:lang w:val="tr-TR" w:eastAsia="tr-TR"/>
              </w:rPr>
              <w:drawing>
                <wp:anchor distT="0" distB="0" distL="114300" distR="114300" simplePos="0" relativeHeight="251671552" behindDoc="1" locked="1" layoutInCell="1" allowOverlap="1" wp14:anchorId="4AAE253F" wp14:editId="15D7C8F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A2499A" w:rsidP="002D3282">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Pr>
                    <w:rFonts w:cs="Tahoma"/>
                    <w:b/>
                    <w:bCs/>
                    <w:color w:val="365F91" w:themeColor="accent1" w:themeShade="BF"/>
                    <w:szCs w:val="22"/>
                    <w:lang w:val="en-US"/>
                  </w:rPr>
                  <w:t xml:space="preserve">Doc. </w:t>
                </w:r>
                <w:r w:rsidR="002D3282">
                  <w:rPr>
                    <w:rFonts w:cs="Tahoma"/>
                    <w:b/>
                    <w:bCs/>
                    <w:color w:val="365F91" w:themeColor="accent1" w:themeShade="BF"/>
                    <w:szCs w:val="22"/>
                    <w:lang w:val="en-US"/>
                  </w:rPr>
                  <w:t>5.2</w:t>
                </w:r>
                <w:r w:rsidR="000D4FA3">
                  <w:rPr>
                    <w:rFonts w:cs="Tahoma"/>
                    <w:b/>
                    <w:bCs/>
                    <w:color w:val="365F91" w:themeColor="accent1" w:themeShade="BF"/>
                    <w:szCs w:val="22"/>
                    <w:lang w:val="en-US"/>
                  </w:rPr>
                  <w:t>(</w:t>
                </w:r>
                <w:r w:rsidR="002D3282">
                  <w:rPr>
                    <w:rFonts w:cs="Tahoma"/>
                    <w:b/>
                    <w:bCs/>
                    <w:color w:val="365F91" w:themeColor="accent1" w:themeShade="BF"/>
                    <w:szCs w:val="22"/>
                    <w:lang w:val="en-US"/>
                  </w:rPr>
                  <w:t>3</w:t>
                </w:r>
                <w:r w:rsidR="000D4FA3">
                  <w:rPr>
                    <w:rFonts w:cs="Tahoma"/>
                    <w:b/>
                    <w:bCs/>
                    <w:color w:val="365F91" w:themeColor="accent1" w:themeShade="BF"/>
                    <w:szCs w:val="22"/>
                    <w:lang w:val="en-US"/>
                  </w:rPr>
                  <w:t>)</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after="120" w:line="252" w:lineRule="auto"/>
              <w:ind w:left="1134"/>
              <w:jc w:val="left"/>
              <w:rPr>
                <w:noProof/>
                <w:color w:val="365F91" w:themeColor="accent1" w:themeShade="BF"/>
                <w:szCs w:val="22"/>
                <w:lang w:val="en-US" w:eastAsia="zh-CN"/>
              </w:rPr>
            </w:pPr>
          </w:p>
        </w:tc>
        <w:tc>
          <w:tcPr>
            <w:tcW w:w="3402" w:type="dxa"/>
          </w:tcPr>
          <w:p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2D3282">
                  <w:rPr>
                    <w:rFonts w:cs="Tahoma"/>
                    <w:color w:val="365F91" w:themeColor="accent1" w:themeShade="BF"/>
                    <w:szCs w:val="22"/>
                    <w:lang w:val="en-US"/>
                  </w:rPr>
                  <w:t>Ercan Büyükbaş, Turkey</w:t>
                </w:r>
              </w:sdtContent>
            </w:sdt>
          </w:p>
          <w:p w:rsidR="00993581" w:rsidRPr="00F727D7" w:rsidRDefault="002D3282" w:rsidP="00993581">
            <w:pPr>
              <w:tabs>
                <w:tab w:val="clear" w:pos="1134"/>
              </w:tabs>
              <w:spacing w:after="60"/>
              <w:ind w:right="-108"/>
              <w:jc w:val="right"/>
              <w:rPr>
                <w:rFonts w:cs="Tahoma"/>
                <w:color w:val="365F91" w:themeColor="accent1" w:themeShade="BF"/>
                <w:szCs w:val="22"/>
                <w:lang w:val="en-US"/>
              </w:rPr>
            </w:pPr>
            <w:r>
              <w:rPr>
                <w:rFonts w:cs="Tahoma"/>
                <w:color w:val="365F91" w:themeColor="accent1" w:themeShade="BF"/>
                <w:szCs w:val="22"/>
                <w:lang w:val="en-US"/>
              </w:rPr>
              <w:t>06</w:t>
            </w:r>
            <w:r w:rsidR="000D4FA3" w:rsidRPr="00F727D7">
              <w:rPr>
                <w:rFonts w:cs="Tahoma"/>
                <w:color w:val="365F91" w:themeColor="accent1" w:themeShade="BF"/>
                <w:szCs w:val="22"/>
                <w:lang w:val="en-US"/>
              </w:rPr>
              <w:t>.</w:t>
            </w:r>
            <w:r>
              <w:rPr>
                <w:rFonts w:cs="Tahoma"/>
                <w:color w:val="365F91" w:themeColor="accent1" w:themeShade="BF"/>
                <w:szCs w:val="22"/>
                <w:lang w:val="en-US"/>
              </w:rPr>
              <w:t>03.2017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0D4FA3" w:rsidP="002D3282">
                <w:pPr>
                  <w:tabs>
                    <w:tab w:val="clear" w:pos="1134"/>
                  </w:tabs>
                  <w:spacing w:after="60"/>
                  <w:ind w:right="-108"/>
                  <w:jc w:val="right"/>
                  <w:rPr>
                    <w:rFonts w:cs="Tahoma"/>
                    <w:b/>
                    <w:bCs/>
                    <w:color w:val="365F91" w:themeColor="accent1" w:themeShade="BF"/>
                    <w:szCs w:val="22"/>
                    <w:lang w:val="fr-CH"/>
                  </w:rPr>
                </w:pPr>
                <w:r w:rsidRPr="006F501F">
                  <w:rPr>
                    <w:rFonts w:cs="Tahoma"/>
                    <w:b/>
                    <w:bCs/>
                    <w:color w:val="365F91" w:themeColor="accent1" w:themeShade="BF"/>
                    <w:szCs w:val="22"/>
                    <w:lang w:val="fr-CH"/>
                  </w:rPr>
                  <w:t>DRAFT 1</w:t>
                </w:r>
              </w:p>
            </w:sdtContent>
          </w:sdt>
        </w:tc>
      </w:tr>
    </w:tbl>
    <w:p w:rsidR="00583549" w:rsidRPr="006F501F" w:rsidRDefault="00583549" w:rsidP="00B56934">
      <w:pPr>
        <w:pStyle w:val="Balk1"/>
        <w:rPr>
          <w:lang w:val="fr-CH"/>
        </w:rPr>
      </w:pPr>
      <w:bookmarkStart w:id="0" w:name="_APPENDIX_A:_"/>
      <w:bookmarkEnd w:id="0"/>
    </w:p>
    <w:p w:rsidR="002D3282" w:rsidRDefault="002D3282" w:rsidP="002D3282">
      <w:pPr>
        <w:pStyle w:val="Balk3"/>
        <w:snapToGrid w:val="0"/>
        <w:spacing w:after="120"/>
        <w:jc w:val="center"/>
      </w:pPr>
      <w:bookmarkStart w:id="1" w:name="_Draft_Decision_X.X.X(X)/1"/>
      <w:bookmarkStart w:id="2" w:name="_Toc319327009"/>
      <w:bookmarkEnd w:id="1"/>
      <w:r w:rsidRPr="002D3282">
        <w:rPr>
          <w:caps/>
          <w:kern w:val="32"/>
          <w:sz w:val="24"/>
          <w:szCs w:val="32"/>
        </w:rPr>
        <w:t>WMO Radar Database and WIGOS OSCAR/Surface</w:t>
      </w:r>
    </w:p>
    <w:p w:rsidR="002D3282" w:rsidRPr="00491766" w:rsidRDefault="002D3282" w:rsidP="002D3282">
      <w:pPr>
        <w:pStyle w:val="Balk3"/>
        <w:snapToGrid w:val="0"/>
        <w:spacing w:after="120"/>
      </w:pPr>
      <w:r w:rsidRPr="00491766">
        <w:t>SUMMARY</w:t>
      </w:r>
    </w:p>
    <w:p w:rsidR="00991F8B" w:rsidRDefault="002D3282" w:rsidP="002D3282">
      <w:pPr>
        <w:snapToGrid w:val="0"/>
        <w:spacing w:after="120"/>
        <w:rPr>
          <w:lang w:val="en-US" w:eastAsia="zh-TW"/>
        </w:rPr>
      </w:pPr>
      <w:r w:rsidRPr="001D0ED9">
        <w:rPr>
          <w:lang w:val="en-US" w:eastAsia="zh-TW"/>
        </w:rPr>
        <w:t xml:space="preserve">This document provides information on </w:t>
      </w:r>
      <w:r w:rsidR="00991F8B">
        <w:rPr>
          <w:color w:val="000000"/>
          <w:szCs w:val="22"/>
          <w:lang w:val="en-US"/>
        </w:rPr>
        <w:t>latest</w:t>
      </w:r>
      <w:r w:rsidR="00991F8B" w:rsidRPr="0020707A">
        <w:rPr>
          <w:color w:val="000000"/>
          <w:szCs w:val="22"/>
          <w:lang w:val="en-US"/>
        </w:rPr>
        <w:t xml:space="preserve"> status </w:t>
      </w:r>
      <w:r w:rsidR="00991F8B">
        <w:rPr>
          <w:color w:val="000000"/>
          <w:szCs w:val="22"/>
          <w:lang w:val="en-US"/>
        </w:rPr>
        <w:t>and operational use of t</w:t>
      </w:r>
      <w:r w:rsidR="00991F8B" w:rsidRPr="0020707A">
        <w:rPr>
          <w:color w:val="000000"/>
          <w:szCs w:val="22"/>
          <w:lang w:val="en-US"/>
        </w:rPr>
        <w:t xml:space="preserve">he WMO Radar Database (WRD) </w:t>
      </w:r>
      <w:r w:rsidR="00991F8B">
        <w:rPr>
          <w:color w:val="000000"/>
          <w:szCs w:val="22"/>
          <w:lang w:val="en-US"/>
        </w:rPr>
        <w:t xml:space="preserve">developed and maintained </w:t>
      </w:r>
      <w:r w:rsidR="00991F8B" w:rsidRPr="0020707A">
        <w:rPr>
          <w:color w:val="000000"/>
          <w:szCs w:val="22"/>
          <w:lang w:val="en-US"/>
        </w:rPr>
        <w:t xml:space="preserve">by Turkish </w:t>
      </w:r>
      <w:r w:rsidR="00991F8B">
        <w:rPr>
          <w:color w:val="000000"/>
          <w:szCs w:val="22"/>
          <w:lang w:val="en-US"/>
        </w:rPr>
        <w:t xml:space="preserve">State </w:t>
      </w:r>
      <w:r w:rsidR="00991F8B" w:rsidRPr="0020707A">
        <w:rPr>
          <w:color w:val="000000"/>
          <w:szCs w:val="22"/>
          <w:lang w:val="en-US"/>
        </w:rPr>
        <w:t>Meteorological Service</w:t>
      </w:r>
      <w:r w:rsidR="00991F8B">
        <w:rPr>
          <w:color w:val="000000"/>
          <w:szCs w:val="22"/>
          <w:lang w:val="en-US"/>
        </w:rPr>
        <w:t xml:space="preserve"> in cooperation with of WMO as a joint task of CIMO and CBS.</w:t>
      </w:r>
      <w:r w:rsidRPr="001D0ED9">
        <w:rPr>
          <w:lang w:val="en-US" w:eastAsia="zh-TW"/>
        </w:rPr>
        <w:t xml:space="preserve"> </w:t>
      </w:r>
    </w:p>
    <w:p w:rsidR="00991F8B" w:rsidRPr="00991F8B" w:rsidRDefault="002D3282" w:rsidP="00991F8B">
      <w:pPr>
        <w:snapToGrid w:val="0"/>
        <w:spacing w:after="120"/>
        <w:rPr>
          <w:lang w:val="en-US" w:eastAsia="zh-TW"/>
        </w:rPr>
      </w:pPr>
      <w:r w:rsidRPr="001D0ED9">
        <w:rPr>
          <w:lang w:val="en-US" w:eastAsia="zh-TW"/>
        </w:rPr>
        <w:t>T</w:t>
      </w:r>
      <w:r w:rsidR="00991F8B">
        <w:rPr>
          <w:lang w:val="en-US" w:eastAsia="zh-TW"/>
        </w:rPr>
        <w:t>he document provides information also on the relation with WRD and WIGOS OSCAR/Surface, which is developed and maintained by</w:t>
      </w:r>
      <w:r w:rsidR="00887965">
        <w:rPr>
          <w:lang w:val="en-US" w:eastAsia="zh-TW"/>
        </w:rPr>
        <w:t xml:space="preserve"> Meteo</w:t>
      </w:r>
      <w:r w:rsidR="00991F8B">
        <w:rPr>
          <w:lang w:val="en-US" w:eastAsia="zh-TW"/>
        </w:rPr>
        <w:t>Swiss on behalf of WMO</w:t>
      </w:r>
      <w:r w:rsidR="00AA648C">
        <w:rPr>
          <w:lang w:val="en-US" w:eastAsia="zh-TW"/>
        </w:rPr>
        <w:t xml:space="preserve"> as </w:t>
      </w:r>
      <w:r w:rsidR="00991F8B" w:rsidRPr="00991F8B">
        <w:rPr>
          <w:lang w:val="en-US" w:eastAsia="zh-TW"/>
        </w:rPr>
        <w:t xml:space="preserve">the official repository of metadata on surface-based meteorological and climatological observations that are required for international exchange. </w:t>
      </w:r>
    </w:p>
    <w:p w:rsidR="002F5517" w:rsidRDefault="002F5517" w:rsidP="00976674">
      <w:pPr>
        <w:pStyle w:val="Balk3"/>
        <w:snapToGrid w:val="0"/>
        <w:spacing w:after="120"/>
        <w:ind w:left="3828" w:hanging="3828"/>
        <w:rPr>
          <w:b w:val="0"/>
          <w:bCs w:val="0"/>
        </w:rPr>
      </w:pPr>
      <w:r>
        <w:t>DECISIONS/ACTIONS REQUIRED</w:t>
      </w:r>
      <w:r>
        <w:rPr>
          <w:b w:val="0"/>
          <w:bCs w:val="0"/>
        </w:rPr>
        <w:t xml:space="preserve">: </w:t>
      </w:r>
      <w:r w:rsidR="00976674">
        <w:rPr>
          <w:b w:val="0"/>
          <w:bCs w:val="0"/>
        </w:rPr>
        <w:t xml:space="preserve">Proposed decisions and recommendations have been stated in </w:t>
      </w:r>
      <w:r>
        <w:rPr>
          <w:b w:val="0"/>
          <w:bCs w:val="0"/>
        </w:rPr>
        <w:t>part 1</w:t>
      </w:r>
      <w:r w:rsidR="00976674">
        <w:rPr>
          <w:b w:val="0"/>
          <w:bCs w:val="0"/>
        </w:rPr>
        <w:t>.</w:t>
      </w:r>
    </w:p>
    <w:p w:rsidR="00491766" w:rsidRPr="00491766" w:rsidRDefault="00491766" w:rsidP="00491766">
      <w:pPr>
        <w:pStyle w:val="Balk3"/>
        <w:snapToGrid w:val="0"/>
        <w:spacing w:after="120"/>
      </w:pPr>
      <w:r>
        <w:t>ISSUES TO BE DISCUSSED</w:t>
      </w:r>
      <w:r w:rsidRPr="002F5517">
        <w:rPr>
          <w:b w:val="0"/>
          <w:bCs w:val="0"/>
        </w:rPr>
        <w:t xml:space="preserve">: </w:t>
      </w:r>
      <w:r w:rsidR="00976674">
        <w:rPr>
          <w:b w:val="0"/>
          <w:bCs w:val="0"/>
        </w:rPr>
        <w:t>The issues to be discussed have been stated in</w:t>
      </w:r>
      <w:r w:rsidRPr="002F5517">
        <w:rPr>
          <w:b w:val="0"/>
          <w:bCs w:val="0"/>
        </w:rPr>
        <w:t xml:space="preserve"> part 2</w:t>
      </w:r>
      <w:r w:rsidR="00976674">
        <w:rPr>
          <w:b w:val="0"/>
          <w:bCs w:val="0"/>
        </w:rPr>
        <w:t>.</w:t>
      </w:r>
    </w:p>
    <w:p w:rsidR="00491766" w:rsidRPr="00815049" w:rsidRDefault="00491766" w:rsidP="00491766">
      <w:pPr>
        <w:pStyle w:val="Balk3"/>
        <w:snapToGrid w:val="0"/>
        <w:spacing w:after="120"/>
        <w:rPr>
          <w:b w:val="0"/>
        </w:rPr>
      </w:pPr>
      <w:r>
        <w:t>REFERENCES:</w:t>
      </w:r>
      <w:r w:rsidR="00815049">
        <w:t xml:space="preserve"> </w:t>
      </w:r>
      <w:r w:rsidR="00976674" w:rsidRPr="00976674">
        <w:rPr>
          <w:b w:val="0"/>
        </w:rPr>
        <w:t>Related</w:t>
      </w:r>
      <w:r w:rsidR="00976674">
        <w:t xml:space="preserve"> </w:t>
      </w:r>
      <w:r w:rsidR="00976674">
        <w:rPr>
          <w:b w:val="0"/>
        </w:rPr>
        <w:t>documents and web sites have been stated in</w:t>
      </w:r>
      <w:r w:rsidR="00815049" w:rsidRPr="00815049">
        <w:rPr>
          <w:b w:val="0"/>
        </w:rPr>
        <w:t xml:space="preserve"> part 3</w:t>
      </w:r>
      <w:r w:rsidR="00976674">
        <w:rPr>
          <w:b w:val="0"/>
        </w:rPr>
        <w:t>.</w:t>
      </w:r>
    </w:p>
    <w:p w:rsidR="00491766" w:rsidRDefault="00491766" w:rsidP="00491766">
      <w:pPr>
        <w:pStyle w:val="Balk1"/>
        <w:rPr>
          <w:b w:val="0"/>
          <w:bCs w:val="0"/>
        </w:rPr>
      </w:pPr>
      <w:bookmarkStart w:id="3" w:name="_APPENDIX_B:_"/>
      <w:bookmarkEnd w:id="3"/>
      <w:r>
        <w:rPr>
          <w:b w:val="0"/>
          <w:bCs w:val="0"/>
        </w:rPr>
        <w:t>__________</w:t>
      </w:r>
    </w:p>
    <w:p w:rsidR="00491766" w:rsidRDefault="00491766" w:rsidP="00491766">
      <w:pPr>
        <w:pStyle w:val="Balk1"/>
      </w:pPr>
      <w:r>
        <w:rPr>
          <w:b w:val="0"/>
          <w:bCs w:val="0"/>
          <w:caps w:val="0"/>
        </w:rPr>
        <w:br w:type="page"/>
      </w:r>
    </w:p>
    <w:p w:rsidR="00AA648C" w:rsidRDefault="00AA648C" w:rsidP="00AA648C">
      <w:pPr>
        <w:pStyle w:val="WMOBodyText"/>
        <w:numPr>
          <w:ilvl w:val="3"/>
          <w:numId w:val="2"/>
        </w:numPr>
        <w:tabs>
          <w:tab w:val="clear" w:pos="1134"/>
          <w:tab w:val="left" w:pos="567"/>
        </w:tabs>
        <w:spacing w:before="0" w:after="360"/>
        <w:ind w:hanging="2880"/>
        <w:rPr>
          <w:b/>
          <w:bCs/>
        </w:rPr>
      </w:pPr>
      <w:r>
        <w:rPr>
          <w:b/>
          <w:bCs/>
        </w:rPr>
        <w:lastRenderedPageBreak/>
        <w:t>WMO RADAR DATABASE</w:t>
      </w:r>
    </w:p>
    <w:p w:rsidR="00AA648C" w:rsidRPr="00976674" w:rsidRDefault="00D90310" w:rsidP="00280313">
      <w:pPr>
        <w:pStyle w:val="WMOBodyText"/>
        <w:numPr>
          <w:ilvl w:val="1"/>
          <w:numId w:val="7"/>
        </w:numPr>
        <w:tabs>
          <w:tab w:val="clear" w:pos="1134"/>
          <w:tab w:val="left" w:pos="567"/>
        </w:tabs>
        <w:spacing w:before="0" w:after="360"/>
        <w:ind w:left="567" w:hanging="567"/>
        <w:jc w:val="both"/>
        <w:rPr>
          <w:bCs/>
        </w:rPr>
      </w:pPr>
      <w:r w:rsidRPr="00D90310">
        <w:rPr>
          <w:bCs/>
        </w:rPr>
        <w:t xml:space="preserve">The development process of the WRD </w:t>
      </w:r>
      <w:r w:rsidRPr="00976674">
        <w:rPr>
          <w:bCs/>
        </w:rPr>
        <w:t>was started in 2009 as joint task of CIMO and CBS expert teams to establish a web based platform for collecting, archiving, monitoring and updating of the metadata of the weather radars used by the Members.</w:t>
      </w:r>
      <w:r w:rsidR="00280313" w:rsidRPr="00976674">
        <w:rPr>
          <w:bCs/>
        </w:rPr>
        <w:t xml:space="preserve"> The WRD developed by Turkish State Meteorological Service (TSMS) is under operation and open for the use of the Members since 2011.</w:t>
      </w:r>
    </w:p>
    <w:p w:rsidR="006837ED" w:rsidRDefault="006837ED" w:rsidP="00280313">
      <w:pPr>
        <w:pStyle w:val="WMOBodyText"/>
        <w:numPr>
          <w:ilvl w:val="1"/>
          <w:numId w:val="7"/>
        </w:numPr>
        <w:tabs>
          <w:tab w:val="clear" w:pos="1134"/>
          <w:tab w:val="left" w:pos="567"/>
        </w:tabs>
        <w:spacing w:before="0" w:after="360"/>
        <w:ind w:left="567" w:hanging="567"/>
        <w:jc w:val="both"/>
        <w:rPr>
          <w:bCs/>
        </w:rPr>
      </w:pPr>
      <w:r>
        <w:rPr>
          <w:bCs/>
        </w:rPr>
        <w:t xml:space="preserve">A lot of information such as </w:t>
      </w:r>
      <w:r w:rsidR="00976674">
        <w:rPr>
          <w:bCs/>
        </w:rPr>
        <w:t>owner, manufacturer, and location, operational and technical features on the radars are available in WRD for the use of the Members.</w:t>
      </w:r>
    </w:p>
    <w:p w:rsidR="00D90310" w:rsidRDefault="003C245A" w:rsidP="00D14A88">
      <w:pPr>
        <w:pStyle w:val="WMOBodyText"/>
        <w:numPr>
          <w:ilvl w:val="1"/>
          <w:numId w:val="7"/>
        </w:numPr>
        <w:tabs>
          <w:tab w:val="clear" w:pos="1134"/>
          <w:tab w:val="left" w:pos="567"/>
        </w:tabs>
        <w:spacing w:before="0" w:after="360"/>
        <w:ind w:left="567" w:hanging="567"/>
        <w:jc w:val="both"/>
        <w:rPr>
          <w:bCs/>
        </w:rPr>
      </w:pPr>
      <w:r>
        <w:rPr>
          <w:bCs/>
        </w:rPr>
        <w:t xml:space="preserve">As it can easily be seen </w:t>
      </w:r>
      <w:r w:rsidR="006127F1" w:rsidRPr="00976674">
        <w:rPr>
          <w:bCs/>
        </w:rPr>
        <w:t>from</w:t>
      </w:r>
      <w:r w:rsidR="006127F1" w:rsidRPr="003572B6">
        <w:rPr>
          <w:bCs/>
          <w:color w:val="FF0000"/>
        </w:rPr>
        <w:t xml:space="preserve"> </w:t>
      </w:r>
      <w:r>
        <w:rPr>
          <w:bCs/>
        </w:rPr>
        <w:t>the tables below</w:t>
      </w:r>
      <w:r w:rsidR="00D14A88">
        <w:rPr>
          <w:bCs/>
        </w:rPr>
        <w:t xml:space="preserve"> that there is getting increased interest to WRD by the Members. While the number of the Members registering in WRD was 49 in 2009, the registered Members providing the radar information into WRD in 2017 has reached to a number of 88. On the other hand, while the total number of weather radars registered in WRD in 2009 was 464, the metadata of the 92</w:t>
      </w:r>
      <w:r w:rsidR="00EA300C">
        <w:rPr>
          <w:bCs/>
        </w:rPr>
        <w:t>6</w:t>
      </w:r>
      <w:r w:rsidR="00D14A88">
        <w:rPr>
          <w:bCs/>
        </w:rPr>
        <w:t xml:space="preserve"> weather radars are available in WRD as of 2017 March.</w:t>
      </w:r>
      <w:r w:rsidR="008D5C8E">
        <w:rPr>
          <w:bCs/>
        </w:rPr>
        <w:t xml:space="preserve"> Moreover, the number focal points nominated by the Members was 23 by 2011, but WRD has 75 focal points, as of 2017 March, to carry out the required tasks for the efficient use and operation of the system.</w:t>
      </w:r>
    </w:p>
    <w:p w:rsidR="008D5C8E" w:rsidRDefault="00E83473" w:rsidP="008D5C8E">
      <w:pPr>
        <w:pStyle w:val="WMOBodyText"/>
        <w:tabs>
          <w:tab w:val="clear" w:pos="1134"/>
          <w:tab w:val="left" w:pos="567"/>
        </w:tabs>
        <w:spacing w:before="0" w:after="360"/>
        <w:ind w:left="567"/>
        <w:jc w:val="both"/>
        <w:rPr>
          <w:bCs/>
        </w:rPr>
      </w:pPr>
      <w:r>
        <w:rPr>
          <w:bCs/>
          <w:noProof/>
          <w:lang w:val="tr-TR" w:eastAsia="tr-TR"/>
        </w:rPr>
        <w:drawing>
          <wp:inline distT="0" distB="0" distL="0" distR="0">
            <wp:extent cx="5486400" cy="3200400"/>
            <wp:effectExtent l="19050" t="1905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5CE6" w:rsidRPr="007761FD" w:rsidRDefault="007761FD" w:rsidP="008D5C8E">
      <w:pPr>
        <w:pStyle w:val="WMOBodyText"/>
        <w:tabs>
          <w:tab w:val="clear" w:pos="1134"/>
          <w:tab w:val="left" w:pos="567"/>
        </w:tabs>
        <w:spacing w:before="0" w:after="360"/>
        <w:ind w:left="567"/>
        <w:jc w:val="both"/>
        <w:rPr>
          <w:bCs/>
          <w:i/>
        </w:rPr>
      </w:pPr>
      <w:r w:rsidRPr="007761FD">
        <w:rPr>
          <w:bCs/>
          <w:i/>
        </w:rPr>
        <w:t>Figure 1. Number of Weather Radars Registered in WRD by the Members</w:t>
      </w:r>
    </w:p>
    <w:p w:rsidR="000A5CE6" w:rsidRDefault="000A5CE6" w:rsidP="008D5C8E">
      <w:pPr>
        <w:pStyle w:val="WMOBodyText"/>
        <w:tabs>
          <w:tab w:val="clear" w:pos="1134"/>
          <w:tab w:val="left" w:pos="567"/>
        </w:tabs>
        <w:spacing w:before="0" w:after="360"/>
        <w:ind w:left="567"/>
        <w:jc w:val="both"/>
        <w:rPr>
          <w:bCs/>
        </w:rPr>
      </w:pPr>
      <w:r>
        <w:rPr>
          <w:bCs/>
          <w:noProof/>
          <w:lang w:val="tr-TR" w:eastAsia="tr-TR"/>
        </w:rPr>
        <w:lastRenderedPageBreak/>
        <w:drawing>
          <wp:inline distT="0" distB="0" distL="0" distR="0">
            <wp:extent cx="5486400" cy="3200400"/>
            <wp:effectExtent l="19050" t="1905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61FD" w:rsidRPr="007761FD" w:rsidRDefault="007761FD" w:rsidP="007761FD">
      <w:pPr>
        <w:pStyle w:val="WMOBodyText"/>
        <w:tabs>
          <w:tab w:val="clear" w:pos="1134"/>
          <w:tab w:val="left" w:pos="567"/>
        </w:tabs>
        <w:spacing w:before="0" w:after="360"/>
        <w:ind w:left="567"/>
        <w:jc w:val="both"/>
        <w:rPr>
          <w:bCs/>
          <w:i/>
        </w:rPr>
      </w:pPr>
      <w:r w:rsidRPr="007761FD">
        <w:rPr>
          <w:bCs/>
          <w:i/>
        </w:rPr>
        <w:t xml:space="preserve">Figure </w:t>
      </w:r>
      <w:r>
        <w:rPr>
          <w:bCs/>
          <w:i/>
        </w:rPr>
        <w:t>2</w:t>
      </w:r>
      <w:r w:rsidRPr="007761FD">
        <w:rPr>
          <w:bCs/>
          <w:i/>
        </w:rPr>
        <w:t xml:space="preserve">. Number of </w:t>
      </w:r>
      <w:r>
        <w:rPr>
          <w:bCs/>
          <w:i/>
        </w:rPr>
        <w:t>Members Providing Information for WRD</w:t>
      </w:r>
    </w:p>
    <w:p w:rsidR="000A5CE6" w:rsidRDefault="00E5728E" w:rsidP="008D5C8E">
      <w:pPr>
        <w:pStyle w:val="WMOBodyText"/>
        <w:tabs>
          <w:tab w:val="clear" w:pos="1134"/>
          <w:tab w:val="left" w:pos="567"/>
        </w:tabs>
        <w:spacing w:before="0" w:after="360"/>
        <w:ind w:left="567"/>
        <w:jc w:val="both"/>
        <w:rPr>
          <w:bCs/>
        </w:rPr>
      </w:pPr>
      <w:r w:rsidRPr="00E5728E">
        <w:rPr>
          <w:rFonts w:ascii="Times New Roman" w:eastAsia="Times New Roman" w:hAnsi="Times New Roman" w:cs="Times New Roman"/>
          <w:noProof/>
          <w:sz w:val="24"/>
          <w:szCs w:val="24"/>
          <w:lang w:val="tr-TR" w:eastAsia="tr-TR"/>
        </w:rPr>
        <w:drawing>
          <wp:anchor distT="0" distB="0" distL="114300" distR="114300" simplePos="0" relativeHeight="251673600" behindDoc="1" locked="0" layoutInCell="1" allowOverlap="1" wp14:anchorId="27EA3AB6" wp14:editId="314F450C">
            <wp:simplePos x="0" y="0"/>
            <wp:positionH relativeFrom="column">
              <wp:posOffset>0</wp:posOffset>
            </wp:positionH>
            <wp:positionV relativeFrom="paragraph">
              <wp:posOffset>381000</wp:posOffset>
            </wp:positionV>
            <wp:extent cx="5541010" cy="3242945"/>
            <wp:effectExtent l="0" t="0" r="4445" b="0"/>
            <wp:wrapTight wrapText="bothSides">
              <wp:wrapPolygon edited="0">
                <wp:start x="-225" y="-385"/>
                <wp:lineTo x="-225" y="21731"/>
                <wp:lineTo x="21674" y="21731"/>
                <wp:lineTo x="21674" y="-385"/>
                <wp:lineTo x="-225" y="-385"/>
              </wp:wrapPolygon>
            </wp:wrapTight>
            <wp:docPr id="5" name="Nesnesi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673B0" w:rsidRDefault="00E673B0" w:rsidP="00E673B0">
      <w:pPr>
        <w:pStyle w:val="WMOBodyText"/>
        <w:rPr>
          <w:bCs/>
          <w:i/>
        </w:rPr>
      </w:pPr>
    </w:p>
    <w:p w:rsidR="00E5728E" w:rsidRDefault="00E673B0" w:rsidP="00E673B0">
      <w:pPr>
        <w:pStyle w:val="WMOBodyText"/>
        <w:rPr>
          <w:bCs/>
          <w:i/>
        </w:rPr>
      </w:pPr>
      <w:r>
        <w:rPr>
          <w:bCs/>
          <w:i/>
        </w:rPr>
        <w:t xml:space="preserve">     </w:t>
      </w: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5728E" w:rsidRDefault="00E5728E" w:rsidP="00E673B0">
      <w:pPr>
        <w:pStyle w:val="WMOBodyText"/>
        <w:rPr>
          <w:bCs/>
          <w:i/>
        </w:rPr>
      </w:pPr>
    </w:p>
    <w:p w:rsidR="00E673B0" w:rsidRPr="00E673B0" w:rsidRDefault="00E673B0" w:rsidP="00E673B0">
      <w:pPr>
        <w:pStyle w:val="WMOBodyText"/>
        <w:rPr>
          <w:bCs/>
          <w:i/>
        </w:rPr>
      </w:pPr>
      <w:r w:rsidRPr="00E673B0">
        <w:rPr>
          <w:bCs/>
          <w:i/>
        </w:rPr>
        <w:t xml:space="preserve">Figure </w:t>
      </w:r>
      <w:r>
        <w:rPr>
          <w:bCs/>
          <w:i/>
        </w:rPr>
        <w:t>3</w:t>
      </w:r>
      <w:r w:rsidRPr="00E673B0">
        <w:rPr>
          <w:bCs/>
          <w:i/>
        </w:rPr>
        <w:t xml:space="preserve">. </w:t>
      </w:r>
      <w:r>
        <w:rPr>
          <w:bCs/>
          <w:i/>
        </w:rPr>
        <w:t xml:space="preserve">Regional Distribution </w:t>
      </w:r>
      <w:r w:rsidRPr="00E673B0">
        <w:rPr>
          <w:bCs/>
          <w:i/>
        </w:rPr>
        <w:t>of Members Providing Information for WRD</w:t>
      </w:r>
    </w:p>
    <w:p w:rsidR="007761FD" w:rsidRDefault="007761FD" w:rsidP="008D5C8E">
      <w:pPr>
        <w:pStyle w:val="WMOBodyText"/>
        <w:tabs>
          <w:tab w:val="clear" w:pos="1134"/>
          <w:tab w:val="left" w:pos="567"/>
        </w:tabs>
        <w:spacing w:before="0" w:after="360"/>
        <w:ind w:left="567"/>
        <w:jc w:val="both"/>
        <w:rPr>
          <w:bCs/>
        </w:rPr>
      </w:pPr>
    </w:p>
    <w:p w:rsidR="007761FD" w:rsidRDefault="007761FD" w:rsidP="008D5C8E">
      <w:pPr>
        <w:pStyle w:val="WMOBodyText"/>
        <w:tabs>
          <w:tab w:val="clear" w:pos="1134"/>
          <w:tab w:val="left" w:pos="567"/>
        </w:tabs>
        <w:spacing w:before="0" w:after="360"/>
        <w:ind w:left="567"/>
        <w:jc w:val="both"/>
        <w:rPr>
          <w:bCs/>
        </w:rPr>
      </w:pPr>
    </w:p>
    <w:p w:rsidR="00CD0BA1" w:rsidRDefault="00CD0BA1" w:rsidP="008D5C8E">
      <w:pPr>
        <w:pStyle w:val="WMOBodyText"/>
        <w:tabs>
          <w:tab w:val="clear" w:pos="1134"/>
          <w:tab w:val="left" w:pos="567"/>
        </w:tabs>
        <w:spacing w:before="0" w:after="360"/>
        <w:ind w:left="567"/>
        <w:jc w:val="both"/>
        <w:rPr>
          <w:bCs/>
        </w:rPr>
      </w:pPr>
    </w:p>
    <w:p w:rsidR="00CD0BA1" w:rsidRDefault="00CD0BA1" w:rsidP="008D5C8E">
      <w:pPr>
        <w:pStyle w:val="WMOBodyText"/>
        <w:tabs>
          <w:tab w:val="clear" w:pos="1134"/>
          <w:tab w:val="left" w:pos="567"/>
        </w:tabs>
        <w:spacing w:before="0" w:after="360"/>
        <w:ind w:left="567"/>
        <w:jc w:val="both"/>
        <w:rPr>
          <w:bCs/>
        </w:rPr>
      </w:pPr>
    </w:p>
    <w:p w:rsidR="00CD0BA1" w:rsidRDefault="00855A75" w:rsidP="008D5C8E">
      <w:pPr>
        <w:pStyle w:val="WMOBodyText"/>
        <w:tabs>
          <w:tab w:val="clear" w:pos="1134"/>
          <w:tab w:val="left" w:pos="567"/>
        </w:tabs>
        <w:spacing w:before="0" w:after="360"/>
        <w:ind w:left="567"/>
        <w:jc w:val="both"/>
        <w:rPr>
          <w:bCs/>
        </w:rPr>
      </w:pPr>
      <w:bookmarkStart w:id="4" w:name="_GoBack"/>
      <w:r>
        <w:rPr>
          <w:bCs/>
          <w:noProof/>
          <w:lang w:val="tr-TR" w:eastAsia="tr-TR"/>
        </w:rPr>
        <w:drawing>
          <wp:anchor distT="0" distB="0" distL="114300" distR="114300" simplePos="0" relativeHeight="251674624" behindDoc="0" locked="0" layoutInCell="1" allowOverlap="1">
            <wp:simplePos x="0" y="0"/>
            <wp:positionH relativeFrom="margin">
              <wp:align>right</wp:align>
            </wp:positionH>
            <wp:positionV relativeFrom="paragraph">
              <wp:posOffset>464820</wp:posOffset>
            </wp:positionV>
            <wp:extent cx="5811520" cy="2819400"/>
            <wp:effectExtent l="0" t="0" r="17780" b="0"/>
            <wp:wrapSquare wrapText="right"/>
            <wp:docPr id="6" name="Grafik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bookmarkEnd w:id="4"/>
    </w:p>
    <w:p w:rsidR="00D81438" w:rsidRPr="00D81438" w:rsidRDefault="00D81438" w:rsidP="00D81438">
      <w:pPr>
        <w:spacing w:before="240"/>
        <w:jc w:val="left"/>
        <w:rPr>
          <w:bCs/>
          <w:i/>
          <w:szCs w:val="22"/>
          <w:lang w:eastAsia="zh-TW"/>
        </w:rPr>
      </w:pPr>
      <w:r w:rsidRPr="00D81438">
        <w:rPr>
          <w:bCs/>
          <w:i/>
          <w:szCs w:val="22"/>
          <w:lang w:eastAsia="zh-TW"/>
        </w:rPr>
        <w:t xml:space="preserve">     Figure </w:t>
      </w:r>
      <w:r>
        <w:rPr>
          <w:bCs/>
          <w:i/>
          <w:szCs w:val="22"/>
          <w:lang w:eastAsia="zh-TW"/>
        </w:rPr>
        <w:t>4</w:t>
      </w:r>
      <w:r w:rsidRPr="00D81438">
        <w:rPr>
          <w:bCs/>
          <w:i/>
          <w:szCs w:val="22"/>
          <w:lang w:eastAsia="zh-TW"/>
        </w:rPr>
        <w:t xml:space="preserve">. Distribution of </w:t>
      </w:r>
      <w:r>
        <w:rPr>
          <w:bCs/>
          <w:i/>
          <w:szCs w:val="22"/>
          <w:lang w:eastAsia="zh-TW"/>
        </w:rPr>
        <w:t>Radar Frequencies Registered in WRD</w:t>
      </w:r>
    </w:p>
    <w:p w:rsidR="00D81438" w:rsidRDefault="00D81438" w:rsidP="008D5C8E">
      <w:pPr>
        <w:pStyle w:val="WMOBodyText"/>
        <w:tabs>
          <w:tab w:val="clear" w:pos="1134"/>
          <w:tab w:val="left" w:pos="567"/>
        </w:tabs>
        <w:spacing w:before="0" w:after="360"/>
        <w:ind w:left="567"/>
        <w:jc w:val="both"/>
        <w:rPr>
          <w:bCs/>
        </w:rPr>
      </w:pPr>
    </w:p>
    <w:p w:rsidR="003C245A" w:rsidRDefault="003C245A" w:rsidP="00D14A88">
      <w:pPr>
        <w:pStyle w:val="WMOBodyText"/>
        <w:numPr>
          <w:ilvl w:val="1"/>
          <w:numId w:val="7"/>
        </w:numPr>
        <w:tabs>
          <w:tab w:val="clear" w:pos="1134"/>
          <w:tab w:val="left" w:pos="567"/>
        </w:tabs>
        <w:spacing w:before="0" w:after="360"/>
        <w:ind w:left="567" w:hanging="567"/>
        <w:jc w:val="both"/>
        <w:rPr>
          <w:bCs/>
        </w:rPr>
      </w:pPr>
      <w:r>
        <w:rPr>
          <w:bCs/>
        </w:rPr>
        <w:t>Although most of the Members operating weather radars have been registered in WRD, it is noted that some Members operating weather radar networks are still missing in WRD. It is expected that the gaps will be filled soon and all Members will be registered in WRD.</w:t>
      </w:r>
    </w:p>
    <w:p w:rsidR="00D14A88" w:rsidRDefault="00D14A88" w:rsidP="00D14A88">
      <w:pPr>
        <w:pStyle w:val="WMOBodyText"/>
        <w:numPr>
          <w:ilvl w:val="1"/>
          <w:numId w:val="7"/>
        </w:numPr>
        <w:tabs>
          <w:tab w:val="clear" w:pos="1134"/>
          <w:tab w:val="left" w:pos="567"/>
        </w:tabs>
        <w:spacing w:before="0" w:after="360"/>
        <w:ind w:left="567" w:hanging="567"/>
        <w:jc w:val="both"/>
        <w:rPr>
          <w:bCs/>
        </w:rPr>
      </w:pPr>
      <w:r>
        <w:rPr>
          <w:bCs/>
        </w:rPr>
        <w:t>In accordance with the decisions and requirements of the related bodies, and the based on the</w:t>
      </w:r>
      <w:r w:rsidR="00705F82">
        <w:rPr>
          <w:bCs/>
        </w:rPr>
        <w:t xml:space="preserve"> </w:t>
      </w:r>
      <w:r>
        <w:rPr>
          <w:bCs/>
        </w:rPr>
        <w:t>feedback from the users of WRD, an ongoing development and upgrade of WRD</w:t>
      </w:r>
      <w:r w:rsidR="008D5C8E">
        <w:rPr>
          <w:bCs/>
        </w:rPr>
        <w:t xml:space="preserve"> with the new features</w:t>
      </w:r>
      <w:r>
        <w:rPr>
          <w:bCs/>
        </w:rPr>
        <w:t xml:space="preserve"> </w:t>
      </w:r>
      <w:r w:rsidR="008D5C8E">
        <w:rPr>
          <w:bCs/>
        </w:rPr>
        <w:t>has been under process</w:t>
      </w:r>
      <w:r>
        <w:rPr>
          <w:bCs/>
        </w:rPr>
        <w:t xml:space="preserve">. </w:t>
      </w:r>
    </w:p>
    <w:p w:rsidR="00884A98" w:rsidRPr="00884A98" w:rsidRDefault="00884A98" w:rsidP="00D14A88">
      <w:pPr>
        <w:pStyle w:val="WMOBodyText"/>
        <w:numPr>
          <w:ilvl w:val="1"/>
          <w:numId w:val="7"/>
        </w:numPr>
        <w:tabs>
          <w:tab w:val="clear" w:pos="1134"/>
          <w:tab w:val="left" w:pos="567"/>
        </w:tabs>
        <w:spacing w:before="0" w:after="360"/>
        <w:ind w:left="567" w:hanging="567"/>
        <w:jc w:val="both"/>
        <w:rPr>
          <w:bCs/>
        </w:rPr>
      </w:pPr>
      <w:r>
        <w:rPr>
          <w:bCs/>
        </w:rPr>
        <w:t xml:space="preserve">As discussed and required in the joint meeting of </w:t>
      </w:r>
      <w:r>
        <w:rPr>
          <w:color w:val="000000"/>
          <w:lang w:val="en-US"/>
        </w:rPr>
        <w:t xml:space="preserve">CIMO ET-ORS &amp; CBS </w:t>
      </w:r>
      <w:r w:rsidRPr="0020707A">
        <w:rPr>
          <w:color w:val="000000"/>
          <w:lang w:val="en-US"/>
        </w:rPr>
        <w:t>ET-SBO</w:t>
      </w:r>
      <w:r>
        <w:rPr>
          <w:color w:val="000000"/>
          <w:lang w:val="en-US"/>
        </w:rPr>
        <w:t xml:space="preserve"> in October, 2015, new features for online update of the Members information by focal points have been developed and implemented in WRD. The steps of this process will be applied as follows:</w:t>
      </w:r>
    </w:p>
    <w:p w:rsidR="00884A98" w:rsidRPr="00884A98" w:rsidRDefault="00884A98" w:rsidP="00ED36A0">
      <w:pPr>
        <w:pStyle w:val="WMOBodyText"/>
        <w:numPr>
          <w:ilvl w:val="0"/>
          <w:numId w:val="8"/>
        </w:numPr>
        <w:tabs>
          <w:tab w:val="clear" w:pos="1134"/>
          <w:tab w:val="left" w:pos="567"/>
        </w:tabs>
        <w:spacing w:before="0"/>
        <w:ind w:left="924"/>
        <w:jc w:val="both"/>
        <w:rPr>
          <w:bCs/>
        </w:rPr>
      </w:pPr>
      <w:r>
        <w:rPr>
          <w:color w:val="000000"/>
          <w:lang w:val="en-US"/>
        </w:rPr>
        <w:t>The focal point will fill the update form.</w:t>
      </w:r>
    </w:p>
    <w:p w:rsidR="00884A98" w:rsidRDefault="00884A98" w:rsidP="00ED36A0">
      <w:pPr>
        <w:pStyle w:val="WMOBodyText"/>
        <w:numPr>
          <w:ilvl w:val="0"/>
          <w:numId w:val="8"/>
        </w:numPr>
        <w:tabs>
          <w:tab w:val="clear" w:pos="1134"/>
          <w:tab w:val="left" w:pos="567"/>
        </w:tabs>
        <w:spacing w:before="0"/>
        <w:ind w:left="924"/>
        <w:jc w:val="both"/>
        <w:rPr>
          <w:bCs/>
        </w:rPr>
      </w:pPr>
      <w:r>
        <w:rPr>
          <w:bCs/>
        </w:rPr>
        <w:t xml:space="preserve">The information provided by this form will be saved as temporary file to </w:t>
      </w:r>
      <w:r w:rsidR="00ED36A0">
        <w:rPr>
          <w:bCs/>
        </w:rPr>
        <w:t>the</w:t>
      </w:r>
      <w:r w:rsidR="00887965">
        <w:rPr>
          <w:bCs/>
        </w:rPr>
        <w:t xml:space="preserve"> table identical of the table in </w:t>
      </w:r>
      <w:r>
        <w:rPr>
          <w:bCs/>
        </w:rPr>
        <w:t xml:space="preserve">the </w:t>
      </w:r>
      <w:r w:rsidR="00887965">
        <w:rPr>
          <w:bCs/>
        </w:rPr>
        <w:t xml:space="preserve">main </w:t>
      </w:r>
      <w:r>
        <w:rPr>
          <w:bCs/>
        </w:rPr>
        <w:t>radar database.</w:t>
      </w:r>
    </w:p>
    <w:p w:rsidR="00884A98" w:rsidRDefault="00884A98" w:rsidP="00ED36A0">
      <w:pPr>
        <w:pStyle w:val="WMOBodyText"/>
        <w:numPr>
          <w:ilvl w:val="0"/>
          <w:numId w:val="8"/>
        </w:numPr>
        <w:tabs>
          <w:tab w:val="clear" w:pos="1134"/>
          <w:tab w:val="left" w:pos="567"/>
        </w:tabs>
        <w:spacing w:before="0"/>
        <w:ind w:left="924"/>
        <w:jc w:val="both"/>
        <w:rPr>
          <w:bCs/>
        </w:rPr>
      </w:pPr>
      <w:r>
        <w:rPr>
          <w:bCs/>
        </w:rPr>
        <w:t>An e-mail with a message of “ Waiting For Your Confirmation” will be sent</w:t>
      </w:r>
      <w:r w:rsidR="006F0A42">
        <w:rPr>
          <w:bCs/>
        </w:rPr>
        <w:t xml:space="preserve"> for the authorized users</w:t>
      </w:r>
      <w:r>
        <w:rPr>
          <w:bCs/>
        </w:rPr>
        <w:t xml:space="preserve"> to</w:t>
      </w:r>
      <w:r w:rsidR="00ED36A0">
        <w:rPr>
          <w:bCs/>
        </w:rPr>
        <w:t xml:space="preserve"> the address of </w:t>
      </w:r>
      <w:r>
        <w:rPr>
          <w:bCs/>
        </w:rPr>
        <w:t xml:space="preserve"> </w:t>
      </w:r>
      <w:hyperlink r:id="rId13" w:history="1">
        <w:r w:rsidR="009F5023" w:rsidRPr="00DB1215">
          <w:rPr>
            <w:rStyle w:val="Kpr"/>
            <w:bCs/>
          </w:rPr>
          <w:t>wrdupdate@mgm.gov.tr</w:t>
        </w:r>
      </w:hyperlink>
    </w:p>
    <w:p w:rsidR="009F5023" w:rsidRDefault="009F5023" w:rsidP="00ED36A0">
      <w:pPr>
        <w:pStyle w:val="WMOBodyText"/>
        <w:numPr>
          <w:ilvl w:val="0"/>
          <w:numId w:val="8"/>
        </w:numPr>
        <w:tabs>
          <w:tab w:val="clear" w:pos="1134"/>
          <w:tab w:val="left" w:pos="567"/>
        </w:tabs>
        <w:spacing w:before="0"/>
        <w:ind w:left="924"/>
        <w:jc w:val="both"/>
        <w:rPr>
          <w:bCs/>
        </w:rPr>
      </w:pPr>
      <w:r>
        <w:rPr>
          <w:bCs/>
        </w:rPr>
        <w:t>The users with approval authority will review the update form from the webpage of “</w:t>
      </w:r>
      <w:r w:rsidRPr="009F5023">
        <w:rPr>
          <w:bCs/>
        </w:rPr>
        <w:t>Update Radar Database - On-line Confirmation for Admins</w:t>
      </w:r>
      <w:r>
        <w:rPr>
          <w:bCs/>
        </w:rPr>
        <w:t xml:space="preserve">”. </w:t>
      </w:r>
    </w:p>
    <w:p w:rsidR="009F5023" w:rsidRDefault="009F5023" w:rsidP="00ED36A0">
      <w:pPr>
        <w:pStyle w:val="WMOBodyText"/>
        <w:numPr>
          <w:ilvl w:val="0"/>
          <w:numId w:val="8"/>
        </w:numPr>
        <w:tabs>
          <w:tab w:val="clear" w:pos="1134"/>
          <w:tab w:val="left" w:pos="567"/>
        </w:tabs>
        <w:spacing w:before="0"/>
        <w:ind w:left="924"/>
        <w:rPr>
          <w:bCs/>
        </w:rPr>
      </w:pPr>
      <w:r w:rsidRPr="009F5023">
        <w:rPr>
          <w:bCs/>
        </w:rPr>
        <w:t xml:space="preserve">When the user selects the radar to update via “Update” button, an approval page with </w:t>
      </w:r>
      <w:r>
        <w:rPr>
          <w:bCs/>
        </w:rPr>
        <w:t>the following information</w:t>
      </w:r>
      <w:r w:rsidRPr="009F5023">
        <w:rPr>
          <w:bCs/>
        </w:rPr>
        <w:t xml:space="preserve"> will come: </w:t>
      </w:r>
    </w:p>
    <w:p w:rsidR="009F5023" w:rsidRDefault="009F5023" w:rsidP="00ED36A0">
      <w:pPr>
        <w:pStyle w:val="WMOBodyText"/>
        <w:tabs>
          <w:tab w:val="clear" w:pos="1134"/>
          <w:tab w:val="left" w:pos="567"/>
        </w:tabs>
        <w:spacing w:before="0"/>
        <w:ind w:left="924"/>
        <w:rPr>
          <w:bCs/>
        </w:rPr>
      </w:pPr>
      <w:r w:rsidRPr="009F5023">
        <w:rPr>
          <w:bCs/>
        </w:rPr>
        <w:t xml:space="preserve">a.      </w:t>
      </w:r>
      <w:r>
        <w:rPr>
          <w:bCs/>
        </w:rPr>
        <w:t>At the top, the existing unchangeable information in the database to check the update information</w:t>
      </w:r>
      <w:r w:rsidR="00ED36A0">
        <w:rPr>
          <w:bCs/>
        </w:rPr>
        <w:t>.</w:t>
      </w:r>
    </w:p>
    <w:p w:rsidR="009F5023" w:rsidRPr="009F5023" w:rsidRDefault="009F5023" w:rsidP="00ED36A0">
      <w:pPr>
        <w:pStyle w:val="WMOBodyText"/>
        <w:tabs>
          <w:tab w:val="clear" w:pos="1134"/>
          <w:tab w:val="left" w:pos="567"/>
        </w:tabs>
        <w:spacing w:before="0"/>
        <w:ind w:left="924"/>
        <w:rPr>
          <w:bCs/>
        </w:rPr>
      </w:pPr>
      <w:r w:rsidRPr="009F5023">
        <w:rPr>
          <w:bCs/>
        </w:rPr>
        <w:t xml:space="preserve">b.      </w:t>
      </w:r>
      <w:r>
        <w:rPr>
          <w:bCs/>
        </w:rPr>
        <w:t>At the bottom, the information</w:t>
      </w:r>
      <w:r w:rsidR="00ED36A0">
        <w:rPr>
          <w:bCs/>
        </w:rPr>
        <w:t xml:space="preserve"> in the changeable checkboxes </w:t>
      </w:r>
      <w:r>
        <w:rPr>
          <w:bCs/>
        </w:rPr>
        <w:t xml:space="preserve">submitted by the focal point </w:t>
      </w:r>
      <w:r w:rsidR="00ED36A0">
        <w:rPr>
          <w:bCs/>
        </w:rPr>
        <w:t>recorded in the temporary table.</w:t>
      </w:r>
    </w:p>
    <w:p w:rsidR="009F5023" w:rsidRPr="009F5023" w:rsidRDefault="00ED36A0" w:rsidP="00ED36A0">
      <w:pPr>
        <w:pStyle w:val="WMOBodyText"/>
        <w:numPr>
          <w:ilvl w:val="0"/>
          <w:numId w:val="8"/>
        </w:numPr>
        <w:tabs>
          <w:tab w:val="clear" w:pos="1134"/>
          <w:tab w:val="left" w:pos="567"/>
        </w:tabs>
        <w:spacing w:before="0"/>
        <w:ind w:left="924"/>
        <w:rPr>
          <w:bCs/>
        </w:rPr>
      </w:pPr>
      <w:r>
        <w:rPr>
          <w:bCs/>
        </w:rPr>
        <w:t>The user (</w:t>
      </w:r>
      <w:r w:rsidR="009F5023" w:rsidRPr="009F5023">
        <w:rPr>
          <w:bCs/>
        </w:rPr>
        <w:t>Admin</w:t>
      </w:r>
      <w:r>
        <w:rPr>
          <w:bCs/>
        </w:rPr>
        <w:t>) will approve the update if agreed or make the necessary modifications in the related fields</w:t>
      </w:r>
      <w:r w:rsidR="009F5023" w:rsidRPr="009F5023">
        <w:rPr>
          <w:bCs/>
        </w:rPr>
        <w:t>,</w:t>
      </w:r>
      <w:r>
        <w:rPr>
          <w:bCs/>
        </w:rPr>
        <w:t xml:space="preserve"> then the update information will be transferred to main database, and archived. </w:t>
      </w:r>
      <w:r w:rsidR="009F5023" w:rsidRPr="009F5023">
        <w:rPr>
          <w:bCs/>
        </w:rPr>
        <w:t xml:space="preserve"> </w:t>
      </w:r>
    </w:p>
    <w:p w:rsidR="009F5023" w:rsidRPr="00884A98" w:rsidRDefault="00ED36A0" w:rsidP="00ED36A0">
      <w:pPr>
        <w:pStyle w:val="WMOBodyText"/>
        <w:numPr>
          <w:ilvl w:val="0"/>
          <w:numId w:val="8"/>
        </w:numPr>
        <w:tabs>
          <w:tab w:val="clear" w:pos="1134"/>
          <w:tab w:val="left" w:pos="567"/>
        </w:tabs>
        <w:spacing w:before="0"/>
        <w:ind w:left="924"/>
        <w:jc w:val="both"/>
        <w:rPr>
          <w:bCs/>
        </w:rPr>
      </w:pPr>
      <w:r>
        <w:rPr>
          <w:bCs/>
        </w:rPr>
        <w:t xml:space="preserve">After this process, an automatic e-mail including the update information will be sent to the address of </w:t>
      </w:r>
      <w:hyperlink r:id="rId14" w:history="1">
        <w:r w:rsidRPr="00DB1215">
          <w:rPr>
            <w:rStyle w:val="Kpr"/>
            <w:bCs/>
          </w:rPr>
          <w:t>wrdupdate@mgm.gov.tr</w:t>
        </w:r>
      </w:hyperlink>
      <w:r>
        <w:rPr>
          <w:bCs/>
        </w:rPr>
        <w:t xml:space="preserve">. </w:t>
      </w:r>
      <w:r w:rsidR="009F5023" w:rsidRPr="009F5023">
        <w:rPr>
          <w:bCs/>
        </w:rPr>
        <w:t xml:space="preserve"> </w:t>
      </w:r>
    </w:p>
    <w:p w:rsidR="00884A98" w:rsidRPr="00884A98" w:rsidRDefault="00884A98" w:rsidP="00884A98">
      <w:pPr>
        <w:pStyle w:val="WMOBodyText"/>
        <w:tabs>
          <w:tab w:val="clear" w:pos="1134"/>
          <w:tab w:val="left" w:pos="567"/>
        </w:tabs>
        <w:spacing w:before="0" w:after="360"/>
        <w:ind w:left="567"/>
        <w:jc w:val="both"/>
        <w:rPr>
          <w:bCs/>
        </w:rPr>
      </w:pPr>
    </w:p>
    <w:p w:rsidR="00145E60" w:rsidRPr="00145E60" w:rsidRDefault="00887965" w:rsidP="00D14A88">
      <w:pPr>
        <w:pStyle w:val="WMOBodyText"/>
        <w:numPr>
          <w:ilvl w:val="1"/>
          <w:numId w:val="7"/>
        </w:numPr>
        <w:tabs>
          <w:tab w:val="clear" w:pos="1134"/>
          <w:tab w:val="left" w:pos="567"/>
        </w:tabs>
        <w:spacing w:before="0" w:after="360"/>
        <w:ind w:left="567" w:hanging="567"/>
        <w:jc w:val="both"/>
        <w:rPr>
          <w:bCs/>
          <w:color w:val="FF0000"/>
        </w:rPr>
      </w:pPr>
      <w:r>
        <w:rPr>
          <w:color w:val="000000"/>
          <w:lang w:val="en-US"/>
        </w:rPr>
        <w:lastRenderedPageBreak/>
        <w:t xml:space="preserve">The new features and capabilities of WRD will be open to discussion during the CIMO-IPET-OWR meeting. </w:t>
      </w:r>
      <w:r w:rsidR="00916482">
        <w:rPr>
          <w:color w:val="000000"/>
          <w:lang w:val="en-US"/>
        </w:rPr>
        <w:t xml:space="preserve">For example, existing and possible future wind turbine installation around the weather radars, radio-frequency interference sources, etc. can be added as templates to fill and report </w:t>
      </w:r>
      <w:r w:rsidR="00141060">
        <w:rPr>
          <w:color w:val="000000"/>
          <w:lang w:val="en-US"/>
        </w:rPr>
        <w:t>by</w:t>
      </w:r>
      <w:r w:rsidR="00916482">
        <w:rPr>
          <w:color w:val="000000"/>
          <w:lang w:val="en-US"/>
        </w:rPr>
        <w:t xml:space="preserve"> the Members. </w:t>
      </w:r>
      <w:r>
        <w:rPr>
          <w:color w:val="000000"/>
          <w:lang w:val="en-US"/>
        </w:rPr>
        <w:t>It should be considered as one of the tasks for the expert team to be established.</w:t>
      </w:r>
      <w:r w:rsidR="003572B6">
        <w:rPr>
          <w:color w:val="000000"/>
          <w:lang w:val="en-US"/>
        </w:rPr>
        <w:t xml:space="preserve"> </w:t>
      </w:r>
    </w:p>
    <w:p w:rsidR="008A26B3" w:rsidRPr="00145E60" w:rsidRDefault="00145E60" w:rsidP="00D14A88">
      <w:pPr>
        <w:pStyle w:val="WMOBodyText"/>
        <w:numPr>
          <w:ilvl w:val="1"/>
          <w:numId w:val="7"/>
        </w:numPr>
        <w:tabs>
          <w:tab w:val="clear" w:pos="1134"/>
          <w:tab w:val="left" w:pos="567"/>
        </w:tabs>
        <w:spacing w:before="0" w:after="360"/>
        <w:ind w:left="567" w:hanging="567"/>
        <w:jc w:val="both"/>
        <w:rPr>
          <w:bCs/>
        </w:rPr>
      </w:pPr>
      <w:r w:rsidRPr="00145E60">
        <w:rPr>
          <w:lang w:val="en-US"/>
        </w:rPr>
        <w:t>By considering the important benefits of the WRD for the Members, it is recommended that</w:t>
      </w:r>
      <w:r w:rsidRPr="00145E60">
        <w:rPr>
          <w:bCs/>
        </w:rPr>
        <w:t xml:space="preserve"> </w:t>
      </w:r>
      <w:r w:rsidR="003572B6" w:rsidRPr="00145E60">
        <w:rPr>
          <w:bCs/>
        </w:rPr>
        <w:t>the maintenance and further development of the WRD</w:t>
      </w:r>
      <w:r w:rsidRPr="00145E60">
        <w:rPr>
          <w:bCs/>
        </w:rPr>
        <w:t xml:space="preserve"> for hardware and software requirements</w:t>
      </w:r>
      <w:r w:rsidR="003572B6" w:rsidRPr="00145E60">
        <w:rPr>
          <w:bCs/>
        </w:rPr>
        <w:t xml:space="preserve"> </w:t>
      </w:r>
      <w:r w:rsidRPr="00145E60">
        <w:rPr>
          <w:bCs/>
        </w:rPr>
        <w:t xml:space="preserve">should be supported by IPET-OWR and </w:t>
      </w:r>
      <w:r w:rsidR="003572B6" w:rsidRPr="00145E60">
        <w:rPr>
          <w:bCs/>
        </w:rPr>
        <w:t>the WMO Secretariat</w:t>
      </w:r>
      <w:r w:rsidRPr="00145E60">
        <w:rPr>
          <w:bCs/>
        </w:rPr>
        <w:t>.</w:t>
      </w:r>
    </w:p>
    <w:p w:rsidR="008D5C8E" w:rsidRPr="00D90310" w:rsidRDefault="008D5C8E" w:rsidP="00887965">
      <w:pPr>
        <w:pStyle w:val="WMOBodyText"/>
        <w:tabs>
          <w:tab w:val="clear" w:pos="1134"/>
          <w:tab w:val="left" w:pos="567"/>
        </w:tabs>
        <w:spacing w:before="0" w:after="360"/>
        <w:ind w:left="567"/>
        <w:jc w:val="both"/>
        <w:rPr>
          <w:bCs/>
        </w:rPr>
      </w:pPr>
    </w:p>
    <w:p w:rsidR="00AA648C" w:rsidRDefault="00887965" w:rsidP="00AA648C">
      <w:pPr>
        <w:pStyle w:val="WMOBodyText"/>
        <w:numPr>
          <w:ilvl w:val="3"/>
          <w:numId w:val="2"/>
        </w:numPr>
        <w:tabs>
          <w:tab w:val="clear" w:pos="1134"/>
          <w:tab w:val="left" w:pos="567"/>
        </w:tabs>
        <w:spacing w:before="0" w:after="360"/>
        <w:ind w:hanging="2880"/>
        <w:rPr>
          <w:b/>
          <w:bCs/>
        </w:rPr>
      </w:pPr>
      <w:r>
        <w:rPr>
          <w:b/>
          <w:bCs/>
        </w:rPr>
        <w:t>WIGOS OSCAR/Surface</w:t>
      </w:r>
    </w:p>
    <w:p w:rsidR="007324AF" w:rsidRDefault="006F0A42" w:rsidP="00141060">
      <w:pPr>
        <w:pStyle w:val="WMOBodyText"/>
        <w:numPr>
          <w:ilvl w:val="1"/>
          <w:numId w:val="9"/>
        </w:numPr>
        <w:tabs>
          <w:tab w:val="clear" w:pos="1134"/>
          <w:tab w:val="left" w:pos="567"/>
        </w:tabs>
        <w:spacing w:before="0" w:after="360"/>
        <w:ind w:left="567" w:hanging="567"/>
        <w:jc w:val="both"/>
        <w:rPr>
          <w:bCs/>
        </w:rPr>
      </w:pPr>
      <w:r w:rsidRPr="006F0A42">
        <w:rPr>
          <w:bCs/>
        </w:rPr>
        <w:t>OSCAR/Surface</w:t>
      </w:r>
      <w:r w:rsidR="007324AF">
        <w:rPr>
          <w:bCs/>
        </w:rPr>
        <w:t>,</w:t>
      </w:r>
      <w:r w:rsidR="007324AF" w:rsidRPr="007324AF">
        <w:t xml:space="preserve"> </w:t>
      </w:r>
      <w:r w:rsidR="007324AF">
        <w:t xml:space="preserve">as </w:t>
      </w:r>
      <w:r w:rsidR="007324AF" w:rsidRPr="007324AF">
        <w:rPr>
          <w:bCs/>
        </w:rPr>
        <w:t>one of the components of the WIGOS Information Resources (WIR)</w:t>
      </w:r>
      <w:r w:rsidR="007324AF">
        <w:rPr>
          <w:bCs/>
        </w:rPr>
        <w:t xml:space="preserve">, </w:t>
      </w:r>
      <w:r>
        <w:rPr>
          <w:bCs/>
        </w:rPr>
        <w:t xml:space="preserve">developed </w:t>
      </w:r>
      <w:r w:rsidR="008B492D">
        <w:rPr>
          <w:bCs/>
        </w:rPr>
        <w:t xml:space="preserve">jointly by </w:t>
      </w:r>
      <w:r>
        <w:rPr>
          <w:bCs/>
        </w:rPr>
        <w:t xml:space="preserve"> </w:t>
      </w:r>
      <w:r w:rsidR="008B492D">
        <w:rPr>
          <w:bCs/>
        </w:rPr>
        <w:t xml:space="preserve">MeteoSwiss and </w:t>
      </w:r>
      <w:r>
        <w:rPr>
          <w:bCs/>
        </w:rPr>
        <w:t>WMO,</w:t>
      </w:r>
      <w:r w:rsidR="008B492D">
        <w:rPr>
          <w:bCs/>
        </w:rPr>
        <w:t xml:space="preserve"> and ha</w:t>
      </w:r>
      <w:r>
        <w:rPr>
          <w:bCs/>
        </w:rPr>
        <w:t xml:space="preserve">s been launched </w:t>
      </w:r>
      <w:r w:rsidR="007324AF">
        <w:rPr>
          <w:bCs/>
        </w:rPr>
        <w:t xml:space="preserve">officially for operational use of the Members </w:t>
      </w:r>
      <w:r>
        <w:rPr>
          <w:bCs/>
        </w:rPr>
        <w:t>on May 2, 2016</w:t>
      </w:r>
      <w:r w:rsidR="007324AF">
        <w:rPr>
          <w:bCs/>
        </w:rPr>
        <w:t xml:space="preserve">. </w:t>
      </w:r>
    </w:p>
    <w:p w:rsidR="007324AF" w:rsidRDefault="006F0A42" w:rsidP="006F0A42">
      <w:pPr>
        <w:pStyle w:val="WMOBodyText"/>
        <w:numPr>
          <w:ilvl w:val="1"/>
          <w:numId w:val="9"/>
        </w:numPr>
        <w:tabs>
          <w:tab w:val="clear" w:pos="1134"/>
          <w:tab w:val="left" w:pos="567"/>
        </w:tabs>
        <w:spacing w:before="0" w:after="360"/>
        <w:ind w:left="567" w:hanging="567"/>
        <w:jc w:val="both"/>
        <w:rPr>
          <w:bCs/>
        </w:rPr>
      </w:pPr>
      <w:r w:rsidRPr="006F0A42">
        <w:rPr>
          <w:bCs/>
        </w:rPr>
        <w:t>OSCAR/Surface replaces WMO Publication No. 9, Volume A, Observing Stations and the WMO Catalogue of Radiosondes as well as other similar station inventories. In addition, WMO Members can use OSCAR/Surface as their primary national stations database to store and record WIGOS metadata.</w:t>
      </w:r>
    </w:p>
    <w:p w:rsidR="006F0A42" w:rsidRDefault="006F0A42" w:rsidP="006F0A42">
      <w:pPr>
        <w:pStyle w:val="WMOBodyText"/>
        <w:numPr>
          <w:ilvl w:val="1"/>
          <w:numId w:val="9"/>
        </w:numPr>
        <w:tabs>
          <w:tab w:val="clear" w:pos="1134"/>
          <w:tab w:val="left" w:pos="567"/>
        </w:tabs>
        <w:spacing w:before="0" w:after="360"/>
        <w:ind w:left="567" w:hanging="567"/>
        <w:jc w:val="both"/>
        <w:rPr>
          <w:bCs/>
        </w:rPr>
      </w:pPr>
      <w:r w:rsidRPr="007324AF">
        <w:rPr>
          <w:bCs/>
        </w:rPr>
        <w:t xml:space="preserve">Observational metadata, i.e. information on the capabilities of observing stations/platforms and their instruments and methods of observation, </w:t>
      </w:r>
      <w:r w:rsidR="008B492D">
        <w:rPr>
          <w:bCs/>
        </w:rPr>
        <w:t>should be</w:t>
      </w:r>
      <w:r w:rsidRPr="007324AF">
        <w:rPr>
          <w:bCs/>
        </w:rPr>
        <w:t xml:space="preserve"> submitted to and maintained in OSCAR/Surface by WMO Members according to the Technical Regulations described in the WIGOS Manual. Metadata from a number of co-sponsored observing systems are also maintained in OSCAR/Surface. </w:t>
      </w:r>
    </w:p>
    <w:p w:rsidR="00B70F52" w:rsidRDefault="00B70F52" w:rsidP="006F0A42">
      <w:pPr>
        <w:pStyle w:val="WMOBodyText"/>
        <w:numPr>
          <w:ilvl w:val="1"/>
          <w:numId w:val="9"/>
        </w:numPr>
        <w:tabs>
          <w:tab w:val="clear" w:pos="1134"/>
          <w:tab w:val="left" w:pos="567"/>
        </w:tabs>
        <w:spacing w:before="0" w:after="360"/>
        <w:ind w:left="567" w:hanging="567"/>
        <w:jc w:val="both"/>
        <w:rPr>
          <w:bCs/>
        </w:rPr>
      </w:pPr>
      <w:r>
        <w:rPr>
          <w:bCs/>
        </w:rPr>
        <w:t>In accordance with the concept of WIGOS, surface-based remote sensing observing systems including weather radars will be available in OSCAR/Surface.</w:t>
      </w:r>
    </w:p>
    <w:p w:rsidR="000F7D1B" w:rsidRPr="00145E60" w:rsidRDefault="003572B6" w:rsidP="006F0A42">
      <w:pPr>
        <w:pStyle w:val="WMOBodyText"/>
        <w:numPr>
          <w:ilvl w:val="1"/>
          <w:numId w:val="9"/>
        </w:numPr>
        <w:tabs>
          <w:tab w:val="clear" w:pos="1134"/>
          <w:tab w:val="left" w:pos="567"/>
        </w:tabs>
        <w:spacing w:before="0" w:after="360"/>
        <w:ind w:left="567" w:hanging="567"/>
        <w:jc w:val="both"/>
        <w:rPr>
          <w:bCs/>
        </w:rPr>
      </w:pPr>
      <w:r w:rsidRPr="00145E60">
        <w:rPr>
          <w:bCs/>
        </w:rPr>
        <w:t>Currently OSCAR</w:t>
      </w:r>
      <w:r w:rsidR="00145E60" w:rsidRPr="00145E60">
        <w:rPr>
          <w:bCs/>
        </w:rPr>
        <w:t xml:space="preserve">/Surface has been </w:t>
      </w:r>
      <w:r w:rsidRPr="00145E60">
        <w:rPr>
          <w:bCs/>
        </w:rPr>
        <w:t xml:space="preserve">receiving radar metadata from WRD via </w:t>
      </w:r>
      <w:r w:rsidR="00145E60" w:rsidRPr="00145E60">
        <w:rPr>
          <w:bCs/>
        </w:rPr>
        <w:t>the template files submitted by WRD.</w:t>
      </w:r>
      <w:r w:rsidRPr="00145E60">
        <w:rPr>
          <w:bCs/>
        </w:rPr>
        <w:t xml:space="preserve"> </w:t>
      </w:r>
      <w:r w:rsidR="000F7D1B" w:rsidRPr="00145E60">
        <w:rPr>
          <w:bCs/>
        </w:rPr>
        <w:t>It was noted that a machine to machine (M-2-M) interface between WRD and OSCAR/Surface should be developed and operated.</w:t>
      </w:r>
    </w:p>
    <w:p w:rsidR="00B70F52" w:rsidRDefault="000F7D1B" w:rsidP="000F7D1B">
      <w:pPr>
        <w:pStyle w:val="WMOBodyText"/>
        <w:numPr>
          <w:ilvl w:val="1"/>
          <w:numId w:val="9"/>
        </w:numPr>
        <w:tabs>
          <w:tab w:val="clear" w:pos="1134"/>
          <w:tab w:val="left" w:pos="567"/>
        </w:tabs>
        <w:spacing w:before="0" w:after="360"/>
        <w:ind w:left="567" w:hanging="567"/>
        <w:jc w:val="both"/>
        <w:rPr>
          <w:bCs/>
        </w:rPr>
      </w:pPr>
      <w:r>
        <w:rPr>
          <w:bCs/>
        </w:rPr>
        <w:t>The issues regarding OSCAR/Surface and WRD have been discussed d</w:t>
      </w:r>
      <w:r w:rsidR="00B70F52">
        <w:rPr>
          <w:bCs/>
        </w:rPr>
        <w:t>uring t</w:t>
      </w:r>
      <w:r>
        <w:rPr>
          <w:bCs/>
        </w:rPr>
        <w:t xml:space="preserve">he last session of CBS (CBS-16). The importance of the </w:t>
      </w:r>
      <w:r w:rsidRPr="00B70F52">
        <w:rPr>
          <w:bCs/>
        </w:rPr>
        <w:t xml:space="preserve">maintenance and further development of the </w:t>
      </w:r>
      <w:r>
        <w:rPr>
          <w:bCs/>
        </w:rPr>
        <w:t>OSCAR was highlighted, and it was recommended that the WMO Secretariat should support this process.</w:t>
      </w:r>
    </w:p>
    <w:p w:rsidR="000F7D1B" w:rsidRDefault="000F7D1B" w:rsidP="008B492D">
      <w:pPr>
        <w:pStyle w:val="WMOBodyText"/>
        <w:numPr>
          <w:ilvl w:val="1"/>
          <w:numId w:val="9"/>
        </w:numPr>
        <w:tabs>
          <w:tab w:val="clear" w:pos="1134"/>
          <w:tab w:val="left" w:pos="567"/>
        </w:tabs>
        <w:spacing w:before="0" w:after="360"/>
        <w:ind w:left="567" w:hanging="567"/>
        <w:jc w:val="both"/>
        <w:rPr>
          <w:bCs/>
        </w:rPr>
      </w:pPr>
      <w:r>
        <w:rPr>
          <w:bCs/>
        </w:rPr>
        <w:t>Furthermore, it was r</w:t>
      </w:r>
      <w:r w:rsidRPr="000F7D1B">
        <w:rPr>
          <w:bCs/>
        </w:rPr>
        <w:t>ecommend</w:t>
      </w:r>
      <w:r>
        <w:rPr>
          <w:bCs/>
        </w:rPr>
        <w:t>ed by CBS-16</w:t>
      </w:r>
      <w:r w:rsidRPr="000F7D1B">
        <w:rPr>
          <w:bCs/>
        </w:rPr>
        <w:t xml:space="preserve"> that Members submit to OSCAR all the WIGOS metadata meant for international exchange through the following mechanisms: Directly to OSCAR, preferably through the M-2-M interface as it becomes available, for all relevant WIGOS observing systems they operate, in addition to the following ones: GAWSIS, WMO Weather Radar Database, JCOMMOPS</w:t>
      </w:r>
      <w:r>
        <w:rPr>
          <w:bCs/>
        </w:rPr>
        <w:t>.</w:t>
      </w:r>
      <w:r w:rsidR="008B492D">
        <w:rPr>
          <w:bCs/>
        </w:rPr>
        <w:t xml:space="preserve"> </w:t>
      </w:r>
      <w:r w:rsidR="008B492D" w:rsidRPr="008B492D">
        <w:rPr>
          <w:bCs/>
        </w:rPr>
        <w:t>It is expected from the Members that they should nominate their OSCAR focal points, maintain up-to-date metadata of observing systems in accordance with the WIGOS Metadata Standard, and provide these to OSCAR either through the web interface or via machine-to-machine interfaces</w:t>
      </w:r>
      <w:r w:rsidR="00AB5751">
        <w:rPr>
          <w:bCs/>
        </w:rPr>
        <w:t>.</w:t>
      </w:r>
    </w:p>
    <w:p w:rsidR="006424F5" w:rsidRPr="007615FC" w:rsidRDefault="006424F5" w:rsidP="007615FC">
      <w:pPr>
        <w:pStyle w:val="WMOBodyText"/>
        <w:numPr>
          <w:ilvl w:val="1"/>
          <w:numId w:val="9"/>
        </w:numPr>
        <w:tabs>
          <w:tab w:val="clear" w:pos="1134"/>
          <w:tab w:val="left" w:pos="567"/>
        </w:tabs>
        <w:spacing w:before="0" w:after="360"/>
        <w:ind w:left="567" w:hanging="567"/>
        <w:jc w:val="both"/>
        <w:rPr>
          <w:bCs/>
        </w:rPr>
      </w:pPr>
      <w:r w:rsidRPr="007615FC">
        <w:rPr>
          <w:bCs/>
        </w:rPr>
        <w:t xml:space="preserve">During the fifth session of TT-WMD (Task Team on WIGOS Metadata Standards) in December, 2016, it was agreed that the guidance on the WMDS needs to be further developed in order to better assist Members on how to do things; </w:t>
      </w:r>
      <w:r w:rsidR="007615FC">
        <w:rPr>
          <w:bCs/>
        </w:rPr>
        <w:t>a</w:t>
      </w:r>
      <w:r w:rsidRPr="007615FC">
        <w:rPr>
          <w:bCs/>
        </w:rPr>
        <w:t xml:space="preserve"> list of questions about the use of WMDS for specific observing systems could help experts to further elaborate the </w:t>
      </w:r>
      <w:r w:rsidRPr="007615FC">
        <w:rPr>
          <w:bCs/>
        </w:rPr>
        <w:lastRenderedPageBreak/>
        <w:t>guidance material.</w:t>
      </w:r>
      <w:r w:rsidR="007615FC">
        <w:rPr>
          <w:bCs/>
        </w:rPr>
        <w:t xml:space="preserve"> It was noted by the </w:t>
      </w:r>
      <w:r w:rsidR="00704123">
        <w:rPr>
          <w:bCs/>
        </w:rPr>
        <w:t>TT-WMD</w:t>
      </w:r>
      <w:r w:rsidR="007615FC">
        <w:rPr>
          <w:bCs/>
        </w:rPr>
        <w:t xml:space="preserve"> that f</w:t>
      </w:r>
      <w:r w:rsidRPr="007615FC">
        <w:rPr>
          <w:bCs/>
        </w:rPr>
        <w:t>or specific observing systems, e.g. for surface-based remote sensing observations, individual experts should be identified to contribute to that effort.</w:t>
      </w:r>
    </w:p>
    <w:p w:rsidR="00570F57" w:rsidRDefault="00570F57" w:rsidP="00B10B40">
      <w:pPr>
        <w:pStyle w:val="WMOBodyText"/>
        <w:numPr>
          <w:ilvl w:val="1"/>
          <w:numId w:val="9"/>
        </w:numPr>
        <w:tabs>
          <w:tab w:val="clear" w:pos="1134"/>
          <w:tab w:val="left" w:pos="567"/>
        </w:tabs>
        <w:spacing w:before="0" w:after="360"/>
        <w:ind w:left="567" w:hanging="567"/>
        <w:jc w:val="both"/>
        <w:rPr>
          <w:bCs/>
        </w:rPr>
      </w:pPr>
      <w:r>
        <w:rPr>
          <w:bCs/>
        </w:rPr>
        <w:t xml:space="preserve">It was noted that the training programme on OSCAR proposed by WIGOS Project Office and OSCAR team will be very helpful </w:t>
      </w:r>
      <w:r w:rsidR="006424F5">
        <w:rPr>
          <w:bCs/>
        </w:rPr>
        <w:t xml:space="preserve">for understanding of the guidance material and efficient use of the OSCAR by the Members. </w:t>
      </w:r>
      <w:r w:rsidR="007615FC">
        <w:rPr>
          <w:bCs/>
        </w:rPr>
        <w:t>The use and support of WRD as an important contributor of OSCAR/Surface can also be subject of such training activities.</w:t>
      </w:r>
    </w:p>
    <w:p w:rsidR="00AA648C" w:rsidRDefault="00AA648C" w:rsidP="00141060">
      <w:pPr>
        <w:pStyle w:val="WMOBodyText"/>
        <w:tabs>
          <w:tab w:val="clear" w:pos="1134"/>
          <w:tab w:val="left" w:pos="567"/>
        </w:tabs>
        <w:spacing w:before="0" w:after="360"/>
        <w:ind w:left="2880"/>
        <w:rPr>
          <w:b/>
          <w:bCs/>
        </w:rPr>
      </w:pPr>
    </w:p>
    <w:p w:rsidR="00AD031D" w:rsidRDefault="00AD031D"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105C9F" w:rsidRDefault="00105C9F" w:rsidP="00141060">
      <w:pPr>
        <w:pStyle w:val="WMOBodyText"/>
        <w:tabs>
          <w:tab w:val="clear" w:pos="1134"/>
          <w:tab w:val="left" w:pos="567"/>
        </w:tabs>
        <w:spacing w:before="0" w:after="360"/>
        <w:ind w:left="2880"/>
        <w:rPr>
          <w:b/>
          <w:bCs/>
        </w:rPr>
      </w:pPr>
    </w:p>
    <w:p w:rsidR="00AD031D" w:rsidRDefault="00AD031D" w:rsidP="00141060">
      <w:pPr>
        <w:pStyle w:val="WMOBodyText"/>
        <w:tabs>
          <w:tab w:val="clear" w:pos="1134"/>
          <w:tab w:val="left" w:pos="567"/>
        </w:tabs>
        <w:spacing w:before="0" w:after="360"/>
        <w:ind w:left="2880"/>
        <w:rPr>
          <w:b/>
          <w:bCs/>
        </w:rPr>
      </w:pPr>
    </w:p>
    <w:p w:rsidR="00AA648C" w:rsidRDefault="00AA648C" w:rsidP="00AA648C">
      <w:pPr>
        <w:pStyle w:val="WMOBodyText"/>
        <w:spacing w:before="0" w:after="360"/>
        <w:rPr>
          <w:b/>
          <w:bCs/>
        </w:rPr>
      </w:pPr>
    </w:p>
    <w:p w:rsidR="00AA648C" w:rsidRDefault="00AA648C" w:rsidP="00AA648C">
      <w:pPr>
        <w:pStyle w:val="WMOBodyText"/>
        <w:spacing w:before="0" w:after="360"/>
        <w:rPr>
          <w:b/>
          <w:bCs/>
        </w:rPr>
      </w:pPr>
    </w:p>
    <w:p w:rsidR="00AD0933" w:rsidRDefault="00AD0933" w:rsidP="00AA648C">
      <w:pPr>
        <w:pStyle w:val="WMOBodyText"/>
        <w:spacing w:before="0" w:after="360"/>
        <w:rPr>
          <w:b/>
          <w:bCs/>
        </w:rPr>
      </w:pPr>
    </w:p>
    <w:p w:rsidR="00491766" w:rsidRDefault="00491766" w:rsidP="00DC0DA2">
      <w:pPr>
        <w:pStyle w:val="WMOBodyText"/>
        <w:numPr>
          <w:ilvl w:val="0"/>
          <w:numId w:val="4"/>
        </w:numPr>
        <w:spacing w:before="0" w:after="360"/>
        <w:ind w:left="0" w:firstLine="0"/>
        <w:rPr>
          <w:b/>
          <w:bCs/>
        </w:rPr>
      </w:pPr>
      <w:r>
        <w:rPr>
          <w:b/>
          <w:bCs/>
        </w:rPr>
        <w:lastRenderedPageBreak/>
        <w:t>DECISIONS/ACTIONS REQUIRED</w:t>
      </w:r>
    </w:p>
    <w:p w:rsidR="006C25F8" w:rsidRPr="006C25F8" w:rsidRDefault="006C25F8" w:rsidP="00823B49">
      <w:pPr>
        <w:snapToGrid w:val="0"/>
        <w:spacing w:before="120" w:after="240"/>
        <w:rPr>
          <w:b/>
          <w:szCs w:val="22"/>
        </w:rPr>
      </w:pPr>
      <w:r w:rsidRPr="006C25F8">
        <w:rPr>
          <w:b/>
          <w:szCs w:val="22"/>
        </w:rPr>
        <w:t xml:space="preserve">The </w:t>
      </w:r>
      <w:r w:rsidR="00823B49">
        <w:rPr>
          <w:b/>
          <w:szCs w:val="22"/>
        </w:rPr>
        <w:t>[Work Group]</w:t>
      </w:r>
      <w:r w:rsidRPr="006C25F8">
        <w:rPr>
          <w:b/>
          <w:szCs w:val="22"/>
        </w:rPr>
        <w:t xml:space="preserve"> is invited to make the following recommendations</w:t>
      </w:r>
    </w:p>
    <w:p w:rsidR="006C25F8" w:rsidRDefault="006C25F8" w:rsidP="00DC0DA2">
      <w:pPr>
        <w:pStyle w:val="BodyTextNumbered"/>
        <w:numPr>
          <w:ilvl w:val="0"/>
          <w:numId w:val="6"/>
        </w:numPr>
        <w:spacing w:before="0" w:after="0" w:line="360" w:lineRule="auto"/>
        <w:jc w:val="both"/>
      </w:pPr>
      <w:r>
        <w:t>Recommendation 1 (</w:t>
      </w:r>
      <w:r>
        <w:rPr>
          <w:b/>
          <w:bCs/>
          <w:i/>
          <w:iCs/>
        </w:rPr>
        <w:t>who; deadline</w:t>
      </w:r>
      <w:r>
        <w:t>);</w:t>
      </w:r>
    </w:p>
    <w:p w:rsidR="0053639D" w:rsidRDefault="0053639D" w:rsidP="0053639D">
      <w:pPr>
        <w:pStyle w:val="BodyTextNumbered"/>
        <w:numPr>
          <w:ilvl w:val="0"/>
          <w:numId w:val="0"/>
        </w:numPr>
        <w:spacing w:line="360" w:lineRule="auto"/>
        <w:ind w:left="720"/>
      </w:pPr>
      <w:r>
        <w:t xml:space="preserve">For the further development of the guidance on the WMDS, weather radar expert(s) should be identified to review and to give contribution for this process. </w:t>
      </w:r>
    </w:p>
    <w:p w:rsidR="00201F6C" w:rsidRDefault="00201F6C" w:rsidP="00201F6C">
      <w:pPr>
        <w:pStyle w:val="BodyTextNumbered"/>
        <w:numPr>
          <w:ilvl w:val="0"/>
          <w:numId w:val="6"/>
        </w:numPr>
        <w:spacing w:before="0" w:after="0" w:line="360" w:lineRule="auto"/>
        <w:jc w:val="both"/>
      </w:pPr>
      <w:r>
        <w:t>Recommendation 2 (</w:t>
      </w:r>
      <w:r>
        <w:rPr>
          <w:b/>
          <w:bCs/>
          <w:i/>
          <w:iCs/>
        </w:rPr>
        <w:t>who; deadline</w:t>
      </w:r>
      <w:r>
        <w:t>);</w:t>
      </w:r>
    </w:p>
    <w:p w:rsidR="00201F6C" w:rsidRDefault="00201F6C" w:rsidP="00201F6C">
      <w:pPr>
        <w:pStyle w:val="BodyTextNumbered"/>
        <w:numPr>
          <w:ilvl w:val="0"/>
          <w:numId w:val="0"/>
        </w:numPr>
        <w:spacing w:before="0" w:after="0" w:line="360" w:lineRule="auto"/>
        <w:ind w:left="720"/>
        <w:jc w:val="both"/>
      </w:pPr>
      <w:r>
        <w:t>The Members not supporting WRD or OSCAR/Surface should be encouraged to be part of these systems by nominating focal points and providing information. The capacity building activities to demonstrate the benefits of those systems for the Members should be arranged.</w:t>
      </w:r>
    </w:p>
    <w:p w:rsidR="00BE1176" w:rsidRDefault="00BE1176" w:rsidP="00201F6C">
      <w:pPr>
        <w:pStyle w:val="BodyTextNumbered"/>
        <w:numPr>
          <w:ilvl w:val="0"/>
          <w:numId w:val="0"/>
        </w:numPr>
        <w:spacing w:before="0" w:after="0" w:line="360" w:lineRule="auto"/>
        <w:ind w:left="720"/>
        <w:jc w:val="both"/>
      </w:pPr>
    </w:p>
    <w:p w:rsidR="00BE1176" w:rsidRDefault="00BE1176" w:rsidP="00201F6C">
      <w:pPr>
        <w:pStyle w:val="BodyTextNumbered"/>
        <w:numPr>
          <w:ilvl w:val="0"/>
          <w:numId w:val="0"/>
        </w:numPr>
        <w:spacing w:before="0" w:after="0" w:line="360" w:lineRule="auto"/>
        <w:ind w:left="720"/>
        <w:jc w:val="both"/>
      </w:pPr>
    </w:p>
    <w:p w:rsidR="00491766" w:rsidRDefault="00491766" w:rsidP="00491766">
      <w:pPr>
        <w:pStyle w:val="BodyTextNumbered"/>
        <w:numPr>
          <w:ilvl w:val="0"/>
          <w:numId w:val="0"/>
        </w:numPr>
        <w:spacing w:line="360" w:lineRule="auto"/>
        <w:jc w:val="both"/>
        <w:rPr>
          <w:rFonts w:cs="Calibri"/>
          <w:b/>
          <w:bCs/>
          <w:color w:val="000000"/>
          <w:szCs w:val="20"/>
        </w:rPr>
      </w:pPr>
      <w:r>
        <w:rPr>
          <w:rFonts w:cs="Calibri"/>
          <w:b/>
          <w:bCs/>
          <w:color w:val="000000"/>
          <w:szCs w:val="20"/>
        </w:rPr>
        <w:t>2.</w:t>
      </w:r>
      <w:r>
        <w:rPr>
          <w:rFonts w:cs="Calibri"/>
          <w:b/>
          <w:bCs/>
          <w:color w:val="000000"/>
          <w:szCs w:val="20"/>
        </w:rPr>
        <w:tab/>
        <w:t>ISSUES TO BE DISCUSSED</w:t>
      </w:r>
    </w:p>
    <w:p w:rsidR="00DF09A5" w:rsidRDefault="004162EE" w:rsidP="00DF09A5">
      <w:pPr>
        <w:pStyle w:val="WMOBodyText"/>
        <w:spacing w:before="0" w:after="120"/>
      </w:pPr>
      <w:r>
        <w:t xml:space="preserve">2.1. How to improve and maintain the WRD (resource allocation, </w:t>
      </w:r>
      <w:r w:rsidR="00201F6C">
        <w:t xml:space="preserve">M-2-M interface with OSCAR/Surface, </w:t>
      </w:r>
      <w:r w:rsidR="008B492D">
        <w:t>t</w:t>
      </w:r>
      <w:r w:rsidR="008B492D" w:rsidRPr="008B492D">
        <w:t>he compatibility with OPERA</w:t>
      </w:r>
      <w:r w:rsidR="008B492D">
        <w:t xml:space="preserve">, </w:t>
      </w:r>
      <w:r w:rsidR="008B492D" w:rsidRPr="008B492D">
        <w:t xml:space="preserve">to generate WIGOS Metadata Representation (WMDR) compliant XML files </w:t>
      </w:r>
      <w:r w:rsidR="00201F6C">
        <w:t>etc.)?</w:t>
      </w:r>
    </w:p>
    <w:p w:rsidR="00201F6C" w:rsidRDefault="00201F6C" w:rsidP="00DF09A5">
      <w:pPr>
        <w:pStyle w:val="WMOBodyText"/>
        <w:spacing w:before="0" w:after="120"/>
      </w:pPr>
      <w:r>
        <w:t>2.2. What kind of features and capabilities should be added to the WRD</w:t>
      </w:r>
      <w:r w:rsidR="00652875">
        <w:t xml:space="preserve"> (to add time based fields, a unique WIGOS station identifier, etc.)</w:t>
      </w:r>
      <w:r>
        <w:t>?</w:t>
      </w:r>
    </w:p>
    <w:p w:rsidR="00201F6C" w:rsidRDefault="00201F6C" w:rsidP="00425CE4">
      <w:pPr>
        <w:pStyle w:val="WMOBodyText"/>
        <w:spacing w:before="0" w:after="120"/>
      </w:pPr>
      <w:r>
        <w:t>2.3. The contribution of the WRD and OSCAR/Surface for the international radar data exchange?</w:t>
      </w:r>
    </w:p>
    <w:p w:rsidR="00201F6C" w:rsidRDefault="00201F6C" w:rsidP="00425CE4">
      <w:pPr>
        <w:pStyle w:val="WMOBodyText"/>
        <w:spacing w:before="0" w:after="120"/>
      </w:pPr>
      <w:r>
        <w:t xml:space="preserve">2.4. The contribution </w:t>
      </w:r>
      <w:r w:rsidRPr="00201F6C">
        <w:t>of the WRD and OSCAR/Surface</w:t>
      </w:r>
      <w:r>
        <w:t xml:space="preserve"> for the evolution and redesign of the observing networks at national, regional and global level?</w:t>
      </w:r>
    </w:p>
    <w:p w:rsidR="002E7D0E" w:rsidRDefault="002E7D0E" w:rsidP="00425CE4">
      <w:pPr>
        <w:pStyle w:val="WMOBodyText"/>
        <w:spacing w:before="0" w:after="120"/>
      </w:pPr>
    </w:p>
    <w:p w:rsidR="005C7DF1" w:rsidRDefault="00815049" w:rsidP="005C7DF1">
      <w:pPr>
        <w:pStyle w:val="Titre3"/>
        <w:spacing w:after="120"/>
      </w:pPr>
      <w:r>
        <w:t xml:space="preserve">3. </w:t>
      </w:r>
      <w:r w:rsidR="005C7DF1">
        <w:t>REFERENCES:</w:t>
      </w:r>
    </w:p>
    <w:p w:rsidR="00AD031D" w:rsidRDefault="00AD031D" w:rsidP="001F0BDF">
      <w:pPr>
        <w:pStyle w:val="ListeParagraf"/>
        <w:numPr>
          <w:ilvl w:val="0"/>
          <w:numId w:val="12"/>
        </w:numPr>
        <w:suppressAutoHyphens/>
        <w:spacing w:after="120"/>
        <w:rPr>
          <w:lang w:val="en-US"/>
        </w:rPr>
      </w:pPr>
      <w:r w:rsidRPr="00AD031D">
        <w:rPr>
          <w:lang w:val="en-US"/>
        </w:rPr>
        <w:t>Final Report of the 5</w:t>
      </w:r>
      <w:r w:rsidRPr="00AD031D">
        <w:rPr>
          <w:vertAlign w:val="superscript"/>
          <w:lang w:val="en-US"/>
        </w:rPr>
        <w:t>th</w:t>
      </w:r>
      <w:r w:rsidRPr="00AD031D">
        <w:rPr>
          <w:lang w:val="en-US"/>
        </w:rPr>
        <w:t xml:space="preserve"> Session of TT-WMD (ICG-WIGOS TASK TEAM ON WIGOS METADATA)</w:t>
      </w:r>
    </w:p>
    <w:p w:rsidR="00AD031D" w:rsidRPr="00AD031D" w:rsidRDefault="00AD031D" w:rsidP="00A86E22">
      <w:pPr>
        <w:pStyle w:val="ListeParagraf"/>
        <w:numPr>
          <w:ilvl w:val="0"/>
          <w:numId w:val="12"/>
        </w:numPr>
        <w:suppressAutoHyphens/>
        <w:spacing w:after="120"/>
        <w:rPr>
          <w:lang w:val="en-US"/>
        </w:rPr>
      </w:pPr>
      <w:r w:rsidRPr="00AD031D">
        <w:rPr>
          <w:lang w:val="en-US"/>
        </w:rPr>
        <w:t>Final Report of Workshop On Regional &amp; Global Exchange of Weather Radar Data (COMMISSION FOR BASIC SYSTEMS-OPAG ON INTEGRATED OBSERVING SYSTEMS</w:t>
      </w:r>
      <w:r>
        <w:rPr>
          <w:lang w:val="en-US"/>
        </w:rPr>
        <w:t>)</w:t>
      </w:r>
    </w:p>
    <w:p w:rsidR="005C7DF1" w:rsidRDefault="00AD031D" w:rsidP="00AD031D">
      <w:pPr>
        <w:pStyle w:val="ListeParagraf"/>
        <w:numPr>
          <w:ilvl w:val="0"/>
          <w:numId w:val="12"/>
        </w:numPr>
        <w:suppressAutoHyphens/>
        <w:spacing w:after="120"/>
        <w:rPr>
          <w:lang w:val="en-US"/>
        </w:rPr>
      </w:pPr>
      <w:r>
        <w:rPr>
          <w:lang w:val="en-US"/>
        </w:rPr>
        <w:t xml:space="preserve">WMO Radar Database Website: </w:t>
      </w:r>
      <w:r w:rsidRPr="00AD031D">
        <w:rPr>
          <w:lang w:val="en-US"/>
        </w:rPr>
        <w:t>http://wrd.mgm.gov.tr/</w:t>
      </w:r>
    </w:p>
    <w:p w:rsidR="005C7DF1" w:rsidRDefault="00AD031D" w:rsidP="000801D5">
      <w:pPr>
        <w:pStyle w:val="ListeParagraf"/>
        <w:numPr>
          <w:ilvl w:val="0"/>
          <w:numId w:val="12"/>
        </w:numPr>
        <w:suppressAutoHyphens/>
        <w:spacing w:after="120"/>
      </w:pPr>
      <w:r>
        <w:t xml:space="preserve">OSCAR Website: </w:t>
      </w:r>
      <w:r w:rsidR="000801D5" w:rsidRPr="000801D5">
        <w:t>https://www.wmo-sat.info/oscar/</w:t>
      </w:r>
    </w:p>
    <w:p w:rsidR="005C7DF1" w:rsidRDefault="005C7DF1" w:rsidP="00AD031D">
      <w:pPr>
        <w:pStyle w:val="ListeParagraf"/>
        <w:suppressAutoHyphens/>
        <w:spacing w:after="120"/>
        <w:ind w:left="714"/>
        <w:rPr>
          <w:lang w:val="en-US"/>
        </w:rPr>
      </w:pPr>
    </w:p>
    <w:p w:rsidR="005C7DF1" w:rsidRDefault="005C7DF1" w:rsidP="00425CE4">
      <w:pPr>
        <w:pStyle w:val="WMOBodyText"/>
        <w:spacing w:before="0" w:after="120"/>
      </w:pPr>
    </w:p>
    <w:p w:rsidR="00425CE4" w:rsidRPr="005D666D" w:rsidRDefault="00425CE4" w:rsidP="00425CE4">
      <w:pPr>
        <w:pStyle w:val="WMOBodyText"/>
        <w:spacing w:before="0" w:after="120"/>
      </w:pPr>
    </w:p>
    <w:p w:rsidR="001A341E" w:rsidRPr="005D666D" w:rsidRDefault="00864DBF" w:rsidP="000212C2">
      <w:pPr>
        <w:pStyle w:val="WMOBodyText"/>
        <w:jc w:val="center"/>
      </w:pPr>
      <w:r w:rsidRPr="005D666D">
        <w:t>__________</w:t>
      </w:r>
      <w:bookmarkEnd w:id="2"/>
    </w:p>
    <w:sectPr w:rsidR="001A341E" w:rsidRPr="005D666D" w:rsidSect="0020095E">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99A" w:rsidRDefault="00A2499A">
      <w:r>
        <w:separator/>
      </w:r>
    </w:p>
    <w:p w:rsidR="00A2499A" w:rsidRDefault="00A2499A"/>
    <w:p w:rsidR="00A2499A" w:rsidRDefault="00A2499A"/>
  </w:endnote>
  <w:endnote w:type="continuationSeparator" w:id="0">
    <w:p w:rsidR="00A2499A" w:rsidRDefault="00A2499A">
      <w:r>
        <w:continuationSeparator/>
      </w:r>
    </w:p>
    <w:p w:rsidR="00A2499A" w:rsidRDefault="00A2499A"/>
    <w:p w:rsidR="00A2499A" w:rsidRDefault="00A24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99A" w:rsidRDefault="00A2499A">
      <w:r>
        <w:separator/>
      </w:r>
    </w:p>
  </w:footnote>
  <w:footnote w:type="continuationSeparator" w:id="0">
    <w:p w:rsidR="00A2499A" w:rsidRDefault="00A2499A">
      <w:r>
        <w:continuationSeparator/>
      </w:r>
    </w:p>
    <w:p w:rsidR="00A2499A" w:rsidRDefault="00A2499A"/>
    <w:p w:rsidR="00A2499A" w:rsidRDefault="00A249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2C2" w:rsidRPr="00425CE4" w:rsidRDefault="00A2499A" w:rsidP="000D4FA3">
    <w:pPr>
      <w:pStyle w:val="stbilgi"/>
      <w:rPr>
        <w:sz w:val="18"/>
        <w:szCs w:val="18"/>
      </w:rPr>
    </w:pPr>
    <w:sdt>
      <w:sdtPr>
        <w:rPr>
          <w:sz w:val="18"/>
          <w:szCs w:val="18"/>
        </w:rPr>
        <w:alias w:val="Keywords"/>
        <w:tag w:val=""/>
        <w:id w:val="-1882158470"/>
        <w:placeholder>
          <w:docPart w:val="4532020BD05F40D08AB2451687C7B423"/>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sz w:val="18"/>
            <w:szCs w:val="18"/>
            <w:lang w:val="en-US"/>
          </w:rPr>
          <w:t>CIMO/OPAG-RST/IPET-OWR-1</w:t>
        </w:r>
      </w:sdtContent>
    </w:sdt>
    <w:r w:rsidR="000212C2" w:rsidRPr="00425CE4">
      <w:rPr>
        <w:sz w:val="18"/>
        <w:szCs w:val="18"/>
      </w:rPr>
      <w:t>/</w:t>
    </w:r>
    <w:sdt>
      <w:sdtPr>
        <w:rPr>
          <w:sz w:val="18"/>
          <w:szCs w:val="18"/>
        </w:rPr>
        <w:alias w:val="Category"/>
        <w:tag w:val=""/>
        <w:id w:val="-959264996"/>
        <w:placeholder>
          <w:docPart w:val="A9EDB6C449554CC88E818CBF10D2E58B"/>
        </w:placeholder>
        <w:dataBinding w:prefixMappings="xmlns:ns0='http://purl.org/dc/elements/1.1/' xmlns:ns1='http://schemas.openxmlformats.org/package/2006/metadata/core-properties' " w:xpath="/ns1:coreProperties[1]/ns1:category[1]" w:storeItemID="{6C3C8BC8-F283-45AE-878A-BAB7291924A1}"/>
        <w:text/>
      </w:sdtPr>
      <w:sdtEndPr/>
      <w:sdtContent>
        <w:r w:rsidR="002D3282">
          <w:rPr>
            <w:sz w:val="18"/>
            <w:szCs w:val="18"/>
          </w:rPr>
          <w:t>Doc. 5.2(3)</w:t>
        </w:r>
      </w:sdtContent>
    </w:sdt>
    <w:r w:rsidR="000212C2" w:rsidRPr="00425CE4">
      <w:rPr>
        <w:sz w:val="18"/>
        <w:szCs w:val="18"/>
      </w:rPr>
      <w:t xml:space="preserve">, </w:t>
    </w:r>
    <w:sdt>
      <w:sdtPr>
        <w:rPr>
          <w:sz w:val="18"/>
          <w:szCs w:val="18"/>
        </w:rPr>
        <w:alias w:val="Status"/>
        <w:tag w:val=""/>
        <w:id w:val="88515919"/>
        <w:placeholder>
          <w:docPart w:val="5B4941C14743451198131830156399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2D3282">
          <w:rPr>
            <w:sz w:val="18"/>
            <w:szCs w:val="18"/>
          </w:rPr>
          <w:t>DRAFT 1</w:t>
        </w:r>
      </w:sdtContent>
    </w:sdt>
    <w:r w:rsidR="000212C2" w:rsidRPr="00425CE4">
      <w:rPr>
        <w:sz w:val="18"/>
        <w:szCs w:val="18"/>
      </w:rPr>
      <w:t xml:space="preserve">, </w:t>
    </w:r>
    <w:r w:rsidR="000D4FA3">
      <w:rPr>
        <w:sz w:val="18"/>
        <w:szCs w:val="18"/>
      </w:rPr>
      <w:t xml:space="preserve">Annex I, </w:t>
    </w:r>
    <w:r w:rsidR="000212C2" w:rsidRPr="00425CE4">
      <w:rPr>
        <w:sz w:val="18"/>
        <w:szCs w:val="18"/>
      </w:rPr>
      <w:t xml:space="preserve">p. </w:t>
    </w:r>
    <w:r w:rsidR="000212C2" w:rsidRPr="00425CE4">
      <w:rPr>
        <w:rStyle w:val="SayfaNumaras"/>
        <w:sz w:val="18"/>
        <w:szCs w:val="18"/>
      </w:rPr>
      <w:fldChar w:fldCharType="begin"/>
    </w:r>
    <w:r w:rsidR="000212C2" w:rsidRPr="00425CE4">
      <w:rPr>
        <w:rStyle w:val="SayfaNumaras"/>
        <w:sz w:val="18"/>
        <w:szCs w:val="18"/>
      </w:rPr>
      <w:instrText xml:space="preserve"> PAGE </w:instrText>
    </w:r>
    <w:r w:rsidR="000212C2" w:rsidRPr="00425CE4">
      <w:rPr>
        <w:rStyle w:val="SayfaNumaras"/>
        <w:sz w:val="18"/>
        <w:szCs w:val="18"/>
      </w:rPr>
      <w:fldChar w:fldCharType="separate"/>
    </w:r>
    <w:r w:rsidR="00855A75">
      <w:rPr>
        <w:rStyle w:val="SayfaNumaras"/>
        <w:noProof/>
        <w:sz w:val="18"/>
        <w:szCs w:val="18"/>
      </w:rPr>
      <w:t>1</w:t>
    </w:r>
    <w:r w:rsidR="000212C2" w:rsidRPr="00425CE4">
      <w:rPr>
        <w:rStyle w:val="SayfaNumara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A340B6"/>
    <w:multiLevelType w:val="multilevel"/>
    <w:tmpl w:val="AD6217C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B4F8E"/>
    <w:multiLevelType w:val="hybridMultilevel"/>
    <w:tmpl w:val="CFACB684"/>
    <w:lvl w:ilvl="0" w:tplc="FF4A5F98">
      <w:start w:val="1"/>
      <w:numFmt w:val="decimal"/>
      <w:lvlText w:val="%1)"/>
      <w:lvlJc w:val="left"/>
      <w:pPr>
        <w:ind w:left="927" w:hanging="360"/>
      </w:pPr>
      <w:rPr>
        <w:rFonts w:hint="default"/>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30D64136"/>
    <w:multiLevelType w:val="multilevel"/>
    <w:tmpl w:val="11C6528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D4C297B"/>
    <w:multiLevelType w:val="hybridMultilevel"/>
    <w:tmpl w:val="8510557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DDE62F4"/>
    <w:multiLevelType w:val="multilevel"/>
    <w:tmpl w:val="0D26D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88"/>
    <w:rsid w:val="000212C2"/>
    <w:rsid w:val="0003137A"/>
    <w:rsid w:val="00041171"/>
    <w:rsid w:val="00047D38"/>
    <w:rsid w:val="00050F8E"/>
    <w:rsid w:val="00053B98"/>
    <w:rsid w:val="000573AD"/>
    <w:rsid w:val="00072F17"/>
    <w:rsid w:val="000801D5"/>
    <w:rsid w:val="000806D8"/>
    <w:rsid w:val="00082C80"/>
    <w:rsid w:val="00083847"/>
    <w:rsid w:val="00083C36"/>
    <w:rsid w:val="000A5CE6"/>
    <w:rsid w:val="000A69BF"/>
    <w:rsid w:val="000C225A"/>
    <w:rsid w:val="000C6781"/>
    <w:rsid w:val="000D4FA3"/>
    <w:rsid w:val="000F5E49"/>
    <w:rsid w:val="000F7A87"/>
    <w:rsid w:val="000F7D1B"/>
    <w:rsid w:val="00105C9F"/>
    <w:rsid w:val="00111BFD"/>
    <w:rsid w:val="0011498B"/>
    <w:rsid w:val="00120147"/>
    <w:rsid w:val="00123140"/>
    <w:rsid w:val="00141060"/>
    <w:rsid w:val="00145E60"/>
    <w:rsid w:val="00154891"/>
    <w:rsid w:val="00163BA3"/>
    <w:rsid w:val="00166B31"/>
    <w:rsid w:val="00180771"/>
    <w:rsid w:val="001809DE"/>
    <w:rsid w:val="001930A3"/>
    <w:rsid w:val="001A341E"/>
    <w:rsid w:val="001A7A5E"/>
    <w:rsid w:val="001B0EA6"/>
    <w:rsid w:val="001B1CDF"/>
    <w:rsid w:val="001B56F4"/>
    <w:rsid w:val="001C5462"/>
    <w:rsid w:val="001D6302"/>
    <w:rsid w:val="001E7DD0"/>
    <w:rsid w:val="001F1BDA"/>
    <w:rsid w:val="0020095E"/>
    <w:rsid w:val="00201F6C"/>
    <w:rsid w:val="00210D30"/>
    <w:rsid w:val="00234A34"/>
    <w:rsid w:val="0025255D"/>
    <w:rsid w:val="002614CE"/>
    <w:rsid w:val="00270480"/>
    <w:rsid w:val="002779AF"/>
    <w:rsid w:val="00280313"/>
    <w:rsid w:val="002823D8"/>
    <w:rsid w:val="0028531A"/>
    <w:rsid w:val="00285446"/>
    <w:rsid w:val="00295593"/>
    <w:rsid w:val="002A386C"/>
    <w:rsid w:val="002A7A9F"/>
    <w:rsid w:val="002C30BC"/>
    <w:rsid w:val="002C7A88"/>
    <w:rsid w:val="002D232B"/>
    <w:rsid w:val="002D3282"/>
    <w:rsid w:val="002D5E00"/>
    <w:rsid w:val="002D6DAC"/>
    <w:rsid w:val="002E3FAD"/>
    <w:rsid w:val="002E4E16"/>
    <w:rsid w:val="002E7D0E"/>
    <w:rsid w:val="002F430C"/>
    <w:rsid w:val="002F5517"/>
    <w:rsid w:val="00301E8C"/>
    <w:rsid w:val="00316AA8"/>
    <w:rsid w:val="00320009"/>
    <w:rsid w:val="003219A0"/>
    <w:rsid w:val="0032424A"/>
    <w:rsid w:val="003572B6"/>
    <w:rsid w:val="00380AF7"/>
    <w:rsid w:val="00394A05"/>
    <w:rsid w:val="00397770"/>
    <w:rsid w:val="00397880"/>
    <w:rsid w:val="003A7016"/>
    <w:rsid w:val="003C245A"/>
    <w:rsid w:val="003E4046"/>
    <w:rsid w:val="003F125B"/>
    <w:rsid w:val="003F7B3F"/>
    <w:rsid w:val="0041078D"/>
    <w:rsid w:val="004162EE"/>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142FB"/>
    <w:rsid w:val="00525B80"/>
    <w:rsid w:val="0053098F"/>
    <w:rsid w:val="0053639D"/>
    <w:rsid w:val="00546D8E"/>
    <w:rsid w:val="00570F57"/>
    <w:rsid w:val="00571AE1"/>
    <w:rsid w:val="00583549"/>
    <w:rsid w:val="0058599D"/>
    <w:rsid w:val="00592267"/>
    <w:rsid w:val="005B0AE2"/>
    <w:rsid w:val="005B1F2C"/>
    <w:rsid w:val="005C7DF1"/>
    <w:rsid w:val="005D03D9"/>
    <w:rsid w:val="005D666D"/>
    <w:rsid w:val="006127F1"/>
    <w:rsid w:val="00615AB0"/>
    <w:rsid w:val="0061778C"/>
    <w:rsid w:val="00636B90"/>
    <w:rsid w:val="006424F5"/>
    <w:rsid w:val="006435A8"/>
    <w:rsid w:val="0064738B"/>
    <w:rsid w:val="006508EA"/>
    <w:rsid w:val="00652875"/>
    <w:rsid w:val="00675E06"/>
    <w:rsid w:val="006837ED"/>
    <w:rsid w:val="00697DB5"/>
    <w:rsid w:val="006A492A"/>
    <w:rsid w:val="006C25F8"/>
    <w:rsid w:val="006D4D23"/>
    <w:rsid w:val="006D5576"/>
    <w:rsid w:val="006E5FE9"/>
    <w:rsid w:val="006E766D"/>
    <w:rsid w:val="006F0A42"/>
    <w:rsid w:val="006F501F"/>
    <w:rsid w:val="00704123"/>
    <w:rsid w:val="00705C9F"/>
    <w:rsid w:val="00705F82"/>
    <w:rsid w:val="00716951"/>
    <w:rsid w:val="00725988"/>
    <w:rsid w:val="007324AF"/>
    <w:rsid w:val="00735D9E"/>
    <w:rsid w:val="00750431"/>
    <w:rsid w:val="0075136C"/>
    <w:rsid w:val="00754CF7"/>
    <w:rsid w:val="007615FC"/>
    <w:rsid w:val="00771A68"/>
    <w:rsid w:val="007761FD"/>
    <w:rsid w:val="00777D58"/>
    <w:rsid w:val="007C212A"/>
    <w:rsid w:val="007E7D21"/>
    <w:rsid w:val="007F482F"/>
    <w:rsid w:val="00807CC5"/>
    <w:rsid w:val="00815049"/>
    <w:rsid w:val="008154FC"/>
    <w:rsid w:val="00823B49"/>
    <w:rsid w:val="008241C6"/>
    <w:rsid w:val="00831751"/>
    <w:rsid w:val="00835B42"/>
    <w:rsid w:val="00843072"/>
    <w:rsid w:val="00845310"/>
    <w:rsid w:val="00847D99"/>
    <w:rsid w:val="0085038E"/>
    <w:rsid w:val="00855A75"/>
    <w:rsid w:val="0086271D"/>
    <w:rsid w:val="0086420B"/>
    <w:rsid w:val="00864DBF"/>
    <w:rsid w:val="00865AE2"/>
    <w:rsid w:val="00884A98"/>
    <w:rsid w:val="00887965"/>
    <w:rsid w:val="008A26B3"/>
    <w:rsid w:val="008A722F"/>
    <w:rsid w:val="008A7313"/>
    <w:rsid w:val="008A7D91"/>
    <w:rsid w:val="008B492D"/>
    <w:rsid w:val="008B7FC7"/>
    <w:rsid w:val="008C17A4"/>
    <w:rsid w:val="008D5C8E"/>
    <w:rsid w:val="008E1E4A"/>
    <w:rsid w:val="008E62F2"/>
    <w:rsid w:val="008F0615"/>
    <w:rsid w:val="008F1FDB"/>
    <w:rsid w:val="00915E6D"/>
    <w:rsid w:val="00916482"/>
    <w:rsid w:val="00935E09"/>
    <w:rsid w:val="00947C84"/>
    <w:rsid w:val="00950605"/>
    <w:rsid w:val="00952233"/>
    <w:rsid w:val="00954D66"/>
    <w:rsid w:val="0096121C"/>
    <w:rsid w:val="00975D76"/>
    <w:rsid w:val="00976674"/>
    <w:rsid w:val="00982E51"/>
    <w:rsid w:val="009874B9"/>
    <w:rsid w:val="00991F8B"/>
    <w:rsid w:val="00993581"/>
    <w:rsid w:val="009A288C"/>
    <w:rsid w:val="009B6697"/>
    <w:rsid w:val="009C4C04"/>
    <w:rsid w:val="009F5023"/>
    <w:rsid w:val="009F7566"/>
    <w:rsid w:val="00A060F0"/>
    <w:rsid w:val="00A06BFE"/>
    <w:rsid w:val="00A10F5D"/>
    <w:rsid w:val="00A14AF1"/>
    <w:rsid w:val="00A16891"/>
    <w:rsid w:val="00A2499A"/>
    <w:rsid w:val="00A2531F"/>
    <w:rsid w:val="00A31483"/>
    <w:rsid w:val="00A332E8"/>
    <w:rsid w:val="00A35AF5"/>
    <w:rsid w:val="00A35DDF"/>
    <w:rsid w:val="00A36CBA"/>
    <w:rsid w:val="00A50291"/>
    <w:rsid w:val="00A604CD"/>
    <w:rsid w:val="00A60FE6"/>
    <w:rsid w:val="00A654BE"/>
    <w:rsid w:val="00A7683B"/>
    <w:rsid w:val="00A81477"/>
    <w:rsid w:val="00A874EF"/>
    <w:rsid w:val="00A92A1F"/>
    <w:rsid w:val="00A95415"/>
    <w:rsid w:val="00AA3C89"/>
    <w:rsid w:val="00AA648C"/>
    <w:rsid w:val="00AB5751"/>
    <w:rsid w:val="00AC4CDB"/>
    <w:rsid w:val="00AD031D"/>
    <w:rsid w:val="00AD0933"/>
    <w:rsid w:val="00AF638A"/>
    <w:rsid w:val="00B00141"/>
    <w:rsid w:val="00B009AA"/>
    <w:rsid w:val="00B01F46"/>
    <w:rsid w:val="00B030C8"/>
    <w:rsid w:val="00B056E7"/>
    <w:rsid w:val="00B05B71"/>
    <w:rsid w:val="00B10035"/>
    <w:rsid w:val="00B165E6"/>
    <w:rsid w:val="00B235DB"/>
    <w:rsid w:val="00B548A2"/>
    <w:rsid w:val="00B5607E"/>
    <w:rsid w:val="00B56934"/>
    <w:rsid w:val="00B70F52"/>
    <w:rsid w:val="00B72444"/>
    <w:rsid w:val="00B7303E"/>
    <w:rsid w:val="00B93B62"/>
    <w:rsid w:val="00B953D1"/>
    <w:rsid w:val="00BA30D0"/>
    <w:rsid w:val="00BE1176"/>
    <w:rsid w:val="00C04BD2"/>
    <w:rsid w:val="00C13EEC"/>
    <w:rsid w:val="00C156A4"/>
    <w:rsid w:val="00C20FAA"/>
    <w:rsid w:val="00C2459D"/>
    <w:rsid w:val="00C354A2"/>
    <w:rsid w:val="00C42C95"/>
    <w:rsid w:val="00C55E5B"/>
    <w:rsid w:val="00C720A4"/>
    <w:rsid w:val="00C7611C"/>
    <w:rsid w:val="00C94097"/>
    <w:rsid w:val="00CA4269"/>
    <w:rsid w:val="00CA7330"/>
    <w:rsid w:val="00CB64F0"/>
    <w:rsid w:val="00CC2909"/>
    <w:rsid w:val="00CD0BA1"/>
    <w:rsid w:val="00D05E6F"/>
    <w:rsid w:val="00D14A88"/>
    <w:rsid w:val="00D33442"/>
    <w:rsid w:val="00D44BAD"/>
    <w:rsid w:val="00D45B55"/>
    <w:rsid w:val="00D7097B"/>
    <w:rsid w:val="00D81438"/>
    <w:rsid w:val="00D90310"/>
    <w:rsid w:val="00D91DFA"/>
    <w:rsid w:val="00DB1AB2"/>
    <w:rsid w:val="00DC0DA2"/>
    <w:rsid w:val="00DD3A65"/>
    <w:rsid w:val="00DD62C6"/>
    <w:rsid w:val="00DF09A5"/>
    <w:rsid w:val="00E00498"/>
    <w:rsid w:val="00E2617A"/>
    <w:rsid w:val="00E538E6"/>
    <w:rsid w:val="00E5728E"/>
    <w:rsid w:val="00E673B0"/>
    <w:rsid w:val="00E802A2"/>
    <w:rsid w:val="00E83473"/>
    <w:rsid w:val="00E85C0B"/>
    <w:rsid w:val="00EA300C"/>
    <w:rsid w:val="00ED36A0"/>
    <w:rsid w:val="00ED67AF"/>
    <w:rsid w:val="00EE128C"/>
    <w:rsid w:val="00EF66D9"/>
    <w:rsid w:val="00EF6BA5"/>
    <w:rsid w:val="00EF780D"/>
    <w:rsid w:val="00EF7A98"/>
    <w:rsid w:val="00F0267E"/>
    <w:rsid w:val="00F474C9"/>
    <w:rsid w:val="00F61675"/>
    <w:rsid w:val="00F6686B"/>
    <w:rsid w:val="00F67F74"/>
    <w:rsid w:val="00F727D7"/>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14CC14A-D800-4449-B10F-7CF76A8F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38"/>
    <w:pPr>
      <w:tabs>
        <w:tab w:val="left" w:pos="1134"/>
      </w:tabs>
      <w:jc w:val="both"/>
    </w:pPr>
    <w:rPr>
      <w:rFonts w:ascii="Verdana" w:eastAsia="Arial" w:hAnsi="Verdana" w:cs="Arial"/>
      <w:lang w:val="en-GB" w:eastAsia="en-US"/>
    </w:rPr>
  </w:style>
  <w:style w:type="paragraph" w:styleId="Balk1">
    <w:name w:val="heading 1"/>
    <w:basedOn w:val="Normal"/>
    <w:next w:val="Normal"/>
    <w:link w:val="Balk1Char"/>
    <w:qFormat/>
    <w:rsid w:val="005D666D"/>
    <w:pPr>
      <w:keepNext/>
      <w:keepLines/>
      <w:spacing w:after="120"/>
      <w:jc w:val="center"/>
      <w:outlineLvl w:val="0"/>
    </w:pPr>
    <w:rPr>
      <w:b/>
      <w:bCs/>
      <w:caps/>
      <w:kern w:val="32"/>
      <w:sz w:val="24"/>
      <w:szCs w:val="32"/>
      <w:lang w:eastAsia="zh-TW"/>
    </w:rPr>
  </w:style>
  <w:style w:type="paragraph" w:styleId="Balk2">
    <w:name w:val="heading 2"/>
    <w:basedOn w:val="Normal"/>
    <w:next w:val="Normal"/>
    <w:link w:val="Balk2Char"/>
    <w:qFormat/>
    <w:rsid w:val="00A332E8"/>
    <w:pPr>
      <w:keepNext/>
      <w:keepLines/>
      <w:tabs>
        <w:tab w:val="clear" w:pos="1134"/>
      </w:tabs>
      <w:spacing w:before="360"/>
      <w:jc w:val="center"/>
      <w:outlineLvl w:val="1"/>
    </w:pPr>
    <w:rPr>
      <w:b/>
      <w:bCs/>
      <w:iCs/>
      <w:szCs w:val="22"/>
      <w:lang w:eastAsia="zh-TW"/>
    </w:rPr>
  </w:style>
  <w:style w:type="paragraph" w:styleId="Balk3">
    <w:name w:val="heading 3"/>
    <w:basedOn w:val="Normal"/>
    <w:next w:val="Normal"/>
    <w:link w:val="Balk3Char"/>
    <w:qFormat/>
    <w:rsid w:val="00166B31"/>
    <w:pPr>
      <w:keepNext/>
      <w:keepLines/>
      <w:spacing w:before="360"/>
      <w:ind w:left="1134" w:hanging="1134"/>
      <w:jc w:val="left"/>
      <w:outlineLvl w:val="2"/>
    </w:pPr>
    <w:rPr>
      <w:b/>
      <w:bCs/>
      <w:szCs w:val="22"/>
      <w:lang w:eastAsia="zh-TW"/>
    </w:rPr>
  </w:style>
  <w:style w:type="paragraph" w:styleId="Balk4">
    <w:name w:val="heading 4"/>
    <w:basedOn w:val="Normal"/>
    <w:next w:val="Normal"/>
    <w:link w:val="Balk4Char"/>
    <w:qFormat/>
    <w:rsid w:val="0086271D"/>
    <w:pPr>
      <w:keepNext/>
      <w:keepLines/>
      <w:spacing w:before="360"/>
      <w:ind w:left="1134" w:hanging="1134"/>
      <w:jc w:val="left"/>
      <w:outlineLvl w:val="3"/>
    </w:pPr>
    <w:rPr>
      <w:b/>
      <w:i/>
      <w:lang w:eastAsia="zh-TW"/>
    </w:rPr>
  </w:style>
  <w:style w:type="paragraph" w:styleId="Balk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Balk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Balk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Balk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Balk9">
    <w:name w:val="heading 9"/>
    <w:basedOn w:val="Normal"/>
    <w:next w:val="Normal"/>
    <w:qFormat/>
    <w:rsid w:val="005B74AD"/>
    <w:pPr>
      <w:spacing w:before="240" w:after="60"/>
      <w:outlineLvl w:val="8"/>
    </w:pPr>
    <w:rPr>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2459D"/>
    <w:pPr>
      <w:tabs>
        <w:tab w:val="clear" w:pos="1134"/>
      </w:tabs>
      <w:spacing w:after="360"/>
      <w:jc w:val="center"/>
    </w:pPr>
  </w:style>
  <w:style w:type="paragraph" w:styleId="bekMetni">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Kpr">
    <w:name w:val="Hyperlink"/>
    <w:basedOn w:val="VarsaylanParagrafYazTipi"/>
    <w:rsid w:val="009F3E3D"/>
    <w:rPr>
      <w:color w:val="0000FF"/>
      <w:u w:val="none"/>
    </w:rPr>
  </w:style>
  <w:style w:type="character" w:styleId="SayfaNumaras">
    <w:name w:val="page number"/>
    <w:basedOn w:val="VarsaylanParagrafYazTipi"/>
    <w:rsid w:val="008A71EB"/>
  </w:style>
  <w:style w:type="paragraph" w:styleId="T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Balk2Char">
    <w:name w:val="Başlık 2 Char"/>
    <w:link w:val="Balk2"/>
    <w:locked/>
    <w:rsid w:val="00A332E8"/>
    <w:rPr>
      <w:rFonts w:ascii="Verdana" w:eastAsia="Arial" w:hAnsi="Verdana" w:cs="Arial"/>
      <w:b/>
      <w:bCs/>
      <w:iCs/>
      <w:szCs w:val="22"/>
      <w:lang w:val="en-GB"/>
    </w:rPr>
  </w:style>
  <w:style w:type="paragraph" w:styleId="Altbilgi">
    <w:name w:val="footer"/>
    <w:basedOn w:val="Normal"/>
    <w:rsid w:val="008A71EB"/>
    <w:pPr>
      <w:tabs>
        <w:tab w:val="center" w:pos="4320"/>
        <w:tab w:val="right" w:pos="8640"/>
      </w:tabs>
    </w:pPr>
  </w:style>
  <w:style w:type="paragraph" w:styleId="BalonMetni">
    <w:name w:val="Balloon Text"/>
    <w:basedOn w:val="Normal"/>
    <w:link w:val="BalonMetniChar"/>
    <w:uiPriority w:val="99"/>
    <w:semiHidden/>
    <w:rsid w:val="005A6BCE"/>
    <w:rPr>
      <w:rFonts w:ascii="Tahoma" w:hAnsi="Tahoma" w:cs="Tahoma"/>
      <w:sz w:val="16"/>
      <w:szCs w:val="16"/>
    </w:rPr>
  </w:style>
  <w:style w:type="paragraph" w:styleId="BelgeBalantlar">
    <w:name w:val="Document Map"/>
    <w:basedOn w:val="Normal"/>
    <w:semiHidden/>
    <w:rsid w:val="002A7FA1"/>
    <w:pPr>
      <w:shd w:val="clear" w:color="auto" w:fill="000080"/>
    </w:pPr>
    <w:rPr>
      <w:rFonts w:ascii="Tahoma" w:hAnsi="Tahoma" w:cs="Tahoma"/>
    </w:rPr>
  </w:style>
  <w:style w:type="paragraph" w:styleId="T3">
    <w:name w:val="toc 3"/>
    <w:basedOn w:val="Normal"/>
    <w:next w:val="Normal"/>
    <w:autoRedefine/>
    <w:semiHidden/>
    <w:rsid w:val="00E91F0F"/>
    <w:pPr>
      <w:ind w:left="400"/>
    </w:pPr>
  </w:style>
  <w:style w:type="paragraph" w:styleId="T1">
    <w:name w:val="toc 1"/>
    <w:basedOn w:val="Normal"/>
    <w:next w:val="Normal"/>
    <w:autoRedefine/>
    <w:semiHidden/>
    <w:rsid w:val="00E91F0F"/>
  </w:style>
  <w:style w:type="paragraph" w:styleId="T2">
    <w:name w:val="toc 2"/>
    <w:basedOn w:val="Normal"/>
    <w:next w:val="Normal"/>
    <w:autoRedefine/>
    <w:semiHidden/>
    <w:rsid w:val="00E91F0F"/>
    <w:pPr>
      <w:ind w:left="200"/>
    </w:pPr>
  </w:style>
  <w:style w:type="character" w:styleId="zlenenKpr">
    <w:name w:val="FollowedHyperlink"/>
    <w:basedOn w:val="VarsaylanParagrafYazTipi"/>
    <w:rsid w:val="002F006A"/>
    <w:rPr>
      <w:color w:val="0000FF"/>
      <w:u w:val="none"/>
    </w:rPr>
  </w:style>
  <w:style w:type="paragraph" w:customStyle="1" w:styleId="WMOSubTitle1">
    <w:name w:val="WMO_SubTitle1"/>
    <w:basedOn w:val="Balk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Balk5"/>
    <w:next w:val="WMOBodyText"/>
    <w:rsid w:val="004D497E"/>
    <w:pPr>
      <w:keepNext/>
      <w:keepLines/>
      <w:tabs>
        <w:tab w:val="clear" w:pos="1080"/>
      </w:tabs>
      <w:spacing w:before="280"/>
      <w:ind w:left="0" w:firstLine="0"/>
      <w:jc w:val="left"/>
    </w:pPr>
  </w:style>
  <w:style w:type="paragraph" w:styleId="GvdeMetni">
    <w:name w:val="Body Text"/>
    <w:basedOn w:val="Normal"/>
    <w:rsid w:val="00831751"/>
    <w:pPr>
      <w:tabs>
        <w:tab w:val="clear" w:pos="1134"/>
        <w:tab w:val="left" w:pos="1140"/>
      </w:tabs>
      <w:jc w:val="center"/>
    </w:pPr>
    <w:rPr>
      <w:rFonts w:eastAsia="SimSun"/>
      <w:b/>
      <w:bCs/>
      <w:sz w:val="24"/>
      <w:szCs w:val="24"/>
      <w:lang w:eastAsia="zh-CN"/>
    </w:rPr>
  </w:style>
  <w:style w:type="character" w:styleId="DipnotBavurusu">
    <w:name w:val="footnote reference"/>
    <w:basedOn w:val="VarsaylanParagrafYazTipi"/>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DipnotMetni">
    <w:name w:val="footnote text"/>
    <w:basedOn w:val="Normal"/>
    <w:link w:val="DipnotMetniChar"/>
    <w:uiPriority w:val="99"/>
    <w:rsid w:val="00592267"/>
    <w:pPr>
      <w:spacing w:before="120"/>
      <w:ind w:left="360" w:hanging="360"/>
      <w:jc w:val="left"/>
    </w:pPr>
  </w:style>
  <w:style w:type="character" w:styleId="AklamaBavurusu">
    <w:name w:val="annotation reference"/>
    <w:basedOn w:val="VarsaylanParagrafYazTipi"/>
    <w:semiHidden/>
    <w:rsid w:val="00DD35CC"/>
    <w:rPr>
      <w:sz w:val="16"/>
      <w:szCs w:val="16"/>
    </w:rPr>
  </w:style>
  <w:style w:type="paragraph" w:styleId="AklamaMetni">
    <w:name w:val="annotation text"/>
    <w:basedOn w:val="Normal"/>
    <w:semiHidden/>
    <w:rsid w:val="00DD35CC"/>
  </w:style>
  <w:style w:type="paragraph" w:styleId="AklamaKonusu">
    <w:name w:val="annotation subject"/>
    <w:basedOn w:val="AklamaMetni"/>
    <w:next w:val="AklamaMetni"/>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Balk2"/>
    <w:next w:val="Normal"/>
    <w:rsid w:val="00C13EEC"/>
  </w:style>
  <w:style w:type="paragraph" w:styleId="KonuBal">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VarsaylanParagrafYazTipi"/>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Balk1"/>
    <w:link w:val="StyleHeading1LatinTimesNewRomanChar"/>
    <w:rsid w:val="00CF399D"/>
  </w:style>
  <w:style w:type="character" w:customStyle="1" w:styleId="Balk1Char">
    <w:name w:val="Başlık 1 Char"/>
    <w:basedOn w:val="VarsaylanParagrafYazTipi"/>
    <w:link w:val="Balk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Balk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Balk1"/>
    <w:link w:val="StyleHeading1LatinTimesNewRoman1Char"/>
    <w:rsid w:val="00CF399D"/>
    <w:rPr>
      <w:rFonts w:cs="Arial Bold"/>
    </w:rPr>
  </w:style>
  <w:style w:type="character" w:customStyle="1" w:styleId="StyleHeading1LatinTimesNewRoman1Char">
    <w:name w:val="Style Heading 1 + (Latin) Times New Roman1 Char"/>
    <w:basedOn w:val="Balk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VarsaylanParagrafYazTipi"/>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VarsaylanParagrafYazTipi"/>
    <w:link w:val="WMOBodyText"/>
    <w:rsid w:val="00166B31"/>
    <w:rPr>
      <w:rFonts w:ascii="Verdana" w:eastAsia="Arial" w:hAnsi="Verdana" w:cs="Arial"/>
      <w:sz w:val="22"/>
      <w:szCs w:val="22"/>
      <w:lang w:val="en-GB"/>
    </w:rPr>
  </w:style>
  <w:style w:type="table" w:styleId="TabloKlavuzu">
    <w:name w:val="Table Grid"/>
    <w:basedOn w:val="NormalTablo"/>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28778B"/>
    <w:rPr>
      <w:color w:val="808080"/>
      <w:sz w:val="20"/>
    </w:rPr>
  </w:style>
  <w:style w:type="character" w:customStyle="1" w:styleId="Balk4Char">
    <w:name w:val="Başlık 4 Char"/>
    <w:basedOn w:val="VarsaylanParagrafYazTipi"/>
    <w:link w:val="Balk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Balk2"/>
    <w:link w:val="Heading2CenteredChar"/>
    <w:rsid w:val="00C13EEC"/>
  </w:style>
  <w:style w:type="character" w:customStyle="1" w:styleId="Heading2CenteredChar">
    <w:name w:val="Heading 2 + Centered Char"/>
    <w:aliases w:val="Before:  0 cm Char,First line:  0 cm + Not All caps Char"/>
    <w:basedOn w:val="Balk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VarsaylanParagrafYazTipi"/>
    <w:uiPriority w:val="1"/>
    <w:qFormat/>
    <w:rsid w:val="004B7BAA"/>
  </w:style>
  <w:style w:type="character" w:customStyle="1" w:styleId="BalonMetniChar">
    <w:name w:val="Balon Metni Char"/>
    <w:basedOn w:val="VarsaylanParagrafYazTipi"/>
    <w:link w:val="BalonMetni"/>
    <w:uiPriority w:val="99"/>
    <w:semiHidden/>
    <w:rsid w:val="00B165E6"/>
    <w:rPr>
      <w:rFonts w:ascii="Tahoma" w:eastAsia="Arial" w:hAnsi="Tahoma" w:cs="Tahoma"/>
      <w:sz w:val="16"/>
      <w:szCs w:val="16"/>
      <w:lang w:val="en-GB" w:eastAsia="en-US"/>
    </w:rPr>
  </w:style>
  <w:style w:type="paragraph" w:customStyle="1" w:styleId="WMOTOC2">
    <w:name w:val="WMO_TOC2"/>
    <w:basedOn w:val="T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DipnotMetniChar">
    <w:name w:val="Dipnot Metni Char"/>
    <w:basedOn w:val="VarsaylanParagrafYazTipi"/>
    <w:link w:val="DipnotMetni"/>
    <w:uiPriority w:val="99"/>
    <w:rsid w:val="00592267"/>
    <w:rPr>
      <w:rFonts w:ascii="Verdana" w:eastAsia="Arial" w:hAnsi="Verdana" w:cs="Arial"/>
      <w:lang w:val="en-GB" w:eastAsia="en-US"/>
    </w:rPr>
  </w:style>
  <w:style w:type="character" w:customStyle="1" w:styleId="CommentChar">
    <w:name w:val="Comment Char"/>
    <w:basedOn w:val="VarsaylanParagrafYazTipi"/>
    <w:link w:val="Comment"/>
    <w:rsid w:val="000C225A"/>
    <w:rPr>
      <w:rFonts w:ascii="Verdana" w:eastAsia="Arial" w:hAnsi="Verdana" w:cs="Arial"/>
      <w:i/>
      <w:sz w:val="22"/>
      <w:szCs w:val="22"/>
      <w:lang w:val="en-GB" w:eastAsia="en-US"/>
    </w:rPr>
  </w:style>
  <w:style w:type="paragraph" w:styleId="ListeParagraf">
    <w:name w:val="List Paragraph"/>
    <w:basedOn w:val="Normal"/>
    <w:qFormat/>
    <w:rsid w:val="00777D58"/>
    <w:pPr>
      <w:ind w:left="720"/>
      <w:contextualSpacing/>
    </w:pPr>
  </w:style>
  <w:style w:type="character" w:customStyle="1" w:styleId="Balk3Char">
    <w:name w:val="Başlık 3 Char"/>
    <w:basedOn w:val="VarsaylanParagrafYazTipi"/>
    <w:link w:val="Balk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after="120"/>
      <w:jc w:val="left"/>
    </w:pPr>
    <w:rPr>
      <w:szCs w:val="22"/>
      <w:lang w:eastAsia="zh-TW"/>
    </w:rPr>
  </w:style>
  <w:style w:type="character" w:styleId="YerTutucuMetni">
    <w:name w:val="Placeholder Text"/>
    <w:basedOn w:val="VarsaylanParagrafYazTipi"/>
    <w:rsid w:val="000D4FA3"/>
    <w:rPr>
      <w:color w:val="808080"/>
    </w:rPr>
  </w:style>
  <w:style w:type="paragraph" w:customStyle="1" w:styleId="Titre3">
    <w:name w:val="Titre 3"/>
    <w:basedOn w:val="Normal"/>
    <w:next w:val="Normal"/>
    <w:qFormat/>
    <w:rsid w:val="005C7DF1"/>
    <w:pPr>
      <w:keepNext/>
      <w:keepLines/>
      <w:suppressAutoHyphens/>
      <w:spacing w:before="360"/>
      <w:ind w:left="1134" w:hanging="1134"/>
      <w:jc w:val="left"/>
      <w:outlineLvl w:val="2"/>
    </w:pPr>
    <w:rPr>
      <w:b/>
      <w:bCs/>
      <w:szCs w:val="22"/>
      <w:lang w:eastAsia="zh-TW"/>
    </w:rPr>
  </w:style>
  <w:style w:type="character" w:customStyle="1" w:styleId="LienInternet">
    <w:name w:val="Lien Internet"/>
    <w:basedOn w:val="VarsaylanParagrafYazTipi"/>
    <w:rsid w:val="005C7DF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rdupdate@mgm.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mailto:wrdupdate@mgm.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solidFill>
                  <a:schemeClr val="tx2"/>
                </a:solidFill>
              </a:rPr>
              <a:t>Number of Weather Radars in WRD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7.6595217264508603E-2"/>
          <c:y val="9.9563492063492076E-2"/>
          <c:w val="0.91183070866141736"/>
          <c:h val="0.71760561179852522"/>
        </c:manualLayout>
      </c:layout>
      <c:barChart>
        <c:barDir val="col"/>
        <c:grouping val="clustered"/>
        <c:varyColors val="0"/>
        <c:ser>
          <c:idx val="0"/>
          <c:order val="0"/>
          <c:tx>
            <c:strRef>
              <c:f>Sayfa1!$B$1</c:f>
              <c:strCache>
                <c:ptCount val="1"/>
                <c:pt idx="0">
                  <c:v>Registered Radars</c:v>
                </c:pt>
              </c:strCache>
            </c:strRef>
          </c:tx>
          <c:spPr>
            <a:solidFill>
              <a:srgbClr val="C00000"/>
            </a:solidFill>
            <a:ln>
              <a:noFill/>
            </a:ln>
            <a:effectLst/>
          </c:spPr>
          <c:invertIfNegative val="0"/>
          <c:dLbls>
            <c:dLbl>
              <c:idx val="8"/>
              <c:tx>
                <c:rich>
                  <a:bodyPr/>
                  <a:lstStyle/>
                  <a:p>
                    <a:r>
                      <a:rPr lang="en-US"/>
                      <a:t>926</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Sayfa1!$B$2:$B$10</c:f>
              <c:numCache>
                <c:formatCode>General</c:formatCode>
                <c:ptCount val="9"/>
                <c:pt idx="0">
                  <c:v>464</c:v>
                </c:pt>
                <c:pt idx="1">
                  <c:v>466</c:v>
                </c:pt>
                <c:pt idx="2">
                  <c:v>470</c:v>
                </c:pt>
                <c:pt idx="3">
                  <c:v>580</c:v>
                </c:pt>
                <c:pt idx="4">
                  <c:v>819</c:v>
                </c:pt>
                <c:pt idx="5">
                  <c:v>830</c:v>
                </c:pt>
                <c:pt idx="6">
                  <c:v>887</c:v>
                </c:pt>
                <c:pt idx="7">
                  <c:v>917</c:v>
                </c:pt>
                <c:pt idx="8">
                  <c:v>926</c:v>
                </c:pt>
              </c:numCache>
            </c:numRef>
          </c:val>
        </c:ser>
        <c:dLbls>
          <c:dLblPos val="outEnd"/>
          <c:showLegendKey val="0"/>
          <c:showVal val="1"/>
          <c:showCatName val="0"/>
          <c:showSerName val="0"/>
          <c:showPercent val="0"/>
          <c:showBubbleSize val="0"/>
        </c:dLbls>
        <c:gapWidth val="219"/>
        <c:overlap val="-27"/>
        <c:axId val="-434202144"/>
        <c:axId val="-434174400"/>
      </c:barChart>
      <c:catAx>
        <c:axId val="-43420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4174400"/>
        <c:crosses val="autoZero"/>
        <c:auto val="1"/>
        <c:lblAlgn val="ctr"/>
        <c:lblOffset val="100"/>
        <c:noMultiLvlLbl val="0"/>
      </c:catAx>
      <c:valAx>
        <c:axId val="-434174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420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47625" cap="flat" cmpd="sng" algn="ctr">
      <a:solidFill>
        <a:schemeClr val="accent1">
          <a:alpha val="87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Number of Members in WRD</a:t>
            </a:r>
            <a:r>
              <a:rPr lang="tr-TR" baseline="0"/>
              <a:t> </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Registered
Members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Sayfa1!$B$2:$B$10</c:f>
              <c:numCache>
                <c:formatCode>General</c:formatCode>
                <c:ptCount val="9"/>
                <c:pt idx="0">
                  <c:v>49</c:v>
                </c:pt>
                <c:pt idx="1">
                  <c:v>51</c:v>
                </c:pt>
                <c:pt idx="2">
                  <c:v>51</c:v>
                </c:pt>
                <c:pt idx="3">
                  <c:v>56</c:v>
                </c:pt>
                <c:pt idx="4">
                  <c:v>86</c:v>
                </c:pt>
                <c:pt idx="5">
                  <c:v>86</c:v>
                </c:pt>
                <c:pt idx="6">
                  <c:v>88</c:v>
                </c:pt>
                <c:pt idx="7">
                  <c:v>88</c:v>
                </c:pt>
                <c:pt idx="8">
                  <c:v>88</c:v>
                </c:pt>
              </c:numCache>
            </c:numRef>
          </c:val>
        </c:ser>
        <c:ser>
          <c:idx val="1"/>
          <c:order val="1"/>
          <c:tx>
            <c:strRef>
              <c:f>Sayfa1!$C$1</c:f>
              <c:strCache>
                <c:ptCount val="1"/>
                <c:pt idx="0">
                  <c:v>Nominated
Focal Points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10" b="1" i="0" u="none" strike="noStrike" kern="1200" baseline="0">
                    <a:solidFill>
                      <a:srgbClr val="FF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Sayfa1!$C$2:$C$10</c:f>
              <c:numCache>
                <c:formatCode>General</c:formatCode>
                <c:ptCount val="9"/>
                <c:pt idx="0">
                  <c:v>23</c:v>
                </c:pt>
                <c:pt idx="1">
                  <c:v>23</c:v>
                </c:pt>
                <c:pt idx="2">
                  <c:v>23</c:v>
                </c:pt>
                <c:pt idx="3">
                  <c:v>24</c:v>
                </c:pt>
                <c:pt idx="4">
                  <c:v>46</c:v>
                </c:pt>
                <c:pt idx="5">
                  <c:v>58</c:v>
                </c:pt>
                <c:pt idx="6">
                  <c:v>64</c:v>
                </c:pt>
                <c:pt idx="7">
                  <c:v>72</c:v>
                </c:pt>
                <c:pt idx="8">
                  <c:v>75</c:v>
                </c:pt>
              </c:numCache>
            </c:numRef>
          </c:val>
        </c:ser>
        <c:dLbls>
          <c:dLblPos val="outEnd"/>
          <c:showLegendKey val="0"/>
          <c:showVal val="1"/>
          <c:showCatName val="0"/>
          <c:showSerName val="0"/>
          <c:showPercent val="0"/>
          <c:showBubbleSize val="0"/>
        </c:dLbls>
        <c:gapWidth val="219"/>
        <c:overlap val="-27"/>
        <c:axId val="-434199968"/>
        <c:axId val="-434194528"/>
      </c:barChart>
      <c:catAx>
        <c:axId val="-43419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4194528"/>
        <c:crosses val="autoZero"/>
        <c:auto val="1"/>
        <c:lblAlgn val="ctr"/>
        <c:lblOffset val="100"/>
        <c:noMultiLvlLbl val="0"/>
      </c:catAx>
      <c:valAx>
        <c:axId val="-43419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34199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47625" cap="flat" cmpd="sng" algn="ctr">
      <a:solidFill>
        <a:schemeClr val="accent1"/>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14" b="0" i="0" u="none" strike="noStrike" kern="1200" spc="0" baseline="0">
                <a:solidFill>
                  <a:schemeClr val="tx1">
                    <a:lumMod val="65000"/>
                    <a:lumOff val="35000"/>
                  </a:schemeClr>
                </a:solidFill>
                <a:latin typeface="+mn-lt"/>
                <a:ea typeface="+mn-ea"/>
                <a:cs typeface="+mn-cs"/>
              </a:defRPr>
            </a:pPr>
            <a:r>
              <a:rPr lang="tr-TR"/>
              <a:t>Regional Distribution of Members in WRD</a:t>
            </a:r>
          </a:p>
        </c:rich>
      </c:tx>
      <c:overlay val="0"/>
      <c:spPr>
        <a:noFill/>
        <a:ln w="25653">
          <a:noFill/>
        </a:ln>
      </c:spPr>
    </c:title>
    <c:autoTitleDeleted val="0"/>
    <c:plotArea>
      <c:layout>
        <c:manualLayout>
          <c:layoutTarget val="inner"/>
          <c:xMode val="edge"/>
          <c:yMode val="edge"/>
          <c:x val="6.6039661708953049E-2"/>
          <c:y val="0.11940476190476192"/>
          <c:w val="0.90849737532808394"/>
          <c:h val="0.62639513810773662"/>
        </c:manualLayout>
      </c:layout>
      <c:barChart>
        <c:barDir val="col"/>
        <c:grouping val="clustered"/>
        <c:varyColors val="0"/>
        <c:ser>
          <c:idx val="0"/>
          <c:order val="0"/>
          <c:tx>
            <c:strRef>
              <c:f>Sayfa1!$B$1</c:f>
              <c:strCache>
                <c:ptCount val="1"/>
                <c:pt idx="0">
                  <c:v>RA-I</c:v>
                </c:pt>
              </c:strCache>
            </c:strRef>
          </c:tx>
          <c:spPr>
            <a:solidFill>
              <a:srgbClr val="4F81BD"/>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Sayfa1!$B$2:$B$3</c:f>
              <c:numCache>
                <c:formatCode>General</c:formatCode>
                <c:ptCount val="2"/>
                <c:pt idx="0">
                  <c:v>5</c:v>
                </c:pt>
                <c:pt idx="1">
                  <c:v>23</c:v>
                </c:pt>
              </c:numCache>
            </c:numRef>
          </c:val>
        </c:ser>
        <c:ser>
          <c:idx val="1"/>
          <c:order val="1"/>
          <c:tx>
            <c:strRef>
              <c:f>Sayfa1!$C$1</c:f>
              <c:strCache>
                <c:ptCount val="1"/>
                <c:pt idx="0">
                  <c:v>RA-II</c:v>
                </c:pt>
              </c:strCache>
            </c:strRef>
          </c:tx>
          <c:spPr>
            <a:solidFill>
              <a:srgbClr val="C0504D"/>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Sayfa1!$C$2:$C$3</c:f>
              <c:numCache>
                <c:formatCode>General</c:formatCode>
                <c:ptCount val="2"/>
                <c:pt idx="0">
                  <c:v>15</c:v>
                </c:pt>
                <c:pt idx="1">
                  <c:v>109</c:v>
                </c:pt>
              </c:numCache>
            </c:numRef>
          </c:val>
        </c:ser>
        <c:ser>
          <c:idx val="2"/>
          <c:order val="2"/>
          <c:tx>
            <c:strRef>
              <c:f>Sayfa1!$D$1</c:f>
              <c:strCache>
                <c:ptCount val="1"/>
                <c:pt idx="0">
                  <c:v>RA-III</c:v>
                </c:pt>
              </c:strCache>
            </c:strRef>
          </c:tx>
          <c:spPr>
            <a:solidFill>
              <a:srgbClr val="9BBB59"/>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Sayfa1!$D$2:$D$3</c:f>
              <c:numCache>
                <c:formatCode>General</c:formatCode>
                <c:ptCount val="2"/>
                <c:pt idx="0">
                  <c:v>7</c:v>
                </c:pt>
                <c:pt idx="1">
                  <c:v>69</c:v>
                </c:pt>
              </c:numCache>
            </c:numRef>
          </c:val>
        </c:ser>
        <c:ser>
          <c:idx val="3"/>
          <c:order val="3"/>
          <c:tx>
            <c:strRef>
              <c:f>Sayfa1!$E$1</c:f>
              <c:strCache>
                <c:ptCount val="1"/>
                <c:pt idx="0">
                  <c:v>RA-IV</c:v>
                </c:pt>
              </c:strCache>
            </c:strRef>
          </c:tx>
          <c:spPr>
            <a:solidFill>
              <a:srgbClr val="8064A2"/>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Sayfa1!$E$2:$E$3</c:f>
              <c:numCache>
                <c:formatCode>General</c:formatCode>
                <c:ptCount val="2"/>
                <c:pt idx="0">
                  <c:v>15</c:v>
                </c:pt>
                <c:pt idx="1">
                  <c:v>292</c:v>
                </c:pt>
              </c:numCache>
            </c:numRef>
          </c:val>
        </c:ser>
        <c:ser>
          <c:idx val="4"/>
          <c:order val="4"/>
          <c:tx>
            <c:strRef>
              <c:f>Sayfa1!$F$1</c:f>
              <c:strCache>
                <c:ptCount val="1"/>
                <c:pt idx="0">
                  <c:v>RA-V</c:v>
                </c:pt>
              </c:strCache>
            </c:strRef>
          </c:tx>
          <c:spPr>
            <a:solidFill>
              <a:srgbClr val="4BACC6"/>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Sayfa1!$F$2:$F$3</c:f>
              <c:numCache>
                <c:formatCode>General</c:formatCode>
                <c:ptCount val="2"/>
                <c:pt idx="0">
                  <c:v>6</c:v>
                </c:pt>
                <c:pt idx="1">
                  <c:v>128</c:v>
                </c:pt>
              </c:numCache>
            </c:numRef>
          </c:val>
        </c:ser>
        <c:ser>
          <c:idx val="5"/>
          <c:order val="5"/>
          <c:tx>
            <c:strRef>
              <c:f>Sayfa1!$G$1</c:f>
              <c:strCache>
                <c:ptCount val="1"/>
                <c:pt idx="0">
                  <c:v>RA-VI</c:v>
                </c:pt>
              </c:strCache>
            </c:strRef>
          </c:tx>
          <c:spPr>
            <a:solidFill>
              <a:srgbClr val="F79646"/>
            </a:solidFill>
            <a:ln w="25653">
              <a:noFill/>
            </a:ln>
          </c:spPr>
          <c:invertIfNegative val="0"/>
          <c:dLbls>
            <c:spPr>
              <a:noFill/>
              <a:ln w="25653">
                <a:noFill/>
              </a:ln>
            </c:spPr>
            <c:txPr>
              <a:bodyPr rot="0" spcFirstLastPara="1" vertOverflow="ellipsis" vert="horz" wrap="square" lIns="38100" tIns="19050" rIns="38100" bIns="19050" anchor="ctr" anchorCtr="1">
                <a:spAutoFit/>
              </a:bodyPr>
              <a:lstStyle/>
              <a:p>
                <a:pPr>
                  <a:defRPr sz="909"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Sayfa1!$A$2:$A$3</c:f>
              <c:strCache>
                <c:ptCount val="2"/>
                <c:pt idx="0">
                  <c:v>Number of
 Members</c:v>
                </c:pt>
                <c:pt idx="1">
                  <c:v>Number of
 Radars</c:v>
                </c:pt>
              </c:strCache>
            </c:strRef>
          </c:cat>
          <c:val>
            <c:numRef>
              <c:f>Sayfa1!$G$2:$G$3</c:f>
              <c:numCache>
                <c:formatCode>General</c:formatCode>
                <c:ptCount val="2"/>
                <c:pt idx="0">
                  <c:v>40</c:v>
                </c:pt>
                <c:pt idx="1">
                  <c:v>305</c:v>
                </c:pt>
              </c:numCache>
            </c:numRef>
          </c:val>
        </c:ser>
        <c:dLbls>
          <c:showLegendKey val="0"/>
          <c:showVal val="1"/>
          <c:showCatName val="0"/>
          <c:showSerName val="0"/>
          <c:showPercent val="0"/>
          <c:showBubbleSize val="0"/>
        </c:dLbls>
        <c:gapWidth val="219"/>
        <c:overlap val="-27"/>
        <c:axId val="-434183104"/>
        <c:axId val="-434188544"/>
      </c:barChart>
      <c:catAx>
        <c:axId val="-434183104"/>
        <c:scaling>
          <c:orientation val="minMax"/>
        </c:scaling>
        <c:delete val="0"/>
        <c:axPos val="b"/>
        <c:numFmt formatCode="General" sourceLinked="1"/>
        <c:majorTickMark val="none"/>
        <c:minorTickMark val="none"/>
        <c:tickLblPos val="nextTo"/>
        <c:spPr>
          <a:noFill/>
          <a:ln w="9620" cap="flat" cmpd="sng" algn="ctr">
            <a:solidFill>
              <a:schemeClr val="tx1">
                <a:lumMod val="15000"/>
                <a:lumOff val="85000"/>
              </a:schemeClr>
            </a:solidFill>
            <a:round/>
          </a:ln>
          <a:effectLst/>
        </c:spPr>
        <c:txPr>
          <a:bodyPr rot="-60000000" spcFirstLastPara="1" vertOverflow="ellipsis" vert="horz" wrap="square" anchor="ctr" anchorCtr="1"/>
          <a:lstStyle/>
          <a:p>
            <a:pPr>
              <a:defRPr sz="909" b="0" i="0" u="none" strike="noStrike" kern="1200" baseline="0">
                <a:solidFill>
                  <a:schemeClr val="tx1">
                    <a:lumMod val="65000"/>
                    <a:lumOff val="35000"/>
                  </a:schemeClr>
                </a:solidFill>
                <a:latin typeface="+mn-lt"/>
                <a:ea typeface="+mn-ea"/>
                <a:cs typeface="+mn-cs"/>
              </a:defRPr>
            </a:pPr>
            <a:endParaRPr lang="tr-TR"/>
          </a:p>
        </c:txPr>
        <c:crossAx val="-434188544"/>
        <c:crosses val="autoZero"/>
        <c:auto val="1"/>
        <c:lblAlgn val="ctr"/>
        <c:lblOffset val="100"/>
        <c:noMultiLvlLbl val="0"/>
      </c:catAx>
      <c:valAx>
        <c:axId val="-434188544"/>
        <c:scaling>
          <c:orientation val="minMax"/>
        </c:scaling>
        <c:delete val="0"/>
        <c:axPos val="l"/>
        <c:majorGridlines>
          <c:spPr>
            <a:ln w="9620" cap="flat" cmpd="sng" algn="ctr">
              <a:solidFill>
                <a:schemeClr val="tx1">
                  <a:lumMod val="15000"/>
                  <a:lumOff val="85000"/>
                </a:schemeClr>
              </a:solidFill>
              <a:round/>
            </a:ln>
            <a:effectLst/>
          </c:spPr>
        </c:majorGridlines>
        <c:numFmt formatCode="General" sourceLinked="1"/>
        <c:majorTickMark val="none"/>
        <c:minorTickMark val="none"/>
        <c:tickLblPos val="nextTo"/>
        <c:spPr>
          <a:ln w="9620">
            <a:noFill/>
          </a:ln>
        </c:spPr>
        <c:txPr>
          <a:bodyPr rot="-60000000" spcFirstLastPara="1" vertOverflow="ellipsis" vert="horz" wrap="square" anchor="ctr" anchorCtr="1"/>
          <a:lstStyle/>
          <a:p>
            <a:pPr>
              <a:defRPr sz="909" b="0" i="0" u="none" strike="noStrike" kern="1200" baseline="0">
                <a:solidFill>
                  <a:schemeClr val="tx1">
                    <a:lumMod val="65000"/>
                    <a:lumOff val="35000"/>
                  </a:schemeClr>
                </a:solidFill>
                <a:latin typeface="+mn-lt"/>
                <a:ea typeface="+mn-ea"/>
                <a:cs typeface="+mn-cs"/>
              </a:defRPr>
            </a:pPr>
            <a:endParaRPr lang="tr-TR"/>
          </a:p>
        </c:txPr>
        <c:crossAx val="-434183104"/>
        <c:crosses val="autoZero"/>
        <c:crossBetween val="between"/>
      </c:valAx>
      <c:spPr>
        <a:noFill/>
        <a:ln w="25653">
          <a:noFill/>
        </a:ln>
      </c:spPr>
    </c:plotArea>
    <c:legend>
      <c:legendPos val="b"/>
      <c:overlay val="0"/>
      <c:spPr>
        <a:noFill/>
        <a:ln w="25653">
          <a:noFill/>
        </a:ln>
      </c:spPr>
      <c:txPr>
        <a:bodyPr rot="0" spcFirstLastPara="1" vertOverflow="ellipsis" vert="horz" wrap="square" anchor="ctr" anchorCtr="1"/>
        <a:lstStyle/>
        <a:p>
          <a:pPr>
            <a:defRPr sz="909"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48099" cap="flat" cmpd="sng" algn="ctr">
      <a:solidFill>
        <a:schemeClr val="accent1">
          <a:alpha val="90000"/>
        </a:schemeClr>
      </a:solidFill>
      <a:round/>
    </a:ln>
    <a:effectLst/>
    <a:scene3d>
      <a:camera prst="orthographicFront"/>
      <a:lightRig rig="threePt" dir="t"/>
    </a:scene3d>
    <a:sp3d>
      <a:bevelT w="50800"/>
      <a:bevelB w="38100"/>
    </a:sp3d>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79" b="1" i="0" u="none" strike="noStrike" kern="1200" baseline="0">
                <a:solidFill>
                  <a:srgbClr val="000000"/>
                </a:solidFill>
                <a:latin typeface="Arial Tur"/>
                <a:ea typeface="Arial Tur"/>
                <a:cs typeface="Arial Tur"/>
              </a:defRPr>
            </a:pPr>
            <a:r>
              <a:rPr lang="tr-TR" sz="1803" b="0" i="0" baseline="0"/>
              <a:t>Distribution of Radar Frequencies</a:t>
            </a:r>
            <a:endParaRPr lang="tr-TR"/>
          </a:p>
          <a:p>
            <a:pPr marL="0" marR="0" indent="0" algn="ctr" defTabSz="914400" rtl="0" eaLnBrk="1" fontAlgn="auto" latinLnBrk="0" hangingPunct="1">
              <a:lnSpc>
                <a:spcPct val="100000"/>
              </a:lnSpc>
              <a:spcBef>
                <a:spcPts val="0"/>
              </a:spcBef>
              <a:spcAft>
                <a:spcPts val="0"/>
              </a:spcAft>
              <a:buClrTx/>
              <a:buSzTx/>
              <a:buFontTx/>
              <a:buNone/>
              <a:tabLst/>
              <a:defRPr sz="979" b="1" i="0" u="none" strike="noStrike" kern="1200" baseline="0">
                <a:solidFill>
                  <a:srgbClr val="000000"/>
                </a:solidFill>
                <a:latin typeface="Arial Tur"/>
                <a:ea typeface="Arial Tur"/>
                <a:cs typeface="Arial Tur"/>
              </a:defRPr>
            </a:pPr>
            <a:endParaRPr lang="tr-TR"/>
          </a:p>
        </c:rich>
      </c:tx>
      <c:layout>
        <c:manualLayout>
          <c:xMode val="edge"/>
          <c:yMode val="edge"/>
          <c:x val="0.18791196175603259"/>
          <c:y val="1.9304737257493165E-2"/>
        </c:manualLayout>
      </c:layout>
      <c:overlay val="0"/>
      <c:spPr>
        <a:noFill/>
        <a:ln w="2545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3.9961523134215554E-2"/>
          <c:y val="0.23010433304377878"/>
          <c:w val="0.66102559383749815"/>
          <c:h val="0.59678872308793574"/>
        </c:manualLayout>
      </c:layout>
      <c:pie3DChart>
        <c:varyColors val="1"/>
        <c:ser>
          <c:idx val="0"/>
          <c:order val="0"/>
          <c:spPr>
            <a:solidFill>
              <a:srgbClr val="9999FF"/>
            </a:solidFill>
            <a:ln w="12725">
              <a:solidFill>
                <a:srgbClr val="000000"/>
              </a:solidFill>
              <a:prstDash val="solid"/>
            </a:ln>
          </c:spPr>
          <c:explosion val="32"/>
          <c:dPt>
            <c:idx val="0"/>
            <c:bubble3D val="0"/>
            <c:spPr>
              <a:pattFill prst="smConfetti">
                <a:fgClr>
                  <a:srgbClr val="FF6600"/>
                </a:fgClr>
                <a:bgClr>
                  <a:srgbClr val="FFFFFF"/>
                </a:bgClr>
              </a:pattFill>
              <a:ln w="12725">
                <a:solidFill>
                  <a:srgbClr val="000000"/>
                </a:solidFill>
                <a:prstDash val="solid"/>
              </a:ln>
            </c:spPr>
          </c:dPt>
          <c:dPt>
            <c:idx val="1"/>
            <c:bubble3D val="0"/>
            <c:explosion val="22"/>
            <c:spPr>
              <a:pattFill prst="pct90">
                <a:fgClr>
                  <a:srgbClr val="FF00FF"/>
                </a:fgClr>
                <a:bgClr>
                  <a:srgbClr val="FFFFFF"/>
                </a:bgClr>
              </a:pattFill>
              <a:ln w="12725">
                <a:solidFill>
                  <a:srgbClr val="000000"/>
                </a:solidFill>
                <a:prstDash val="solid"/>
              </a:ln>
            </c:spPr>
          </c:dPt>
          <c:dPt>
            <c:idx val="2"/>
            <c:bubble3D val="0"/>
            <c:spPr>
              <a:solidFill>
                <a:srgbClr val="00FF00"/>
              </a:solidFill>
              <a:ln w="12725">
                <a:solidFill>
                  <a:srgbClr val="000000"/>
                </a:solidFill>
                <a:prstDash val="solid"/>
              </a:ln>
            </c:spPr>
          </c:dPt>
          <c:dPt>
            <c:idx val="3"/>
            <c:bubble3D val="0"/>
            <c:spPr>
              <a:pattFill prst="dkUpDiag">
                <a:fgClr>
                  <a:srgbClr val="FF0000"/>
                </a:fgClr>
                <a:bgClr>
                  <a:srgbClr val="FFFFFF"/>
                </a:bgClr>
              </a:pattFill>
              <a:ln w="12725">
                <a:solidFill>
                  <a:srgbClr val="000000"/>
                </a:solidFill>
                <a:prstDash val="solid"/>
              </a:ln>
            </c:spPr>
          </c:dPt>
          <c:dLbls>
            <c:dLbl>
              <c:idx val="0"/>
              <c:layout>
                <c:manualLayout>
                  <c:x val="-6.5144210296802854E-2"/>
                  <c:y val="-0.25942646282025639"/>
                </c:manualLayout>
              </c:layout>
              <c:spPr>
                <a:noFill/>
                <a:ln w="25450">
                  <a:noFill/>
                </a:ln>
              </c:spPr>
              <c:txPr>
                <a:bodyPr/>
                <a:lstStyle/>
                <a:p>
                  <a:pPr>
                    <a:defRPr sz="1600" b="1" i="0" u="none" strike="noStrike" baseline="0">
                      <a:solidFill>
                        <a:srgbClr val="000000"/>
                      </a:solidFill>
                      <a:latin typeface="Arial Tur"/>
                      <a:ea typeface="Arial Tur"/>
                      <a:cs typeface="Arial Tur"/>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591485619271413E-3"/>
                  <c:y val="-0.13707138920802159"/>
                </c:manualLayout>
              </c:layout>
              <c:spPr>
                <a:noFill/>
                <a:ln w="25450">
                  <a:noFill/>
                </a:ln>
              </c:spPr>
              <c:txPr>
                <a:bodyPr/>
                <a:lstStyle/>
                <a:p>
                  <a:pPr>
                    <a:defRPr sz="1600" b="1" i="0" u="none" strike="noStrike" baseline="0">
                      <a:solidFill>
                        <a:srgbClr val="000000"/>
                      </a:solidFill>
                      <a:latin typeface="Arial Tur"/>
                      <a:ea typeface="Arial Tur"/>
                      <a:cs typeface="Arial Tur"/>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1874464644798981E-2"/>
                  <c:y val="-8.4127740260225483E-3"/>
                </c:manualLayout>
              </c:layout>
              <c:spPr>
                <a:noFill/>
                <a:ln w="25450">
                  <a:noFill/>
                </a:ln>
              </c:spPr>
              <c:txPr>
                <a:bodyPr/>
                <a:lstStyle/>
                <a:p>
                  <a:pPr>
                    <a:defRPr sz="1600" b="1" i="0" u="none" strike="noStrike" baseline="0">
                      <a:solidFill>
                        <a:srgbClr val="000000"/>
                      </a:solidFill>
                      <a:latin typeface="Arial Tur"/>
                      <a:ea typeface="Arial Tur"/>
                      <a:cs typeface="Arial Tur"/>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5694003550085499E-2"/>
                  <c:y val="-8.3248038879281568E-3"/>
                </c:manualLayout>
              </c:layout>
              <c:spPr>
                <a:noFill/>
                <a:ln w="25450">
                  <a:noFill/>
                </a:ln>
              </c:spPr>
              <c:txPr>
                <a:bodyPr/>
                <a:lstStyle/>
                <a:p>
                  <a:pPr>
                    <a:defRPr sz="1600" b="1" i="0" u="none" strike="noStrike" baseline="0">
                      <a:solidFill>
                        <a:srgbClr val="000000"/>
                      </a:solidFill>
                      <a:latin typeface="Arial Tur"/>
                      <a:ea typeface="Arial Tur"/>
                      <a:cs typeface="Arial Tur"/>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Lst>
            </c:dLbl>
            <c:spPr>
              <a:noFill/>
              <a:ln w="25450">
                <a:noFill/>
              </a:ln>
            </c:spPr>
            <c:txPr>
              <a:bodyPr wrap="square" lIns="38100" tIns="19050" rIns="38100" bIns="19050" anchor="ctr">
                <a:spAutoFit/>
              </a:bodyPr>
              <a:lstStyle/>
              <a:p>
                <a:pPr>
                  <a:defRPr sz="1600" b="1" i="0" u="none" strike="noStrike" baseline="0">
                    <a:solidFill>
                      <a:srgbClr val="000000"/>
                    </a:solidFill>
                    <a:latin typeface="Arial Tur"/>
                    <a:ea typeface="Arial Tur"/>
                    <a:cs typeface="Arial Tur"/>
                  </a:defRPr>
                </a:pPr>
                <a:endParaRPr lang="tr-TR"/>
              </a:p>
            </c:txPr>
            <c:showLegendKey val="0"/>
            <c:showVal val="1"/>
            <c:showCatName val="0"/>
            <c:showSerName val="0"/>
            <c:showPercent val="0"/>
            <c:showBubbleSize val="0"/>
            <c:showLeaderLines val="1"/>
            <c:extLst>
              <c:ext xmlns:c15="http://schemas.microsoft.com/office/drawing/2012/chart" uri="{CE6537A1-D6FC-4f65-9D91-7224C49458BB}"/>
            </c:extLst>
          </c:dLbls>
          <c:cat>
            <c:strRef>
              <c:f>'Distribution Of Radar Frequncie'!$C$8:$F$8</c:f>
              <c:strCache>
                <c:ptCount val="4"/>
                <c:pt idx="0">
                  <c:v>C Band 57%</c:v>
                </c:pt>
                <c:pt idx="1">
                  <c:v>S Band 36%</c:v>
                </c:pt>
                <c:pt idx="2">
                  <c:v>X Band 4%</c:v>
                </c:pt>
                <c:pt idx="3">
                  <c:v>SX Band 3%</c:v>
                </c:pt>
              </c:strCache>
            </c:strRef>
          </c:cat>
          <c:val>
            <c:numRef>
              <c:f>'Distribution Of Radar Frequncie'!$C$9:$F$9</c:f>
              <c:numCache>
                <c:formatCode>0</c:formatCode>
                <c:ptCount val="4"/>
                <c:pt idx="0">
                  <c:v>528</c:v>
                </c:pt>
                <c:pt idx="1">
                  <c:v>335</c:v>
                </c:pt>
                <c:pt idx="2">
                  <c:v>36</c:v>
                </c:pt>
                <c:pt idx="3">
                  <c:v>27</c:v>
                </c:pt>
              </c:numCache>
            </c:numRef>
          </c:val>
        </c:ser>
        <c:dLbls>
          <c:showLegendKey val="0"/>
          <c:showVal val="0"/>
          <c:showCatName val="0"/>
          <c:showSerName val="0"/>
          <c:showPercent val="0"/>
          <c:showBubbleSize val="0"/>
          <c:showLeaderLines val="1"/>
        </c:dLbls>
      </c:pie3DChart>
      <c:spPr>
        <a:noFill/>
        <a:ln w="25400">
          <a:noFill/>
        </a:ln>
      </c:spPr>
    </c:plotArea>
    <c:legend>
      <c:legendPos val="r"/>
      <c:legendEntry>
        <c:idx val="0"/>
        <c:txPr>
          <a:bodyPr/>
          <a:lstStyle/>
          <a:p>
            <a:pPr>
              <a:defRPr sz="1502"/>
            </a:pPr>
            <a:endParaRPr lang="tr-TR"/>
          </a:p>
        </c:txPr>
      </c:legendEntry>
      <c:layout>
        <c:manualLayout>
          <c:xMode val="edge"/>
          <c:yMode val="edge"/>
          <c:x val="0.70527467038239577"/>
          <c:y val="0.20038507424334195"/>
          <c:w val="0.28442995543754024"/>
          <c:h val="0.72342455444817644"/>
        </c:manualLayout>
      </c:layout>
      <c:overlay val="0"/>
      <c:spPr>
        <a:solidFill>
          <a:srgbClr val="FFFFFF"/>
        </a:solidFill>
        <a:ln w="3181">
          <a:solidFill>
            <a:srgbClr val="000000"/>
          </a:solidFill>
          <a:prstDash val="solid"/>
        </a:ln>
      </c:spPr>
      <c:txPr>
        <a:bodyPr/>
        <a:lstStyle/>
        <a:p>
          <a:pPr>
            <a:defRPr sz="1502" b="0" i="0" u="none" strike="noStrike" baseline="0">
              <a:solidFill>
                <a:srgbClr val="000000"/>
              </a:solidFill>
              <a:latin typeface="Arial Tur"/>
              <a:ea typeface="Arial Tur"/>
              <a:cs typeface="Arial Tur"/>
            </a:defRPr>
          </a:pPr>
          <a:endParaRPr lang="tr-TR"/>
        </a:p>
      </c:txPr>
    </c:legend>
    <c:plotVisOnly val="1"/>
    <c:dispBlanksAs val="zero"/>
    <c:showDLblsOverMax val="0"/>
  </c:chart>
  <c:spPr>
    <a:solidFill>
      <a:srgbClr val="CCCCFF"/>
    </a:solidFill>
    <a:ln w="3181">
      <a:solidFill>
        <a:srgbClr val="000000"/>
      </a:solidFill>
      <a:prstDash val="solid"/>
    </a:ln>
  </c:spPr>
  <c:txPr>
    <a:bodyPr/>
    <a:lstStyle/>
    <a:p>
      <a:pPr>
        <a:defRPr sz="800" b="0" i="0" u="none" strike="noStrike" baseline="0">
          <a:solidFill>
            <a:srgbClr val="000000"/>
          </a:solidFill>
          <a:latin typeface="Arial Tur"/>
          <a:ea typeface="Arial Tur"/>
          <a:cs typeface="Arial Tu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YerTutucuMetni"/>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YerTutucuMetni"/>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YerTutucuMetni"/>
            </w:rPr>
            <w:t>[Status]</w:t>
          </w:r>
        </w:p>
      </w:docPartBody>
    </w:docPart>
    <w:docPart>
      <w:docPartPr>
        <w:name w:val="4532020BD05F40D08AB2451687C7B423"/>
        <w:category>
          <w:name w:val="General"/>
          <w:gallery w:val="placeholder"/>
        </w:category>
        <w:types>
          <w:type w:val="bbPlcHdr"/>
        </w:types>
        <w:behaviors>
          <w:behavior w:val="content"/>
        </w:behaviors>
        <w:guid w:val="{435C20A2-8292-4D6B-A05B-B67187A056FC}"/>
      </w:docPartPr>
      <w:docPartBody>
        <w:p w:rsidR="0082771A" w:rsidRDefault="005C6B75">
          <w:pPr>
            <w:pStyle w:val="4532020BD05F40D08AB2451687C7B423"/>
          </w:pPr>
          <w:r w:rsidRPr="00F0761C">
            <w:rPr>
              <w:rStyle w:val="YerTutucuMetni"/>
            </w:rPr>
            <w:t>[Keywords]</w:t>
          </w:r>
        </w:p>
      </w:docPartBody>
    </w:docPart>
    <w:docPart>
      <w:docPartPr>
        <w:name w:val="A9EDB6C449554CC88E818CBF10D2E58B"/>
        <w:category>
          <w:name w:val="General"/>
          <w:gallery w:val="placeholder"/>
        </w:category>
        <w:types>
          <w:type w:val="bbPlcHdr"/>
        </w:types>
        <w:behaviors>
          <w:behavior w:val="content"/>
        </w:behaviors>
        <w:guid w:val="{4B080648-8F7F-4DC3-AED5-287F2963A207}"/>
      </w:docPartPr>
      <w:docPartBody>
        <w:p w:rsidR="0082771A" w:rsidRDefault="005C6B75">
          <w:pPr>
            <w:pStyle w:val="A9EDB6C449554CC88E818CBF10D2E58B"/>
          </w:pPr>
          <w:r w:rsidRPr="00F0761C">
            <w:rPr>
              <w:rStyle w:val="YerTutucuMetni"/>
            </w:rPr>
            <w:t>[Category]</w:t>
          </w:r>
        </w:p>
      </w:docPartBody>
    </w:docPart>
    <w:docPart>
      <w:docPartPr>
        <w:name w:val="5B4941C1474345119813183015639959"/>
        <w:category>
          <w:name w:val="General"/>
          <w:gallery w:val="placeholder"/>
        </w:category>
        <w:types>
          <w:type w:val="bbPlcHdr"/>
        </w:types>
        <w:behaviors>
          <w:behavior w:val="content"/>
        </w:behaviors>
        <w:guid w:val="{821690CD-FED6-4602-A648-19F889B65D03}"/>
      </w:docPartPr>
      <w:docPartBody>
        <w:p w:rsidR="0082771A" w:rsidRDefault="005C6B75">
          <w:pPr>
            <w:pStyle w:val="5B4941C1474345119813183015639959"/>
          </w:pPr>
          <w:r w:rsidRPr="00F0761C">
            <w:rPr>
              <w:rStyle w:val="YerTutucuMetni"/>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YerTutucuMetni"/>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libri">
    <w:panose1 w:val="020F0502020204030204"/>
    <w:charset w:val="A2"/>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A22BE"/>
    <w:rsid w:val="00365010"/>
    <w:rsid w:val="005C6B75"/>
    <w:rsid w:val="00631649"/>
    <w:rsid w:val="00714AC0"/>
    <w:rsid w:val="0082771A"/>
    <w:rsid w:val="00D32A50"/>
    <w:rsid w:val="00D74481"/>
    <w:rsid w:val="00ED09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570F-DF75-416F-A58B-826A5AB2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79</TotalTime>
  <Pages>7</Pages>
  <Words>1492</Words>
  <Characters>8508</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9981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Ercan Büyükbaş, Turkey</dc:creator>
  <cp:keywords>CIMO/OPAG-RST/IPET-OWR-1</cp:keywords>
  <dc:description>Commission for Instruments and Methods of Observation OPAG on Remote-Sensing Technologies</dc:description>
  <cp:lastModifiedBy>pc</cp:lastModifiedBy>
  <cp:revision>10</cp:revision>
  <cp:lastPrinted>2013-03-12T09:27:00Z</cp:lastPrinted>
  <dcterms:created xsi:type="dcterms:W3CDTF">2017-03-13T16:50:00Z</dcterms:created>
  <dcterms:modified xsi:type="dcterms:W3CDTF">2017-03-13T18:54:00Z</dcterms:modified>
  <cp:category>Doc. 5.2(3)</cp:category>
  <cp:contentStatus>DRAFT 1</cp:contentStatus>
</cp:coreProperties>
</file>