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F366BE" w:rsidP="00F366BE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505FF2">
              <w:rPr>
                <w:rFonts w:ascii="Arial" w:hAnsi="Arial"/>
                <w:sz w:val="22"/>
                <w:szCs w:val="22"/>
              </w:rPr>
              <w:t>2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EC3989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C3989">
              <w:rPr>
                <w:rFonts w:ascii="Arial" w:hAnsi="Arial"/>
                <w:sz w:val="22"/>
                <w:szCs w:val="22"/>
              </w:rPr>
              <w:t>5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F257BE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9F05F7" w:rsidRPr="00F257BE">
              <w:rPr>
                <w:rFonts w:ascii="Arial" w:hAnsi="Arial"/>
                <w:sz w:val="22"/>
                <w:szCs w:val="22"/>
              </w:rPr>
              <w:t>1</w:t>
            </w:r>
            <w:r w:rsidR="00EC3989">
              <w:rPr>
                <w:rFonts w:ascii="Arial" w:hAnsi="Arial"/>
                <w:sz w:val="22"/>
                <w:szCs w:val="22"/>
              </w:rPr>
              <w:t>7</w:t>
            </w:r>
            <w:r w:rsidR="009F05F7" w:rsidRPr="00F257BE">
              <w:rPr>
                <w:rFonts w:ascii="Arial" w:hAnsi="Arial"/>
                <w:sz w:val="22"/>
                <w:szCs w:val="22"/>
              </w:rPr>
              <w:t>:</w:t>
            </w:r>
            <w:r w:rsidR="00F257BE" w:rsidRPr="00F257BE">
              <w:rPr>
                <w:rFonts w:ascii="Arial" w:hAnsi="Arial"/>
                <w:sz w:val="22"/>
                <w:szCs w:val="22"/>
              </w:rPr>
              <w:t>0</w:t>
            </w:r>
            <w:r w:rsidR="00E61671" w:rsidRPr="00F257BE">
              <w:rPr>
                <w:rFonts w:ascii="Arial" w:hAnsi="Arial"/>
                <w:sz w:val="22"/>
                <w:szCs w:val="22"/>
              </w:rPr>
              <w:t>0</w:t>
            </w:r>
            <w:r w:rsidR="009B46AE" w:rsidRPr="00F257BE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F257BE">
              <w:rPr>
                <w:rFonts w:ascii="Arial" w:hAnsi="Arial"/>
                <w:sz w:val="22"/>
                <w:szCs w:val="22"/>
              </w:rPr>
              <w:t>(UTC</w:t>
            </w:r>
            <w:r w:rsidR="00526ADA">
              <w:rPr>
                <w:rFonts w:ascii="Arial" w:hAnsi="Arial"/>
                <w:sz w:val="22"/>
                <w:szCs w:val="22"/>
              </w:rPr>
              <w:t>+2</w:t>
            </w:r>
            <w:r w:rsidR="00D305CC" w:rsidRPr="00F257B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Purpose</w:t>
            </w:r>
            <w:proofErr w:type="spellEnd"/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F23289" w:rsidRDefault="00D305CC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A86FC8">
              <w:rPr>
                <w:rFonts w:ascii="Arial" w:hAnsi="Arial"/>
                <w:sz w:val="20"/>
                <w:szCs w:val="20"/>
              </w:rPr>
              <w:t xml:space="preserve">R. </w:t>
            </w:r>
            <w:proofErr w:type="spellStart"/>
            <w:r w:rsidRPr="00A86FC8">
              <w:rPr>
                <w:rFonts w:ascii="Arial" w:hAnsi="Arial"/>
                <w:sz w:val="20"/>
                <w:szCs w:val="20"/>
              </w:rPr>
              <w:t>Nitu</w:t>
            </w:r>
            <w:proofErr w:type="spellEnd"/>
            <w:r w:rsidRPr="00A86FC8">
              <w:rPr>
                <w:rFonts w:ascii="Arial" w:hAnsi="Arial"/>
                <w:sz w:val="20"/>
                <w:szCs w:val="20"/>
              </w:rPr>
              <w:t>,</w:t>
            </w:r>
            <w:r w:rsidRPr="00505FF2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F366BE">
              <w:rPr>
                <w:rFonts w:ascii="Arial" w:hAnsi="Arial"/>
                <w:strike/>
                <w:sz w:val="20"/>
                <w:szCs w:val="20"/>
              </w:rPr>
              <w:t>B. Baker,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</w:t>
            </w:r>
            <w:proofErr w:type="spellStart"/>
            <w:r w:rsidRPr="00661A03">
              <w:rPr>
                <w:rFonts w:ascii="Arial" w:hAnsi="Arial"/>
                <w:strike/>
                <w:sz w:val="20"/>
                <w:szCs w:val="20"/>
              </w:rPr>
              <w:t>Hendrikx</w:t>
            </w:r>
            <w:proofErr w:type="spellEnd"/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, H. Liang, </w:t>
            </w:r>
            <w:r w:rsidRPr="00A86FC8">
              <w:rPr>
                <w:rFonts w:ascii="Arial" w:hAnsi="Arial"/>
                <w:sz w:val="20"/>
                <w:szCs w:val="20"/>
              </w:rPr>
              <w:t xml:space="preserve">Y.-A. Roulet, F. Sabatini,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V. </w:t>
            </w:r>
            <w:proofErr w:type="spellStart"/>
            <w:r w:rsidRPr="00661A03">
              <w:rPr>
                <w:rFonts w:ascii="Arial" w:hAnsi="Arial"/>
                <w:strike/>
                <w:sz w:val="20"/>
                <w:szCs w:val="20"/>
              </w:rPr>
              <w:t>Vuglinsky</w:t>
            </w:r>
            <w:proofErr w:type="spellEnd"/>
          </w:p>
        </w:tc>
        <w:bookmarkStart w:id="0" w:name="_GoBack"/>
        <w:bookmarkEnd w:id="0"/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7C674F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Bilish</w:t>
            </w:r>
            <w:proofErr w:type="spellEnd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(Australia)             </w:t>
            </w:r>
            <w:r w:rsidRPr="007C674F">
              <w:rPr>
                <w:rFonts w:ascii="Arial" w:hAnsi="Arial"/>
                <w:sz w:val="20"/>
                <w:szCs w:val="20"/>
                <w:lang w:val="en-US"/>
              </w:rPr>
              <w:t>C. Smith –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D. Yang </w:t>
            </w:r>
            <w:r w:rsidRPr="007C674F">
              <w:rPr>
                <w:rFonts w:ascii="Arial" w:hAnsi="Arial"/>
                <w:sz w:val="20"/>
                <w:szCs w:val="20"/>
                <w:lang w:val="en-US"/>
              </w:rPr>
              <w:t>(Canada),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br/>
              <w:t xml:space="preserve">S.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MacDonell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(Chile)           </w:t>
            </w:r>
            <w:r w:rsidR="00270829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Morin (France)      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</w:t>
            </w:r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Kontu</w:t>
            </w:r>
            <w:proofErr w:type="spellEnd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(Finland)</w:t>
            </w:r>
          </w:p>
          <w:p w:rsidR="00270829" w:rsidRPr="007C674F" w:rsidRDefault="00270829" w:rsidP="00270829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Diolaiuti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(Italy)                </w:t>
            </w:r>
            <w:r w:rsidR="007D7FDF" w:rsidRPr="007C674F">
              <w:rPr>
                <w:rFonts w:ascii="Arial" w:hAnsi="Arial"/>
                <w:sz w:val="20"/>
                <w:szCs w:val="20"/>
                <w:lang w:val="en-US"/>
              </w:rPr>
              <w:t>S. Nakai,</w:t>
            </w:r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N. </w:t>
            </w:r>
            <w:proofErr w:type="spellStart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Hirasawa</w:t>
            </w:r>
            <w:proofErr w:type="spellEnd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="00D305CC" w:rsidRPr="007C674F">
              <w:rPr>
                <w:rFonts w:ascii="Arial" w:hAnsi="Arial"/>
                <w:sz w:val="20"/>
                <w:szCs w:val="20"/>
                <w:lang w:val="en-US"/>
              </w:rPr>
              <w:t>(Japan)</w:t>
            </w:r>
          </w:p>
          <w:p w:rsidR="00270829" w:rsidRPr="007C674F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IT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S. Han (Rep. Korea)            D. Bocchiola (Nepal)               </w:t>
            </w:r>
          </w:p>
          <w:p w:rsidR="00D305CC" w:rsidRPr="007C674F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IT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C. Zammit (New Zealand)   </w:t>
            </w:r>
            <w:r w:rsidRPr="007C674F">
              <w:rPr>
                <w:rFonts w:ascii="Arial" w:hAnsi="Arial"/>
                <w:sz w:val="20"/>
                <w:szCs w:val="20"/>
                <w:lang w:val="it-IT"/>
              </w:rPr>
              <w:t>M. Wolff (Norway)</w:t>
            </w: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     </w:t>
            </w: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M. Karzynski (Poland)</w:t>
            </w:r>
          </w:p>
          <w:p w:rsidR="00D305CC" w:rsidRPr="00A86FC8" w:rsidRDefault="007D7FDF" w:rsidP="00BD66F6">
            <w:pPr>
              <w:pStyle w:val="TableHeader"/>
              <w:spacing w:after="0"/>
              <w:rPr>
                <w:rFonts w:ascii="Arial" w:hAnsi="Arial"/>
                <w:sz w:val="20"/>
                <w:szCs w:val="20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A. Koldaev – A. Timofeev</w:t>
            </w:r>
            <w:r w:rsidR="00D305CC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(Russian Fed.)        </w:t>
            </w:r>
            <w:r w:rsidR="00270829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</w:t>
            </w:r>
            <w:r w:rsidR="00D305CC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     </w:t>
            </w:r>
            <w:r w:rsidR="00270829" w:rsidRPr="00A86FC8">
              <w:rPr>
                <w:rFonts w:ascii="Arial" w:hAnsi="Arial"/>
                <w:sz w:val="20"/>
                <w:szCs w:val="20"/>
              </w:rPr>
              <w:t xml:space="preserve">S. </w:t>
            </w:r>
            <w:proofErr w:type="spellStart"/>
            <w:r w:rsidR="00270829" w:rsidRPr="00A86FC8">
              <w:rPr>
                <w:rFonts w:ascii="Arial" w:hAnsi="Arial"/>
                <w:sz w:val="20"/>
                <w:szCs w:val="20"/>
              </w:rPr>
              <w:t>Buisan</w:t>
            </w:r>
            <w:proofErr w:type="spellEnd"/>
            <w:r w:rsidR="00270829" w:rsidRPr="00A86FC8">
              <w:rPr>
                <w:rFonts w:ascii="Arial" w:hAnsi="Arial"/>
                <w:sz w:val="20"/>
                <w:szCs w:val="20"/>
              </w:rPr>
              <w:t xml:space="preserve">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A86FC8">
              <w:rPr>
                <w:rFonts w:ascii="Arial" w:hAnsi="Arial"/>
                <w:sz w:val="20"/>
                <w:szCs w:val="20"/>
              </w:rPr>
              <w:t>R. Rasmussen (USA)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         </w:t>
            </w:r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L. Lanza (</w:t>
            </w:r>
            <w:proofErr w:type="spellStart"/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Italy</w:t>
            </w:r>
            <w:proofErr w:type="spellEnd"/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E71C0F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 xml:space="preserve">M. </w:t>
            </w:r>
            <w:proofErr w:type="spellStart"/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>Earle</w:t>
            </w:r>
            <w:proofErr w:type="spellEnd"/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B. </w:t>
            </w:r>
            <w:proofErr w:type="spellStart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>Goodison</w:t>
            </w:r>
            <w:proofErr w:type="spellEnd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H.-R.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Hannula</w:t>
            </w:r>
            <w:proofErr w:type="spellEnd"/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, K.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Iida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A86FC8">
              <w:rPr>
                <w:rFonts w:ascii="Arial" w:hAnsi="Arial"/>
                <w:sz w:val="20"/>
                <w:szCs w:val="20"/>
              </w:rPr>
              <w:t xml:space="preserve">J. </w:t>
            </w:r>
            <w:proofErr w:type="spellStart"/>
            <w:r w:rsidR="00D305CC" w:rsidRPr="00A86FC8">
              <w:rPr>
                <w:rFonts w:ascii="Arial" w:hAnsi="Arial"/>
                <w:sz w:val="20"/>
                <w:szCs w:val="20"/>
              </w:rPr>
              <w:t>Kochendorfer</w:t>
            </w:r>
            <w:proofErr w:type="spellEnd"/>
            <w:r w:rsidR="00D305CC" w:rsidRPr="00A86FC8">
              <w:rPr>
                <w:rFonts w:ascii="Arial" w:hAnsi="Arial"/>
                <w:sz w:val="20"/>
                <w:szCs w:val="20"/>
              </w:rPr>
              <w:t xml:space="preserve">, T. </w:t>
            </w:r>
            <w:proofErr w:type="spellStart"/>
            <w:r w:rsidR="00D305CC" w:rsidRPr="00A86FC8">
              <w:rPr>
                <w:rFonts w:ascii="Arial" w:hAnsi="Arial"/>
                <w:sz w:val="20"/>
                <w:szCs w:val="20"/>
              </w:rPr>
              <w:t>Laine</w:t>
            </w:r>
            <w:proofErr w:type="spellEnd"/>
            <w:r w:rsidR="00D305CC" w:rsidRPr="00A86FC8">
              <w:rPr>
                <w:rFonts w:ascii="Arial" w:hAnsi="Arial"/>
                <w:sz w:val="20"/>
                <w:szCs w:val="20"/>
              </w:rPr>
              <w:t>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S. </w:t>
            </w:r>
            <w:proofErr w:type="spellStart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>Landolt</w:t>
            </w:r>
            <w:proofErr w:type="spellEnd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Gyu</w:t>
            </w:r>
            <w:proofErr w:type="spellEnd"/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-Won Lee, </w:t>
            </w:r>
            <w:r w:rsidRPr="00A86FC8">
              <w:rPr>
                <w:rFonts w:ascii="Arial" w:hAnsi="Arial"/>
                <w:sz w:val="20"/>
                <w:szCs w:val="20"/>
              </w:rPr>
              <w:t xml:space="preserve">L. </w:t>
            </w:r>
            <w:proofErr w:type="spellStart"/>
            <w:r w:rsidRPr="00A86FC8">
              <w:rPr>
                <w:rFonts w:ascii="Arial" w:hAnsi="Arial"/>
                <w:sz w:val="20"/>
                <w:szCs w:val="20"/>
              </w:rPr>
              <w:t>Leppänen</w:t>
            </w:r>
            <w:proofErr w:type="spellEnd"/>
            <w:r w:rsidRPr="00A86FC8">
              <w:rPr>
                <w:rFonts w:ascii="Arial" w:hAnsi="Arial"/>
                <w:sz w:val="20"/>
                <w:szCs w:val="20"/>
              </w:rPr>
              <w:t xml:space="preserve">, E. </w:t>
            </w:r>
            <w:proofErr w:type="spellStart"/>
            <w:r w:rsidRPr="00A86FC8">
              <w:rPr>
                <w:rFonts w:ascii="Arial" w:hAnsi="Arial"/>
                <w:sz w:val="20"/>
                <w:szCs w:val="20"/>
              </w:rPr>
              <w:t>Mekis</w:t>
            </w:r>
            <w:proofErr w:type="spellEnd"/>
            <w:r w:rsidRPr="00A86FC8">
              <w:rPr>
                <w:rFonts w:ascii="Arial" w:hAnsi="Arial"/>
                <w:sz w:val="20"/>
                <w:szCs w:val="20"/>
              </w:rPr>
              <w:t xml:space="preserve">, </w:t>
            </w:r>
            <w:r w:rsidR="00D305CC" w:rsidRPr="00A86FC8">
              <w:rPr>
                <w:rFonts w:ascii="Arial" w:hAnsi="Arial"/>
                <w:sz w:val="20"/>
                <w:szCs w:val="20"/>
              </w:rPr>
              <w:t>A. Reverdin,</w:t>
            </w:r>
            <w:r w:rsidR="00D305CC" w:rsidRPr="009D1315">
              <w:rPr>
                <w:rFonts w:ascii="Arial" w:hAnsi="Arial"/>
                <w:sz w:val="20"/>
                <w:szCs w:val="20"/>
              </w:rPr>
              <w:t xml:space="preserve"> </w:t>
            </w:r>
            <w:r w:rsidRPr="009D1315">
              <w:rPr>
                <w:rFonts w:ascii="Arial" w:hAnsi="Arial"/>
                <w:sz w:val="20"/>
                <w:szCs w:val="20"/>
              </w:rPr>
              <w:t>I.</w:t>
            </w:r>
            <w:r w:rsidRPr="00EB055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B0552">
              <w:rPr>
                <w:rFonts w:ascii="Arial" w:hAnsi="Arial"/>
                <w:sz w:val="20"/>
                <w:szCs w:val="20"/>
              </w:rPr>
              <w:t>Rüedi</w:t>
            </w:r>
            <w:proofErr w:type="spellEnd"/>
            <w:r w:rsidRPr="00EB0552">
              <w:rPr>
                <w:rFonts w:ascii="Arial" w:hAnsi="Arial"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 w:rsidRPr="00505FF2">
              <w:rPr>
                <w:rFonts w:ascii="Arial" w:hAnsi="Arial"/>
                <w:strike/>
                <w:sz w:val="20"/>
                <w:szCs w:val="20"/>
              </w:rPr>
              <w:t xml:space="preserve">. </w:t>
            </w:r>
            <w:proofErr w:type="spellStart"/>
            <w:r w:rsidRPr="00505FF2">
              <w:rPr>
                <w:rFonts w:ascii="Arial" w:hAnsi="Arial"/>
                <w:strike/>
                <w:sz w:val="20"/>
                <w:szCs w:val="20"/>
              </w:rPr>
              <w:t>Senese</w:t>
            </w:r>
            <w:proofErr w:type="spellEnd"/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A. </w:t>
            </w:r>
            <w:proofErr w:type="spellStart"/>
            <w:r w:rsidRPr="00661A03">
              <w:rPr>
                <w:rFonts w:ascii="Arial" w:hAnsi="Arial"/>
                <w:strike/>
                <w:sz w:val="20"/>
                <w:szCs w:val="20"/>
              </w:rPr>
              <w:t>Umehara</w:t>
            </w:r>
            <w:proofErr w:type="spellEnd"/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</w:t>
            </w:r>
            <w:proofErr w:type="spellStart"/>
            <w:r w:rsidRPr="008A4986">
              <w:rPr>
                <w:rFonts w:ascii="Arial" w:hAnsi="Arial"/>
                <w:strike/>
                <w:sz w:val="20"/>
                <w:szCs w:val="20"/>
              </w:rPr>
              <w:t>Vuerich</w:t>
            </w:r>
            <w:proofErr w:type="spellEnd"/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1A01C3" w:rsidRPr="00886EE0">
              <w:rPr>
                <w:rFonts w:ascii="Arial" w:hAnsi="Arial"/>
                <w:strike/>
                <w:sz w:val="20"/>
                <w:szCs w:val="20"/>
              </w:rPr>
              <w:t>Kai Wong</w:t>
            </w:r>
            <w:r w:rsidR="001A1CE7" w:rsidRPr="00886EE0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 xml:space="preserve"> J. </w:t>
            </w:r>
            <w:proofErr w:type="spellStart"/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Thériault</w:t>
            </w:r>
            <w:proofErr w:type="spellEnd"/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, P. Joe</w:t>
            </w:r>
            <w:r w:rsidR="00505FF2" w:rsidRPr="00F366BE">
              <w:rPr>
                <w:rFonts w:ascii="Arial" w:hAnsi="Arial"/>
                <w:strike/>
                <w:sz w:val="20"/>
                <w:szCs w:val="20"/>
              </w:rPr>
              <w:t>, Ingrid Senn</w:t>
            </w:r>
          </w:p>
        </w:tc>
      </w:tr>
      <w:tr w:rsidR="00D305CC" w:rsidRPr="00CB5A92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505FF2" w:rsidP="00505FF2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Y.-A. Roulet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EB0552" w:rsidP="00EB0552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Rüedi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6096"/>
        <w:gridCol w:w="1275"/>
        <w:gridCol w:w="993"/>
      </w:tblGrid>
      <w:tr w:rsidR="00D305CC" w:rsidRPr="00560BCA" w:rsidTr="008C01D8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6096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D4103F" w:rsidTr="008C01D8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A86FC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D4103F" w:rsidRDefault="00F0356C" w:rsidP="00D4103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Presentation of draft </w:t>
            </w:r>
            <w:r w:rsidR="00A86FC8">
              <w:rPr>
                <w:rFonts w:ascii="Arial" w:hAnsi="Arial" w:cs="Arial"/>
                <w:color w:val="222222"/>
                <w:lang w:val="en-US" w:eastAsia="zh-TW"/>
              </w:rPr>
              <w:t>Capping-section of Final Report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br/>
              <w:t>(During SPICE meeting in Davos, it was agreed that capping would be removed after 24 hours</w:t>
            </w:r>
            <w:r w:rsidR="00583700">
              <w:rPr>
                <w:rFonts w:ascii="Arial" w:hAnsi="Arial" w:cs="Arial"/>
                <w:color w:val="222222"/>
                <w:lang w:val="en-US" w:eastAsia="zh-TW"/>
              </w:rPr>
              <w:t xml:space="preserve"> for instrument under test, and as soon as possible for reference instruments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.</w:t>
            </w:r>
            <w:r w:rsidR="008D2224">
              <w:rPr>
                <w:rFonts w:ascii="Arial" w:hAnsi="Arial" w:cs="Arial"/>
                <w:color w:val="222222"/>
                <w:lang w:val="en-US" w:eastAsia="zh-TW"/>
              </w:rPr>
              <w:t xml:space="preserve"> This was not necessarily done everywhere because of available</w:t>
            </w:r>
            <w:r w:rsidR="0078601B">
              <w:rPr>
                <w:rFonts w:ascii="Arial" w:hAnsi="Arial" w:cs="Arial"/>
                <w:color w:val="222222"/>
                <w:lang w:val="en-US" w:eastAsia="zh-TW"/>
              </w:rPr>
              <w:t xml:space="preserve"> human resources</w:t>
            </w:r>
            <w:r w:rsidR="00583700">
              <w:rPr>
                <w:rFonts w:ascii="Arial" w:hAnsi="Arial" w:cs="Arial"/>
                <w:color w:val="222222"/>
                <w:lang w:val="en-US" w:eastAsia="zh-TW"/>
              </w:rPr>
              <w:t xml:space="preserve"> and/or detection ability</w:t>
            </w:r>
            <w:r w:rsidR="008D2224">
              <w:rPr>
                <w:rFonts w:ascii="Arial" w:hAnsi="Arial" w:cs="Arial"/>
                <w:color w:val="222222"/>
                <w:lang w:val="en-US" w:eastAsia="zh-TW"/>
              </w:rPr>
              <w:t>.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)</w:t>
            </w:r>
          </w:p>
          <w:p w:rsidR="008D2224" w:rsidRDefault="008D2224" w:rsidP="00D4103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It appears that less capping occurs on the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gauge than on the Pluvio</w:t>
            </w:r>
            <w:r w:rsidRPr="008D2224">
              <w:rPr>
                <w:rFonts w:ascii="Arial" w:hAnsi="Arial" w:cs="Arial"/>
                <w:color w:val="222222"/>
                <w:vertAlign w:val="superscript"/>
                <w:lang w:val="en-US" w:eastAsia="zh-TW"/>
              </w:rPr>
              <w:t>2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gauge.</w:t>
            </w:r>
          </w:p>
        </w:tc>
        <w:tc>
          <w:tcPr>
            <w:tcW w:w="1275" w:type="dxa"/>
          </w:tcPr>
          <w:p w:rsidR="009B46AE" w:rsidRDefault="00A86FC8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</w:t>
            </w:r>
          </w:p>
        </w:tc>
        <w:tc>
          <w:tcPr>
            <w:tcW w:w="993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40343" w:rsidRPr="00F2076D" w:rsidTr="008C01D8">
        <w:trPr>
          <w:cantSplit/>
        </w:trPr>
        <w:tc>
          <w:tcPr>
            <w:tcW w:w="710" w:type="dxa"/>
          </w:tcPr>
          <w:p w:rsidR="00340343" w:rsidRDefault="0034034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340343" w:rsidRDefault="008D2224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340343" w:rsidRDefault="008D2224" w:rsidP="00340343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Will identify capping events from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Sodankyla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with Anna and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m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municate them to Samuel.</w:t>
            </w:r>
          </w:p>
        </w:tc>
        <w:tc>
          <w:tcPr>
            <w:tcW w:w="1275" w:type="dxa"/>
          </w:tcPr>
          <w:p w:rsidR="00340343" w:rsidRDefault="008D2224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Timo</w:t>
            </w:r>
            <w:proofErr w:type="spellEnd"/>
          </w:p>
        </w:tc>
        <w:tc>
          <w:tcPr>
            <w:tcW w:w="993" w:type="dxa"/>
          </w:tcPr>
          <w:p w:rsidR="00340343" w:rsidRDefault="008D2224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22 May</w:t>
            </w:r>
          </w:p>
        </w:tc>
      </w:tr>
      <w:tr w:rsidR="008D2224" w:rsidRPr="00CB5A92" w:rsidTr="008C01D8">
        <w:trPr>
          <w:cantSplit/>
        </w:trPr>
        <w:tc>
          <w:tcPr>
            <w:tcW w:w="710" w:type="dxa"/>
          </w:tcPr>
          <w:p w:rsidR="008D2224" w:rsidRDefault="008D222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8D2224" w:rsidRDefault="00EC3989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I/D</w:t>
            </w:r>
          </w:p>
        </w:tc>
        <w:tc>
          <w:tcPr>
            <w:tcW w:w="6096" w:type="dxa"/>
          </w:tcPr>
          <w:p w:rsidR="008D2224" w:rsidRDefault="00EC3989" w:rsidP="008411B1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Examples of cases using heating strategies/configuration that are different to those used in SPICE were presented. It was agreed that such examples could be mentioned</w:t>
            </w:r>
            <w:r w:rsidR="002806A4">
              <w:rPr>
                <w:rFonts w:ascii="Arial" w:hAnsi="Arial" w:cs="Arial"/>
                <w:color w:val="222222"/>
                <w:lang w:val="en-US" w:eastAsia="zh-TW"/>
              </w:rPr>
              <w:t xml:space="preserve"> in the report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, so that rea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d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ers are aware of undergoing studies and have a chance to liaise with NMHSs conducting those studies in the future.</w:t>
            </w:r>
          </w:p>
        </w:tc>
        <w:tc>
          <w:tcPr>
            <w:tcW w:w="1275" w:type="dxa"/>
          </w:tcPr>
          <w:p w:rsidR="008D2224" w:rsidRDefault="008D2224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8D2224" w:rsidRDefault="008D2224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EC3989" w:rsidRPr="00F2076D" w:rsidTr="008C01D8">
        <w:trPr>
          <w:cantSplit/>
        </w:trPr>
        <w:tc>
          <w:tcPr>
            <w:tcW w:w="710" w:type="dxa"/>
          </w:tcPr>
          <w:p w:rsidR="00EC3989" w:rsidRDefault="00EC398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EC3989" w:rsidRDefault="00EC3989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6096" w:type="dxa"/>
          </w:tcPr>
          <w:p w:rsidR="00EC3989" w:rsidRDefault="00EC3989" w:rsidP="00EC39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GB" w:eastAsia="zh-TW"/>
              </w:rPr>
              <w:t>It was agreed that it would be appropriate to present the different behaviours of different gauges due to their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geom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tries/configurations/heating when they are collocated</w:t>
            </w:r>
            <w:r w:rsidR="00583700">
              <w:rPr>
                <w:rFonts w:ascii="Arial" w:hAnsi="Arial" w:cs="Arial"/>
                <w:color w:val="222222"/>
                <w:lang w:val="en-US" w:eastAsia="zh-TW"/>
              </w:rPr>
              <w:t xml:space="preserve"> and in the same configuration (especially shielding, since wind has an impact on capping)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275" w:type="dxa"/>
          </w:tcPr>
          <w:p w:rsidR="00EC3989" w:rsidRDefault="00EC3989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</w:t>
            </w:r>
          </w:p>
        </w:tc>
        <w:tc>
          <w:tcPr>
            <w:tcW w:w="993" w:type="dxa"/>
          </w:tcPr>
          <w:p w:rsidR="00EC3989" w:rsidRDefault="00CB5A92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 June</w:t>
            </w:r>
          </w:p>
        </w:tc>
      </w:tr>
      <w:tr w:rsidR="00EC3989" w:rsidRPr="008C01D8" w:rsidTr="008C01D8">
        <w:trPr>
          <w:cantSplit/>
        </w:trPr>
        <w:tc>
          <w:tcPr>
            <w:tcW w:w="710" w:type="dxa"/>
          </w:tcPr>
          <w:p w:rsidR="00EC3989" w:rsidRDefault="00EC398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EC3989" w:rsidRDefault="000E5EDD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EC3989" w:rsidRDefault="000E5EDD" w:rsidP="0078601B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Tested ETI </w:t>
            </w:r>
            <w:r w:rsidR="0078601B">
              <w:rPr>
                <w:rFonts w:ascii="Arial" w:hAnsi="Arial" w:cs="Arial"/>
                <w:color w:val="222222"/>
                <w:lang w:val="en-US" w:eastAsia="zh-TW"/>
              </w:rPr>
              <w:t xml:space="preserve">gauge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that is a cylinder. Capping did not occur outside, but inside the gauge. </w:t>
            </w:r>
            <w:r w:rsidR="0078601B">
              <w:rPr>
                <w:rFonts w:ascii="Arial" w:hAnsi="Arial" w:cs="Arial"/>
                <w:color w:val="222222"/>
                <w:lang w:val="en-US" w:eastAsia="zh-TW"/>
              </w:rPr>
              <w:t>Heating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seems to be the solution for most situations, where sufficient power is available.</w:t>
            </w:r>
          </w:p>
        </w:tc>
        <w:tc>
          <w:tcPr>
            <w:tcW w:w="1275" w:type="dxa"/>
          </w:tcPr>
          <w:p w:rsidR="00EC3989" w:rsidRDefault="000E5EDD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993" w:type="dxa"/>
          </w:tcPr>
          <w:p w:rsidR="00EC3989" w:rsidRDefault="00EC3989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583700" w:rsidRPr="00583700" w:rsidTr="008C01D8">
        <w:trPr>
          <w:cantSplit/>
        </w:trPr>
        <w:tc>
          <w:tcPr>
            <w:tcW w:w="710" w:type="dxa"/>
          </w:tcPr>
          <w:p w:rsidR="00583700" w:rsidRDefault="0058370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583700" w:rsidRDefault="00583700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583700" w:rsidRDefault="00583700" w:rsidP="0078601B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Ask Korea and/or Japan sites for capping events examples, since they represent coastal climate, with wet heavy snow characteristics (high potential for capping)</w:t>
            </w:r>
          </w:p>
        </w:tc>
        <w:tc>
          <w:tcPr>
            <w:tcW w:w="1275" w:type="dxa"/>
          </w:tcPr>
          <w:p w:rsidR="00583700" w:rsidRDefault="00CB5A92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</w:t>
            </w:r>
          </w:p>
        </w:tc>
        <w:tc>
          <w:tcPr>
            <w:tcW w:w="993" w:type="dxa"/>
          </w:tcPr>
          <w:p w:rsidR="00583700" w:rsidRDefault="00CB5A92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May</w:t>
            </w:r>
          </w:p>
        </w:tc>
      </w:tr>
      <w:tr w:rsidR="00583700" w:rsidRPr="00CB5A92" w:rsidTr="008C01D8">
        <w:trPr>
          <w:cantSplit/>
        </w:trPr>
        <w:tc>
          <w:tcPr>
            <w:tcW w:w="710" w:type="dxa"/>
          </w:tcPr>
          <w:p w:rsidR="00583700" w:rsidRDefault="0058370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583700" w:rsidRDefault="00583700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583700" w:rsidRDefault="00583700" w:rsidP="0078601B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Address the issue of partial capping, which is much more tricky than total capping (not detectable in the data)</w:t>
            </w:r>
          </w:p>
        </w:tc>
        <w:tc>
          <w:tcPr>
            <w:tcW w:w="1275" w:type="dxa"/>
          </w:tcPr>
          <w:p w:rsidR="00583700" w:rsidRDefault="00CB5A92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</w:t>
            </w:r>
          </w:p>
        </w:tc>
        <w:tc>
          <w:tcPr>
            <w:tcW w:w="993" w:type="dxa"/>
          </w:tcPr>
          <w:p w:rsidR="00583700" w:rsidRDefault="00CB5A92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 June</w:t>
            </w:r>
          </w:p>
        </w:tc>
      </w:tr>
      <w:tr w:rsidR="000E5EDD" w:rsidRPr="008C01D8" w:rsidTr="008C01D8">
        <w:trPr>
          <w:cantSplit/>
        </w:trPr>
        <w:tc>
          <w:tcPr>
            <w:tcW w:w="710" w:type="dxa"/>
          </w:tcPr>
          <w:p w:rsidR="000E5EDD" w:rsidRDefault="0058370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0E5EDD" w:rsidRDefault="000E5EDD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0E5EDD" w:rsidRDefault="009117EF" w:rsidP="009117E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Presentation on the draft outline of Chapter 3 on </w:t>
            </w:r>
            <w:r w:rsidR="000E5EDD" w:rsidRPr="00A86FC8">
              <w:rPr>
                <w:rFonts w:ascii="Arial" w:hAnsi="Arial" w:cs="Arial"/>
                <w:color w:val="222222"/>
                <w:lang w:val="en-US" w:eastAsia="zh-TW"/>
              </w:rPr>
              <w:t xml:space="preserve">Site description,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as well as suggested tables it would include.</w:t>
            </w:r>
          </w:p>
        </w:tc>
        <w:tc>
          <w:tcPr>
            <w:tcW w:w="1275" w:type="dxa"/>
          </w:tcPr>
          <w:p w:rsidR="000E5EDD" w:rsidRDefault="000E5EDD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Francesco</w:t>
            </w:r>
          </w:p>
        </w:tc>
        <w:tc>
          <w:tcPr>
            <w:tcW w:w="993" w:type="dxa"/>
          </w:tcPr>
          <w:p w:rsidR="000E5EDD" w:rsidRDefault="000E5EDD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9A3987" w:rsidRPr="00CB5A92" w:rsidTr="008C01D8">
        <w:trPr>
          <w:cantSplit/>
        </w:trPr>
        <w:tc>
          <w:tcPr>
            <w:tcW w:w="710" w:type="dxa"/>
          </w:tcPr>
          <w:p w:rsidR="009A3987" w:rsidRDefault="0058370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8</w:t>
            </w:r>
          </w:p>
        </w:tc>
        <w:tc>
          <w:tcPr>
            <w:tcW w:w="708" w:type="dxa"/>
          </w:tcPr>
          <w:p w:rsidR="009A3987" w:rsidRDefault="009A3987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6096" w:type="dxa"/>
          </w:tcPr>
          <w:p w:rsidR="00BE757D" w:rsidRDefault="00BE757D" w:rsidP="009117E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General agreement with the chapter proposal from Francesco. There might be a need to streamline </w:t>
            </w:r>
            <w:r w:rsidR="0078601B">
              <w:rPr>
                <w:rFonts w:ascii="Arial" w:hAnsi="Arial" w:cs="Arial"/>
                <w:color w:val="222222"/>
                <w:lang w:val="en-US" w:eastAsia="zh-TW"/>
              </w:rPr>
              <w:t xml:space="preserve">some of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the information if it becomes too big.</w:t>
            </w:r>
          </w:p>
          <w:p w:rsidR="00BE757D" w:rsidRDefault="009A3987" w:rsidP="00BE757D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Site climatology: in view of time, focus on the 2 SPICE seasons.</w:t>
            </w:r>
          </w:p>
        </w:tc>
        <w:tc>
          <w:tcPr>
            <w:tcW w:w="1275" w:type="dxa"/>
          </w:tcPr>
          <w:p w:rsidR="009A3987" w:rsidRDefault="009A3987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A3987" w:rsidRDefault="009A3987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E757D" w:rsidRPr="008C01D8" w:rsidTr="008C01D8">
        <w:trPr>
          <w:cantSplit/>
        </w:trPr>
        <w:tc>
          <w:tcPr>
            <w:tcW w:w="710" w:type="dxa"/>
          </w:tcPr>
          <w:p w:rsidR="00BE757D" w:rsidRDefault="0058370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E757D" w:rsidRDefault="00BE757D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BE757D" w:rsidRDefault="00BE757D" w:rsidP="009117E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Contact each site manager towards collecting the information mis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ing from their site</w:t>
            </w:r>
            <w:r w:rsidR="0078601B">
              <w:rPr>
                <w:rFonts w:ascii="Arial" w:hAnsi="Arial" w:cs="Arial"/>
                <w:color w:val="222222"/>
                <w:lang w:val="en-US" w:eastAsia="zh-TW"/>
              </w:rPr>
              <w:t xml:space="preserve"> for chapter 3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275" w:type="dxa"/>
          </w:tcPr>
          <w:p w:rsidR="00BE757D" w:rsidRDefault="00BE757D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Francesco</w:t>
            </w:r>
          </w:p>
        </w:tc>
        <w:tc>
          <w:tcPr>
            <w:tcW w:w="993" w:type="dxa"/>
          </w:tcPr>
          <w:p w:rsidR="00BE757D" w:rsidRDefault="00BE757D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May</w:t>
            </w:r>
          </w:p>
        </w:tc>
      </w:tr>
      <w:tr w:rsidR="00BE757D" w:rsidRPr="008C01D8" w:rsidTr="008C01D8">
        <w:trPr>
          <w:cantSplit/>
        </w:trPr>
        <w:tc>
          <w:tcPr>
            <w:tcW w:w="710" w:type="dxa"/>
          </w:tcPr>
          <w:p w:rsidR="00BE757D" w:rsidRDefault="0058370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BE757D" w:rsidRDefault="00BE757D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BE757D" w:rsidRDefault="00BE757D" w:rsidP="009117E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Assess the need for a SPICE meeting in connection with TECO-2016.</w:t>
            </w:r>
          </w:p>
        </w:tc>
        <w:tc>
          <w:tcPr>
            <w:tcW w:w="1275" w:type="dxa"/>
          </w:tcPr>
          <w:p w:rsidR="00BE757D" w:rsidRDefault="00BE757D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993" w:type="dxa"/>
          </w:tcPr>
          <w:p w:rsidR="00BE757D" w:rsidRDefault="00BE757D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 May</w:t>
            </w:r>
          </w:p>
        </w:tc>
      </w:tr>
      <w:tr w:rsidR="000E5EDD" w:rsidRPr="00CB5A92" w:rsidTr="008C01D8">
        <w:trPr>
          <w:cantSplit/>
        </w:trPr>
        <w:tc>
          <w:tcPr>
            <w:tcW w:w="710" w:type="dxa"/>
          </w:tcPr>
          <w:p w:rsidR="000E5EDD" w:rsidRPr="001D0402" w:rsidRDefault="00BE757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br/>
            </w:r>
          </w:p>
        </w:tc>
        <w:tc>
          <w:tcPr>
            <w:tcW w:w="708" w:type="dxa"/>
          </w:tcPr>
          <w:p w:rsidR="000E5EDD" w:rsidRDefault="000E5EDD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6096" w:type="dxa"/>
          </w:tcPr>
          <w:p w:rsidR="000E5EDD" w:rsidRPr="00D95F28" w:rsidRDefault="000E5EDD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 xml:space="preserve">For </w:t>
            </w:r>
            <w:r w:rsidRPr="00D95F28">
              <w:rPr>
                <w:rFonts w:ascii="Arial" w:hAnsi="Arial"/>
                <w:b/>
                <w:sz w:val="20"/>
                <w:lang w:val="en-GB"/>
              </w:rPr>
              <w:t>next teleconference(s)</w:t>
            </w:r>
            <w:r w:rsidRPr="00D95F28">
              <w:rPr>
                <w:rFonts w:ascii="Arial" w:hAnsi="Arial"/>
                <w:sz w:val="20"/>
                <w:lang w:val="en-GB"/>
              </w:rPr>
              <w:t>:</w:t>
            </w:r>
          </w:p>
          <w:p w:rsidR="000E5EDD" w:rsidRDefault="000E5EDD" w:rsidP="00583700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19</w:t>
            </w:r>
            <w:r w:rsidRPr="00D95F28">
              <w:rPr>
                <w:rFonts w:ascii="Arial" w:hAnsi="Arial" w:cs="Arial"/>
                <w:color w:val="222222"/>
                <w:lang w:val="en-US" w:eastAsia="zh-TW"/>
              </w:rPr>
              <w:t xml:space="preserve"> May: </w:t>
            </w:r>
            <w:r w:rsidR="00583700">
              <w:rPr>
                <w:rFonts w:ascii="Arial" w:hAnsi="Arial" w:cs="Arial"/>
                <w:color w:val="222222"/>
                <w:lang w:val="en-US" w:eastAsia="zh-TW"/>
              </w:rPr>
              <w:t xml:space="preserve">Non-catchment type instruments </w:t>
            </w:r>
            <w:r w:rsidR="00BE757D">
              <w:rPr>
                <w:rFonts w:ascii="Arial" w:hAnsi="Arial" w:cs="Arial"/>
                <w:color w:val="222222"/>
                <w:lang w:val="en-US" w:eastAsia="zh-TW"/>
              </w:rPr>
              <w:t xml:space="preserve">+ plans for SPICE activities in connection with TECO-2016            </w:t>
            </w:r>
          </w:p>
        </w:tc>
        <w:tc>
          <w:tcPr>
            <w:tcW w:w="1275" w:type="dxa"/>
          </w:tcPr>
          <w:p w:rsidR="000E5EDD" w:rsidRDefault="000E5EDD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0E5EDD" w:rsidRDefault="000E5EDD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8C01D8" w:rsidRPr="007C674F" w:rsidRDefault="008C01D8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US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99" w:rsidRDefault="004B1C99">
      <w:r>
        <w:separator/>
      </w:r>
    </w:p>
  </w:endnote>
  <w:endnote w:type="continuationSeparator" w:id="0">
    <w:p w:rsidR="004B1C99" w:rsidRDefault="004B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7C674F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of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7C674F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99" w:rsidRDefault="004B1C99">
      <w:r>
        <w:separator/>
      </w:r>
    </w:p>
  </w:footnote>
  <w:footnote w:type="continuationSeparator" w:id="0">
    <w:p w:rsidR="004B1C99" w:rsidRDefault="004B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proofErr w:type="spellStart"/>
          <w:r w:rsidRPr="00044752">
            <w:rPr>
              <w:rFonts w:ascii="Arial" w:hAnsi="Arial"/>
              <w:sz w:val="24"/>
              <w:szCs w:val="24"/>
            </w:rPr>
            <w:t>Teleconference</w:t>
          </w:r>
          <w:proofErr w:type="spellEnd"/>
          <w:r w:rsidRPr="00044752">
            <w:rPr>
              <w:rFonts w:ascii="Arial" w:hAnsi="Arial"/>
              <w:sz w:val="24"/>
              <w:szCs w:val="24"/>
            </w:rPr>
            <w:t xml:space="preserve"> </w:t>
          </w:r>
          <w:proofErr w:type="spellStart"/>
          <w:r w:rsidRPr="00044752">
            <w:rPr>
              <w:rFonts w:ascii="Arial" w:hAnsi="Arial"/>
              <w:sz w:val="24"/>
              <w:szCs w:val="24"/>
            </w:rPr>
            <w:t>Minutes</w:t>
          </w:r>
          <w:proofErr w:type="spellEnd"/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B2994"/>
    <w:multiLevelType w:val="hybridMultilevel"/>
    <w:tmpl w:val="ABEAE3E6"/>
    <w:lvl w:ilvl="0" w:tplc="7D98C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2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A1088"/>
    <w:multiLevelType w:val="hybridMultilevel"/>
    <w:tmpl w:val="BC0E0872"/>
    <w:lvl w:ilvl="0" w:tplc="3A50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11"/>
  </w:num>
  <w:num w:numId="13">
    <w:abstractNumId w:val="32"/>
  </w:num>
  <w:num w:numId="14">
    <w:abstractNumId w:val="34"/>
  </w:num>
  <w:num w:numId="15">
    <w:abstractNumId w:val="22"/>
  </w:num>
  <w:num w:numId="16">
    <w:abstractNumId w:val="27"/>
  </w:num>
  <w:num w:numId="17">
    <w:abstractNumId w:val="18"/>
  </w:num>
  <w:num w:numId="18">
    <w:abstractNumId w:val="12"/>
  </w:num>
  <w:num w:numId="19">
    <w:abstractNumId w:val="39"/>
  </w:num>
  <w:num w:numId="20">
    <w:abstractNumId w:val="35"/>
  </w:num>
  <w:num w:numId="21">
    <w:abstractNumId w:val="20"/>
  </w:num>
  <w:num w:numId="22">
    <w:abstractNumId w:val="43"/>
  </w:num>
  <w:num w:numId="23">
    <w:abstractNumId w:val="13"/>
  </w:num>
  <w:num w:numId="24">
    <w:abstractNumId w:val="14"/>
  </w:num>
  <w:num w:numId="25">
    <w:abstractNumId w:val="37"/>
  </w:num>
  <w:num w:numId="26">
    <w:abstractNumId w:val="24"/>
  </w:num>
  <w:num w:numId="27">
    <w:abstractNumId w:val="29"/>
  </w:num>
  <w:num w:numId="28">
    <w:abstractNumId w:val="28"/>
  </w:num>
  <w:num w:numId="29">
    <w:abstractNumId w:val="23"/>
  </w:num>
  <w:num w:numId="30">
    <w:abstractNumId w:val="21"/>
  </w:num>
  <w:num w:numId="31">
    <w:abstractNumId w:val="15"/>
  </w:num>
  <w:num w:numId="32">
    <w:abstractNumId w:val="36"/>
  </w:num>
  <w:num w:numId="33">
    <w:abstractNumId w:val="40"/>
  </w:num>
  <w:num w:numId="34">
    <w:abstractNumId w:val="44"/>
  </w:num>
  <w:num w:numId="35">
    <w:abstractNumId w:val="17"/>
  </w:num>
  <w:num w:numId="36">
    <w:abstractNumId w:val="33"/>
  </w:num>
  <w:num w:numId="37">
    <w:abstractNumId w:val="16"/>
  </w:num>
  <w:num w:numId="38">
    <w:abstractNumId w:val="31"/>
  </w:num>
  <w:num w:numId="39">
    <w:abstractNumId w:val="25"/>
  </w:num>
  <w:num w:numId="40">
    <w:abstractNumId w:val="19"/>
  </w:num>
  <w:num w:numId="41">
    <w:abstractNumId w:val="30"/>
  </w:num>
  <w:num w:numId="42">
    <w:abstractNumId w:val="42"/>
  </w:num>
  <w:num w:numId="43">
    <w:abstractNumId w:val="26"/>
  </w:num>
  <w:num w:numId="44">
    <w:abstractNumId w:val="10"/>
  </w:num>
  <w:num w:numId="45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06F93"/>
    <w:rsid w:val="0001150C"/>
    <w:rsid w:val="00012984"/>
    <w:rsid w:val="000202D4"/>
    <w:rsid w:val="000235B1"/>
    <w:rsid w:val="00023A9E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54DD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E5EDD"/>
    <w:rsid w:val="000F3F7B"/>
    <w:rsid w:val="000F5725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314F4"/>
    <w:rsid w:val="00133054"/>
    <w:rsid w:val="0013442C"/>
    <w:rsid w:val="0013729D"/>
    <w:rsid w:val="001427B1"/>
    <w:rsid w:val="00142A0A"/>
    <w:rsid w:val="00146C50"/>
    <w:rsid w:val="001479D2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29C3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D4988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268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A4"/>
    <w:rsid w:val="002806B2"/>
    <w:rsid w:val="00280A58"/>
    <w:rsid w:val="00282D37"/>
    <w:rsid w:val="00286FF7"/>
    <w:rsid w:val="002874CE"/>
    <w:rsid w:val="00290EF8"/>
    <w:rsid w:val="00297516"/>
    <w:rsid w:val="00297CEA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4D0D"/>
    <w:rsid w:val="002E55F3"/>
    <w:rsid w:val="002E6AAC"/>
    <w:rsid w:val="002E785A"/>
    <w:rsid w:val="002E7A9D"/>
    <w:rsid w:val="002F3806"/>
    <w:rsid w:val="002F5578"/>
    <w:rsid w:val="002F55E1"/>
    <w:rsid w:val="00302855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0343"/>
    <w:rsid w:val="00342857"/>
    <w:rsid w:val="00343EC4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77978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3F5600"/>
    <w:rsid w:val="003F7917"/>
    <w:rsid w:val="00400D9C"/>
    <w:rsid w:val="00400F90"/>
    <w:rsid w:val="00404EB4"/>
    <w:rsid w:val="0040697A"/>
    <w:rsid w:val="00407AF2"/>
    <w:rsid w:val="00407FFB"/>
    <w:rsid w:val="00412711"/>
    <w:rsid w:val="00413F02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1DF2"/>
    <w:rsid w:val="00463BA9"/>
    <w:rsid w:val="00464D45"/>
    <w:rsid w:val="00466B2A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2E51"/>
    <w:rsid w:val="0049631C"/>
    <w:rsid w:val="004A03C2"/>
    <w:rsid w:val="004A27D2"/>
    <w:rsid w:val="004A3423"/>
    <w:rsid w:val="004A6B67"/>
    <w:rsid w:val="004B1C99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3EEB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860"/>
    <w:rsid w:val="00505D59"/>
    <w:rsid w:val="00505FF2"/>
    <w:rsid w:val="00511169"/>
    <w:rsid w:val="00511C84"/>
    <w:rsid w:val="00512429"/>
    <w:rsid w:val="00514625"/>
    <w:rsid w:val="00521917"/>
    <w:rsid w:val="0052525E"/>
    <w:rsid w:val="00526ADA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6756A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3700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08B4"/>
    <w:rsid w:val="005B2CE1"/>
    <w:rsid w:val="005B5131"/>
    <w:rsid w:val="005B6CF5"/>
    <w:rsid w:val="005B79BD"/>
    <w:rsid w:val="005C16B3"/>
    <w:rsid w:val="005C25C9"/>
    <w:rsid w:val="005C5AED"/>
    <w:rsid w:val="005D0281"/>
    <w:rsid w:val="005D0927"/>
    <w:rsid w:val="005D1F6C"/>
    <w:rsid w:val="005D3E8C"/>
    <w:rsid w:val="005D68BB"/>
    <w:rsid w:val="005D7CE8"/>
    <w:rsid w:val="005E0695"/>
    <w:rsid w:val="005E27E5"/>
    <w:rsid w:val="005E58D1"/>
    <w:rsid w:val="005E7342"/>
    <w:rsid w:val="005F0C7F"/>
    <w:rsid w:val="005F49EB"/>
    <w:rsid w:val="005F4D05"/>
    <w:rsid w:val="005F623A"/>
    <w:rsid w:val="005F6497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0456"/>
    <w:rsid w:val="0063129F"/>
    <w:rsid w:val="00633854"/>
    <w:rsid w:val="00633F72"/>
    <w:rsid w:val="00635C7A"/>
    <w:rsid w:val="00640B2C"/>
    <w:rsid w:val="006415AB"/>
    <w:rsid w:val="00643F36"/>
    <w:rsid w:val="00645C5B"/>
    <w:rsid w:val="006467EA"/>
    <w:rsid w:val="0065166B"/>
    <w:rsid w:val="00654EC1"/>
    <w:rsid w:val="00655557"/>
    <w:rsid w:val="00660721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01B"/>
    <w:rsid w:val="00786F67"/>
    <w:rsid w:val="007906B5"/>
    <w:rsid w:val="0079241C"/>
    <w:rsid w:val="00793BDA"/>
    <w:rsid w:val="00793E35"/>
    <w:rsid w:val="007949FB"/>
    <w:rsid w:val="0079783A"/>
    <w:rsid w:val="007A0434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74F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1B93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662D"/>
    <w:rsid w:val="00850CE3"/>
    <w:rsid w:val="008555C9"/>
    <w:rsid w:val="008577B0"/>
    <w:rsid w:val="00867B82"/>
    <w:rsid w:val="00870759"/>
    <w:rsid w:val="00872780"/>
    <w:rsid w:val="00876109"/>
    <w:rsid w:val="008774EE"/>
    <w:rsid w:val="00880C83"/>
    <w:rsid w:val="00883A84"/>
    <w:rsid w:val="00884B55"/>
    <w:rsid w:val="00886ED1"/>
    <w:rsid w:val="00886EE0"/>
    <w:rsid w:val="0089007D"/>
    <w:rsid w:val="008908AF"/>
    <w:rsid w:val="00890926"/>
    <w:rsid w:val="008909AF"/>
    <w:rsid w:val="00893968"/>
    <w:rsid w:val="0089446F"/>
    <w:rsid w:val="008956DA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1D8"/>
    <w:rsid w:val="008C0590"/>
    <w:rsid w:val="008C1572"/>
    <w:rsid w:val="008C46E2"/>
    <w:rsid w:val="008C7EE9"/>
    <w:rsid w:val="008D2224"/>
    <w:rsid w:val="008D2FC7"/>
    <w:rsid w:val="008D3CC5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17EF"/>
    <w:rsid w:val="009159E3"/>
    <w:rsid w:val="009167CB"/>
    <w:rsid w:val="00916EFD"/>
    <w:rsid w:val="0091704A"/>
    <w:rsid w:val="00917158"/>
    <w:rsid w:val="0091775D"/>
    <w:rsid w:val="009246AB"/>
    <w:rsid w:val="009247E0"/>
    <w:rsid w:val="00924BC4"/>
    <w:rsid w:val="0092737F"/>
    <w:rsid w:val="0093354C"/>
    <w:rsid w:val="009377E8"/>
    <w:rsid w:val="0094320B"/>
    <w:rsid w:val="00944D9F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85A6E"/>
    <w:rsid w:val="00991DED"/>
    <w:rsid w:val="00997DDD"/>
    <w:rsid w:val="009A0B35"/>
    <w:rsid w:val="009A1AB9"/>
    <w:rsid w:val="009A2309"/>
    <w:rsid w:val="009A2405"/>
    <w:rsid w:val="009A3155"/>
    <w:rsid w:val="009A3987"/>
    <w:rsid w:val="009A5FE0"/>
    <w:rsid w:val="009A66A9"/>
    <w:rsid w:val="009B2BB2"/>
    <w:rsid w:val="009B46AE"/>
    <w:rsid w:val="009B46BC"/>
    <w:rsid w:val="009B5ECE"/>
    <w:rsid w:val="009B6587"/>
    <w:rsid w:val="009C0AD0"/>
    <w:rsid w:val="009C1A6C"/>
    <w:rsid w:val="009C509D"/>
    <w:rsid w:val="009C51B9"/>
    <w:rsid w:val="009C5F2C"/>
    <w:rsid w:val="009C6B9B"/>
    <w:rsid w:val="009D0352"/>
    <w:rsid w:val="009D06C3"/>
    <w:rsid w:val="009D1315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B05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86FC8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886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11E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052B"/>
    <w:rsid w:val="00BD5D8E"/>
    <w:rsid w:val="00BD66F6"/>
    <w:rsid w:val="00BD67DF"/>
    <w:rsid w:val="00BD7F85"/>
    <w:rsid w:val="00BE0979"/>
    <w:rsid w:val="00BE1DB2"/>
    <w:rsid w:val="00BE4B9F"/>
    <w:rsid w:val="00BE757D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292"/>
    <w:rsid w:val="00C33AC1"/>
    <w:rsid w:val="00C344E6"/>
    <w:rsid w:val="00C34F17"/>
    <w:rsid w:val="00C36542"/>
    <w:rsid w:val="00C430D6"/>
    <w:rsid w:val="00C44B79"/>
    <w:rsid w:val="00C45B77"/>
    <w:rsid w:val="00C46A21"/>
    <w:rsid w:val="00C517E7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A92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2A70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03F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95F28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59F8"/>
    <w:rsid w:val="00E0671D"/>
    <w:rsid w:val="00E12582"/>
    <w:rsid w:val="00E15825"/>
    <w:rsid w:val="00E3378A"/>
    <w:rsid w:val="00E33EAA"/>
    <w:rsid w:val="00E35A87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0552"/>
    <w:rsid w:val="00EB440E"/>
    <w:rsid w:val="00EB4687"/>
    <w:rsid w:val="00EB65C4"/>
    <w:rsid w:val="00EC0555"/>
    <w:rsid w:val="00EC22C7"/>
    <w:rsid w:val="00EC3989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E674C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56C"/>
    <w:rsid w:val="00F03FAB"/>
    <w:rsid w:val="00F04B22"/>
    <w:rsid w:val="00F06E22"/>
    <w:rsid w:val="00F126F7"/>
    <w:rsid w:val="00F17A2C"/>
    <w:rsid w:val="00F205B3"/>
    <w:rsid w:val="00F20700"/>
    <w:rsid w:val="00F2076D"/>
    <w:rsid w:val="00F20DDC"/>
    <w:rsid w:val="00F21481"/>
    <w:rsid w:val="00F23289"/>
    <w:rsid w:val="00F2433B"/>
    <w:rsid w:val="00F24E13"/>
    <w:rsid w:val="00F2503E"/>
    <w:rsid w:val="00F257BE"/>
    <w:rsid w:val="00F25A70"/>
    <w:rsid w:val="00F27425"/>
    <w:rsid w:val="00F27AB7"/>
    <w:rsid w:val="00F30100"/>
    <w:rsid w:val="00F301A4"/>
    <w:rsid w:val="00F366BE"/>
    <w:rsid w:val="00F36E85"/>
    <w:rsid w:val="00F41F08"/>
    <w:rsid w:val="00F4541E"/>
    <w:rsid w:val="00F468BF"/>
    <w:rsid w:val="00F518AA"/>
    <w:rsid w:val="00F53FDD"/>
    <w:rsid w:val="00F567AA"/>
    <w:rsid w:val="00F56928"/>
    <w:rsid w:val="00F56D65"/>
    <w:rsid w:val="00F56D99"/>
    <w:rsid w:val="00F57F1C"/>
    <w:rsid w:val="00F65715"/>
    <w:rsid w:val="00F65D4D"/>
    <w:rsid w:val="00F67FE1"/>
    <w:rsid w:val="00F72D1A"/>
    <w:rsid w:val="00F738E6"/>
    <w:rsid w:val="00F762C3"/>
    <w:rsid w:val="00F804CE"/>
    <w:rsid w:val="00F82479"/>
    <w:rsid w:val="00F84A72"/>
    <w:rsid w:val="00F92D89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B501-D969-46D9-ADDD-3A7E32AA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Ruedi</cp:lastModifiedBy>
  <cp:revision>3</cp:revision>
  <cp:lastPrinted>2016-01-22T08:54:00Z</cp:lastPrinted>
  <dcterms:created xsi:type="dcterms:W3CDTF">2016-05-13T13:08:00Z</dcterms:created>
  <dcterms:modified xsi:type="dcterms:W3CDTF">2016-05-17T07:35:00Z</dcterms:modified>
</cp:coreProperties>
</file>