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F126F7" w:rsidP="00D3189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A37810">
              <w:rPr>
                <w:rFonts w:ascii="Arial" w:hAnsi="Arial"/>
                <w:sz w:val="22"/>
                <w:szCs w:val="22"/>
              </w:rPr>
              <w:t>3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633854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9F05F7" w:rsidP="00C175A8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41F08">
              <w:rPr>
                <w:rFonts w:ascii="Arial" w:hAnsi="Arial"/>
                <w:sz w:val="22"/>
                <w:szCs w:val="22"/>
              </w:rPr>
              <w:t xml:space="preserve">00 – </w:t>
            </w:r>
            <w:r w:rsidRPr="00F41F08">
              <w:rPr>
                <w:rFonts w:ascii="Arial" w:hAnsi="Arial"/>
                <w:sz w:val="22"/>
                <w:szCs w:val="22"/>
              </w:rPr>
              <w:t>1</w:t>
            </w:r>
            <w:r w:rsidR="00F41F08" w:rsidRPr="00F41F08">
              <w:rPr>
                <w:rFonts w:ascii="Arial" w:hAnsi="Arial"/>
                <w:sz w:val="22"/>
                <w:szCs w:val="22"/>
              </w:rPr>
              <w:t>5</w:t>
            </w:r>
            <w:r w:rsidRPr="00F41F08">
              <w:rPr>
                <w:rFonts w:ascii="Arial" w:hAnsi="Arial"/>
                <w:sz w:val="22"/>
                <w:szCs w:val="22"/>
              </w:rPr>
              <w:t>:</w:t>
            </w:r>
            <w:r w:rsidR="00C175A8">
              <w:rPr>
                <w:rFonts w:ascii="Arial" w:hAnsi="Arial"/>
                <w:sz w:val="22"/>
                <w:szCs w:val="22"/>
              </w:rPr>
              <w:t>00</w:t>
            </w:r>
            <w:bookmarkStart w:id="0" w:name="_GoBack"/>
            <w:bookmarkEnd w:id="0"/>
            <w:r w:rsidR="009B46AE" w:rsidRPr="00F41F08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F41F08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DF146A"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>B. Baker,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>Y.-A. Roulet,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>F. Sabatini,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37F47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. Bilish (Australia)             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 xml:space="preserve">C. Smith – </w:t>
            </w:r>
            <w:r w:rsidRPr="00CF33E6">
              <w:rPr>
                <w:rFonts w:ascii="Arial" w:hAnsi="Arial"/>
                <w:strike/>
                <w:sz w:val="22"/>
                <w:szCs w:val="22"/>
              </w:rPr>
              <w:t xml:space="preserve">D. Yang 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>(Canada),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S. MacDonell (Chile)           </w:t>
            </w:r>
            <w:r w:rsidRPr="00F126F7">
              <w:rPr>
                <w:rFonts w:ascii="Arial" w:hAnsi="Arial"/>
                <w:strike/>
                <w:sz w:val="22"/>
                <w:szCs w:val="22"/>
              </w:rPr>
              <w:t>O. Aulamo (Finland)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       </w:t>
            </w:r>
            <w:r w:rsidR="000F6714" w:rsidRPr="000441F5">
              <w:rPr>
                <w:rFonts w:ascii="Arial" w:hAnsi="Arial"/>
                <w:strike/>
                <w:sz w:val="22"/>
                <w:szCs w:val="22"/>
              </w:rPr>
              <w:t>K. Honda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(Japan)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C. Zammit (New Zealand)   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 M. Karzynski (Poland)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TBD (Russian Fed.)          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CF33E6">
              <w:rPr>
                <w:rFonts w:ascii="Arial" w:hAnsi="Arial"/>
                <w:sz w:val="22"/>
                <w:szCs w:val="22"/>
                <w:lang w:val="en-US"/>
              </w:rPr>
              <w:t>R. Rasmussen (USA)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L. Lanza (Italy)</w:t>
            </w:r>
          </w:p>
          <w:p w:rsidR="00D305CC" w:rsidRPr="00A37810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S. Morin (France)                A. Uriel - 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>S. Buisan (AEMET-Spain)</w:t>
            </w:r>
            <w:r w:rsidRPr="00A37810">
              <w:rPr>
                <w:rFonts w:ascii="Arial" w:hAnsi="Arial"/>
                <w:strike/>
                <w:sz w:val="22"/>
                <w:szCs w:val="22"/>
              </w:rPr>
              <w:t xml:space="preserve">  </w:t>
            </w:r>
          </w:p>
          <w:p w:rsidR="00D305CC" w:rsidRPr="00A37810" w:rsidRDefault="00D305CC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CF33E6">
              <w:rPr>
                <w:rFonts w:ascii="Arial" w:hAnsi="Arial"/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CF33E6">
              <w:rPr>
                <w:rFonts w:ascii="Arial" w:hAnsi="Arial"/>
                <w:sz w:val="22"/>
                <w:szCs w:val="22"/>
                <w:lang w:val="en-US"/>
              </w:rPr>
              <w:t>Diolaiuti</w:t>
            </w:r>
            <w:proofErr w:type="spellEnd"/>
            <w:r w:rsidRPr="00CF33E6">
              <w:rPr>
                <w:rFonts w:ascii="Arial" w:hAnsi="Arial"/>
                <w:sz w:val="22"/>
                <w:szCs w:val="22"/>
                <w:lang w:val="en-US"/>
              </w:rPr>
              <w:t>, -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D. Bocchiola </w:t>
            </w:r>
            <w:r w:rsidRPr="00F126F7">
              <w:rPr>
                <w:rFonts w:ascii="Arial" w:hAnsi="Arial"/>
                <w:strike/>
                <w:sz w:val="22"/>
                <w:szCs w:val="22"/>
              </w:rPr>
              <w:t>(</w:t>
            </w:r>
            <w:r w:rsidRPr="00CF33E6">
              <w:rPr>
                <w:rFonts w:ascii="Arial" w:hAnsi="Arial"/>
                <w:sz w:val="22"/>
                <w:szCs w:val="22"/>
                <w:lang w:val="en-US"/>
              </w:rPr>
              <w:t>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0441F5">
              <w:rPr>
                <w:rFonts w:ascii="Arial" w:hAnsi="Arial"/>
                <w:strike/>
                <w:sz w:val="22"/>
                <w:szCs w:val="22"/>
              </w:rPr>
              <w:t>(Rep. Korea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0F6714" w:rsidP="00AD2A72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C175A8">
              <w:rPr>
                <w:rFonts w:ascii="Arial" w:hAnsi="Arial"/>
                <w:sz w:val="22"/>
                <w:szCs w:val="22"/>
              </w:rPr>
              <w:t xml:space="preserve">I. Rüedi, </w:t>
            </w:r>
            <w:r w:rsidR="00D305CC" w:rsidRPr="00C175A8">
              <w:rPr>
                <w:rFonts w:ascii="Arial" w:hAnsi="Arial"/>
                <w:sz w:val="22"/>
                <w:szCs w:val="22"/>
              </w:rPr>
              <w:t>M. Earle,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9B46BC">
              <w:rPr>
                <w:rFonts w:ascii="Arial" w:hAnsi="Arial"/>
                <w:strike/>
                <w:sz w:val="22"/>
                <w:szCs w:val="22"/>
              </w:rPr>
              <w:t>F. Boudala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B. Goodison,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F126F7">
              <w:rPr>
                <w:rFonts w:ascii="Arial" w:hAnsi="Arial"/>
                <w:strike/>
                <w:sz w:val="22"/>
                <w:szCs w:val="22"/>
              </w:rPr>
              <w:t>J. Hoover, P. Joe,</w:t>
            </w:r>
            <w:r w:rsidR="00D305CC" w:rsidRPr="00C175A8">
              <w:rPr>
                <w:rFonts w:ascii="Arial" w:hAnsi="Arial"/>
                <w:sz w:val="22"/>
                <w:szCs w:val="22"/>
              </w:rPr>
              <w:t xml:space="preserve"> J. Kochendorfer, T. Laine,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F126F7">
              <w:rPr>
                <w:rFonts w:ascii="Arial" w:hAnsi="Arial"/>
                <w:strike/>
                <w:sz w:val="22"/>
                <w:szCs w:val="22"/>
              </w:rPr>
              <w:t>A Senese,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F126F7">
              <w:rPr>
                <w:rFonts w:ascii="Arial" w:hAnsi="Arial"/>
                <w:strike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Poikonen, </w:t>
            </w:r>
            <w:r w:rsidR="00D305CC" w:rsidRPr="00C175A8">
              <w:rPr>
                <w:rFonts w:ascii="Arial" w:hAnsi="Arial"/>
                <w:sz w:val="22"/>
                <w:szCs w:val="22"/>
              </w:rPr>
              <w:t xml:space="preserve">A. Reverdin,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F126F7">
              <w:rPr>
                <w:rFonts w:ascii="Arial" w:hAnsi="Arial"/>
                <w:strike/>
                <w:sz w:val="22"/>
                <w:szCs w:val="22"/>
              </w:rPr>
              <w:t xml:space="preserve">Floor </w:t>
            </w:r>
            <w:r w:rsidR="00901C1B" w:rsidRPr="00F126F7">
              <w:rPr>
                <w:rFonts w:ascii="Arial" w:hAnsi="Arial"/>
                <w:strike/>
                <w:sz w:val="22"/>
                <w:szCs w:val="22"/>
              </w:rPr>
              <w:t>Heuvel</w:t>
            </w:r>
            <w:r w:rsidR="00BB4765" w:rsidRPr="00F126F7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BB4765"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F126F7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F126F7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 xml:space="preserve">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0443A3" w:rsidRPr="009B46BC">
              <w:rPr>
                <w:rFonts w:ascii="Arial" w:hAnsi="Arial"/>
                <w:strike/>
                <w:sz w:val="22"/>
                <w:szCs w:val="22"/>
              </w:rPr>
              <w:t xml:space="preserve"> H.-R. Hannula</w:t>
            </w:r>
            <w:r w:rsidR="003857BD" w:rsidRPr="00D31898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3857BD" w:rsidRPr="00C175A8">
              <w:rPr>
                <w:rFonts w:ascii="Arial" w:hAnsi="Arial"/>
                <w:sz w:val="22"/>
                <w:szCs w:val="22"/>
              </w:rPr>
              <w:t>E. Mekis</w:t>
            </w:r>
            <w:r w:rsidR="009F05F7" w:rsidRPr="00C175A8">
              <w:rPr>
                <w:rFonts w:ascii="Arial" w:hAnsi="Arial"/>
                <w:sz w:val="22"/>
                <w:szCs w:val="22"/>
              </w:rPr>
              <w:t>,</w:t>
            </w:r>
            <w:r w:rsidR="009B46BC" w:rsidRPr="009B46BC">
              <w:rPr>
                <w:rFonts w:ascii="Arial" w:hAnsi="Arial"/>
                <w:strike/>
                <w:sz w:val="22"/>
                <w:szCs w:val="22"/>
              </w:rPr>
              <w:t xml:space="preserve"> A. Kontu</w:t>
            </w:r>
            <w:r w:rsidR="006D2A6C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6D2A6C" w:rsidRPr="00C175A8">
              <w:rPr>
                <w:rFonts w:ascii="Arial" w:hAnsi="Arial"/>
                <w:sz w:val="22"/>
                <w:szCs w:val="22"/>
              </w:rPr>
              <w:t>Amal</w:t>
            </w:r>
            <w:r w:rsidR="00AD2A72" w:rsidRPr="00C175A8">
              <w:rPr>
                <w:rFonts w:ascii="Arial" w:hAnsi="Arial"/>
                <w:sz w:val="22"/>
                <w:szCs w:val="22"/>
              </w:rPr>
              <w:t xml:space="preserve"> Samanter</w:t>
            </w:r>
          </w:p>
        </w:tc>
      </w:tr>
      <w:tr w:rsidR="00D305CC" w:rsidRPr="0062270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560BCA" w:rsidRDefault="00ED493F" w:rsidP="00ED493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7846CE" w:rsidRDefault="00F126F7" w:rsidP="00F126F7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Rüedi</w:t>
            </w:r>
            <w:proofErr w:type="spellEnd"/>
          </w:p>
        </w:tc>
      </w:tr>
      <w:tr w:rsidR="00246DAE" w:rsidRPr="00560BCA" w:rsidTr="00246DAE">
        <w:trPr>
          <w:cantSplit/>
          <w:trHeight w:val="28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46DAE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Pr="00E42CB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2nd Teleconference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AD2A72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</w:t>
            </w:r>
          </w:p>
        </w:tc>
        <w:tc>
          <w:tcPr>
            <w:tcW w:w="708" w:type="dxa"/>
          </w:tcPr>
          <w:p w:rsidR="009B46AE" w:rsidRDefault="00CF33E6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AD2A72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Update on the R2-R3 analysis</w:t>
            </w:r>
          </w:p>
          <w:p w:rsidR="00CF33E6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Analysis of the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Marhsall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data:</w:t>
            </w:r>
          </w:p>
          <w:p w:rsidR="00CF33E6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Ratio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in unshielded to Single Alter goes through a minimum and goes back up to 1 around wind speed of 8 m/s for negative temperature temperatures.</w:t>
            </w:r>
          </w:p>
          <w:p w:rsidR="00CF33E6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Ratio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Unshielded to Single Alter is very close to that of the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at least until wind speeds of 4 m/s.</w:t>
            </w:r>
          </w:p>
          <w:p w:rsidR="00CF33E6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data show similar patterns.</w:t>
            </w:r>
          </w:p>
          <w:p w:rsidR="00CF33E6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Care data is different for R2, probably due to the type of pr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cipitation (ice pellets)</w:t>
            </w:r>
          </w:p>
        </w:tc>
        <w:tc>
          <w:tcPr>
            <w:tcW w:w="1701" w:type="dxa"/>
          </w:tcPr>
          <w:p w:rsidR="009B46AE" w:rsidRDefault="00CF33E6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B301DF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CF33E6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A2F40" w:rsidRDefault="00CF33E6" w:rsidP="00AD2A7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Next step in analysis is to separate by precipitation type and terminal velocity of the particles.</w:t>
            </w:r>
          </w:p>
        </w:tc>
        <w:tc>
          <w:tcPr>
            <w:tcW w:w="1701" w:type="dxa"/>
          </w:tcPr>
          <w:p w:rsidR="00BA2F40" w:rsidRDefault="00CF33E6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Roy/Audrey</w:t>
            </w:r>
          </w:p>
        </w:tc>
        <w:tc>
          <w:tcPr>
            <w:tcW w:w="1134" w:type="dxa"/>
          </w:tcPr>
          <w:p w:rsidR="00BA2F40" w:rsidRDefault="00CF33E6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???</w:t>
            </w:r>
          </w:p>
        </w:tc>
      </w:tr>
      <w:tr w:rsidR="00305683" w:rsidTr="00CF33E6">
        <w:trPr>
          <w:cantSplit/>
        </w:trPr>
        <w:tc>
          <w:tcPr>
            <w:tcW w:w="710" w:type="dxa"/>
          </w:tcPr>
          <w:p w:rsidR="00305683" w:rsidRDefault="00CF33E6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305683" w:rsidRDefault="0030568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305683" w:rsidRDefault="00305683" w:rsidP="0030568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305683" w:rsidRDefault="0030568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05683" w:rsidRDefault="00305683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05683" w:rsidTr="00CF33E6">
        <w:trPr>
          <w:cantSplit/>
        </w:trPr>
        <w:tc>
          <w:tcPr>
            <w:tcW w:w="710" w:type="dxa"/>
          </w:tcPr>
          <w:p w:rsidR="00305683" w:rsidRDefault="00CF33E6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305683" w:rsidRDefault="0030568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305683" w:rsidRDefault="00305683" w:rsidP="00CF33E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305683" w:rsidRDefault="00305683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05683" w:rsidRDefault="00305683" w:rsidP="00305683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305683" w:rsidTr="00CF33E6">
        <w:trPr>
          <w:cantSplit/>
        </w:trPr>
        <w:tc>
          <w:tcPr>
            <w:tcW w:w="710" w:type="dxa"/>
          </w:tcPr>
          <w:p w:rsidR="00305683" w:rsidRDefault="00CF33E6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305683" w:rsidRDefault="0030568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305683" w:rsidRDefault="00305683" w:rsidP="0030568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</w:tcPr>
          <w:p w:rsidR="00305683" w:rsidRDefault="0030568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05683" w:rsidRDefault="00305683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14B00" w:rsidRPr="00622703" w:rsidTr="00EB440E">
        <w:trPr>
          <w:cantSplit/>
        </w:trPr>
        <w:tc>
          <w:tcPr>
            <w:tcW w:w="710" w:type="dxa"/>
          </w:tcPr>
          <w:p w:rsidR="00814B00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814B00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EF0708" w:rsidRDefault="00EF0708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D33757" w:rsidRDefault="00D33757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19.3. Data sheet 2 (Roy/Bruce/FAME/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  </w:t>
            </w:r>
            <w:r w:rsidRPr="008E4954">
              <w:rPr>
                <w:rFonts w:ascii="Arial" w:hAnsi="Arial" w:cs="Arial"/>
                <w:b/>
                <w:i/>
                <w:lang w:val="en-GB"/>
              </w:rPr>
              <w:t>(</w:t>
            </w:r>
            <w:proofErr w:type="spellStart"/>
            <w:r w:rsidRPr="008E4954">
              <w:rPr>
                <w:rFonts w:ascii="Arial" w:hAnsi="Arial" w:cs="Arial"/>
                <w:b/>
                <w:i/>
                <w:lang w:val="en-GB"/>
              </w:rPr>
              <w:t>SoG</w:t>
            </w:r>
            <w:proofErr w:type="spellEnd"/>
            <w:r w:rsidRPr="008E4954">
              <w:rPr>
                <w:rFonts w:ascii="Arial" w:hAnsi="Arial" w:cs="Arial"/>
                <w:b/>
                <w:i/>
                <w:lang w:val="en-GB"/>
              </w:rPr>
              <w:t xml:space="preserve"> &amp; COST </w:t>
            </w:r>
            <w:proofErr w:type="gramStart"/>
            <w:r w:rsidRPr="008E4954">
              <w:rPr>
                <w:rFonts w:ascii="Arial" w:hAnsi="Arial" w:cs="Arial"/>
                <w:b/>
                <w:i/>
                <w:lang w:val="en-GB"/>
              </w:rPr>
              <w:t>Grenoble !)</w:t>
            </w:r>
            <w:proofErr w:type="gramEnd"/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26.3. Information on modelling results (Roy) and transfer function 2 (John)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2.4.  available for smaller group discussions on transfer functions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9.4. Transfer function 3 (TBD) </w:t>
            </w:r>
          </w:p>
          <w:p w:rsidR="00EF0708" w:rsidRPr="00AD6C66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fr-CA"/>
              </w:rPr>
            </w:pPr>
            <w:r w:rsidRPr="00AD6C66">
              <w:rPr>
                <w:rFonts w:ascii="Arial" w:hAnsi="Arial" w:cs="Arial"/>
                <w:b/>
                <w:lang w:val="fr-CA"/>
              </w:rPr>
              <w:t xml:space="preserve">16.4. Non </w:t>
            </w:r>
            <w:proofErr w:type="spellStart"/>
            <w:r w:rsidRPr="00AD6C66">
              <w:rPr>
                <w:rFonts w:ascii="Arial" w:hAnsi="Arial" w:cs="Arial"/>
                <w:b/>
                <w:lang w:val="fr-CA"/>
              </w:rPr>
              <w:t>catchment</w:t>
            </w:r>
            <w:proofErr w:type="spellEnd"/>
            <w:r w:rsidRPr="00AD6C66">
              <w:rPr>
                <w:rFonts w:ascii="Arial" w:hAnsi="Arial" w:cs="Arial"/>
                <w:b/>
                <w:lang w:val="fr-CA"/>
              </w:rPr>
              <w:t xml:space="preserve"> type (Yves-Alain)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23. 4. Intensity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Emanuele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30.4. Data sheet 3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7.5.  R0-R1 (Daqing) </w:t>
            </w:r>
          </w:p>
          <w:p w:rsidR="00814B00" w:rsidRDefault="00EF0708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13.5. (Wednesday): </w:t>
            </w:r>
            <w:r w:rsidR="00BA2F40">
              <w:rPr>
                <w:rFonts w:ascii="Arial" w:hAnsi="Arial" w:cs="Arial"/>
                <w:b/>
                <w:lang w:val="en-GB"/>
              </w:rPr>
              <w:t>meeting preparation</w:t>
            </w:r>
            <w:r w:rsidRPr="008E4954">
              <w:rPr>
                <w:rFonts w:ascii="Arial" w:hAnsi="Arial" w:cs="Arial"/>
                <w:b/>
                <w:lang w:val="en-GB"/>
              </w:rPr>
              <w:t xml:space="preserve">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701" w:type="dxa"/>
          </w:tcPr>
          <w:p w:rsidR="00814B00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14B00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8D3CD0" w:rsidRPr="00B301DF" w:rsidTr="00CF33E6">
        <w:trPr>
          <w:cantSplit/>
        </w:trPr>
        <w:tc>
          <w:tcPr>
            <w:tcW w:w="9782" w:type="dxa"/>
            <w:gridSpan w:val="8"/>
          </w:tcPr>
          <w:p w:rsidR="008D3CD0" w:rsidRDefault="008D3CD0" w:rsidP="008D3CD0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5 March 2015</w:t>
            </w:r>
          </w:p>
        </w:tc>
      </w:tr>
      <w:tr w:rsidR="008D3CD0" w:rsidTr="00CF33E6">
        <w:trPr>
          <w:cantSplit/>
        </w:trPr>
        <w:tc>
          <w:tcPr>
            <w:tcW w:w="710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</w:t>
            </w:r>
          </w:p>
        </w:tc>
        <w:tc>
          <w:tcPr>
            <w:tcW w:w="708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D3CD0" w:rsidRDefault="008D3CD0" w:rsidP="00CF33E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Develop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QC’d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manual measurement dataset for Marshall site (address evaporation and measurement times). </w:t>
            </w:r>
          </w:p>
        </w:tc>
        <w:tc>
          <w:tcPr>
            <w:tcW w:w="1701" w:type="dxa"/>
            <w:gridSpan w:val="4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8D3CD0" w:rsidRDefault="008D3CD0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March, 2015</w:t>
            </w:r>
          </w:p>
        </w:tc>
      </w:tr>
      <w:tr w:rsidR="008D3CD0" w:rsidTr="00CF33E6">
        <w:trPr>
          <w:cantSplit/>
        </w:trPr>
        <w:tc>
          <w:tcPr>
            <w:tcW w:w="710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D3CD0" w:rsidRDefault="008D3CD0" w:rsidP="00CF33E6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SPICE-6 meeting to take place, as planned, May 19-23 (or 18-22). Location to be firmed up by March 12.</w:t>
            </w:r>
          </w:p>
        </w:tc>
        <w:tc>
          <w:tcPr>
            <w:tcW w:w="1701" w:type="dxa"/>
            <w:gridSpan w:val="4"/>
          </w:tcPr>
          <w:p w:rsidR="008D3CD0" w:rsidRDefault="008D3CD0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8D3CD0" w:rsidRDefault="008D3CD0" w:rsidP="00CF33E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 2015</w:t>
            </w:r>
          </w:p>
        </w:tc>
      </w:tr>
      <w:tr w:rsidR="0043603C" w:rsidRPr="00B301DF" w:rsidTr="0043603C">
        <w:trPr>
          <w:cantSplit/>
        </w:trPr>
        <w:tc>
          <w:tcPr>
            <w:tcW w:w="9782" w:type="dxa"/>
            <w:gridSpan w:val="8"/>
          </w:tcPr>
          <w:p w:rsidR="0043603C" w:rsidRDefault="0043603C" w:rsidP="0043603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26 Feb. 2015</w:t>
            </w:r>
          </w:p>
        </w:tc>
      </w:tr>
      <w:tr w:rsidR="0043603C" w:rsidRPr="00B301DF" w:rsidTr="006D2A6C">
        <w:trPr>
          <w:cantSplit/>
        </w:trPr>
        <w:tc>
          <w:tcPr>
            <w:tcW w:w="710" w:type="dxa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</w:t>
            </w:r>
          </w:p>
        </w:tc>
        <w:tc>
          <w:tcPr>
            <w:tcW w:w="708" w:type="dxa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Identify whether other sites have the same gauge model in multiple c</w:t>
            </w:r>
            <w:r w:rsidR="00464D45">
              <w:rPr>
                <w:rFonts w:ascii="Arial" w:hAnsi="Arial" w:cs="Arial"/>
                <w:color w:val="222222"/>
                <w:lang w:val="en-US" w:eastAsia="zh-TW"/>
              </w:rPr>
              <w:t>onfigurations, to allow for the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application of the proposed method. (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e.g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Sodank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y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lä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). </w:t>
            </w:r>
          </w:p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R2 and R3 references on each site provide 3 gauges, which could be used, for this analysis.</w:t>
            </w:r>
          </w:p>
          <w:p w:rsidR="0043603C" w:rsidRDefault="0043603C" w:rsidP="0043603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Rain data will be required to further explore the uncertainty, using the method proposed.</w:t>
            </w:r>
          </w:p>
        </w:tc>
        <w:tc>
          <w:tcPr>
            <w:tcW w:w="1701" w:type="dxa"/>
            <w:gridSpan w:val="4"/>
          </w:tcPr>
          <w:p w:rsidR="0043603C" w:rsidRDefault="0043603C" w:rsidP="0043603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43603C" w:rsidRDefault="0043603C" w:rsidP="0043603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2015</w:t>
            </w: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1D0402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Pr="00A81834" w:rsidRDefault="00A37810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>
              <w:rPr>
                <w:rFonts w:ascii="Arial" w:hAnsi="Arial" w:cs="Arial"/>
                <w:color w:val="222222"/>
                <w:lang w:val="en-CA" w:eastAsia="zh-TW"/>
              </w:rPr>
              <w:t xml:space="preserve">Apply </w:t>
            </w:r>
            <w:proofErr w:type="spellStart"/>
            <w:r>
              <w:rPr>
                <w:rFonts w:ascii="Arial" w:hAnsi="Arial" w:cs="Arial"/>
                <w:color w:val="222222"/>
                <w:lang w:val="en-CA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CA" w:eastAsia="zh-TW"/>
              </w:rPr>
              <w:t xml:space="preserve"> method to data used by John to compare r</w:t>
            </w:r>
            <w:r>
              <w:rPr>
                <w:rFonts w:ascii="Arial" w:hAnsi="Arial" w:cs="Arial"/>
                <w:color w:val="222222"/>
                <w:lang w:val="en-CA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CA" w:eastAsia="zh-TW"/>
              </w:rPr>
              <w:t>sults</w:t>
            </w:r>
          </w:p>
        </w:tc>
        <w:tc>
          <w:tcPr>
            <w:tcW w:w="1701" w:type="dxa"/>
            <w:gridSpan w:val="4"/>
          </w:tcPr>
          <w:p w:rsidR="00A37810" w:rsidRPr="00763883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CA"/>
              </w:rPr>
            </w:pPr>
            <w:r w:rsidRPr="00763883">
              <w:rPr>
                <w:rFonts w:ascii="Arial" w:hAnsi="Arial"/>
                <w:sz w:val="20"/>
                <w:lang w:val="en-CA"/>
              </w:rPr>
              <w:t>DAT</w:t>
            </w:r>
          </w:p>
        </w:tc>
        <w:tc>
          <w:tcPr>
            <w:tcW w:w="1134" w:type="dxa"/>
          </w:tcPr>
          <w:p w:rsidR="00A37810" w:rsidRPr="00763883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A37810" w:rsidRPr="00B301DF" w:rsidTr="006D2A6C">
        <w:trPr>
          <w:cantSplit/>
        </w:trPr>
        <w:tc>
          <w:tcPr>
            <w:tcW w:w="710" w:type="dxa"/>
          </w:tcPr>
          <w:p w:rsidR="00A37810" w:rsidRPr="001D0402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Default="00A37810" w:rsidP="006D2A6C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Compare obtained uncertainties with those obtained during the rainfall intensity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intercomparison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  <w:gridSpan w:val="4"/>
          </w:tcPr>
          <w:p w:rsidR="00A37810" w:rsidRPr="00763883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763883">
              <w:rPr>
                <w:rFonts w:ascii="Arial" w:hAnsi="Arial"/>
                <w:sz w:val="20"/>
                <w:lang w:val="en-US"/>
              </w:rPr>
              <w:t>DAT?</w:t>
            </w:r>
          </w:p>
        </w:tc>
        <w:tc>
          <w:tcPr>
            <w:tcW w:w="1134" w:type="dxa"/>
          </w:tcPr>
          <w:p w:rsidR="00A37810" w:rsidRPr="00763883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A37810" w:rsidRPr="00622703" w:rsidTr="006D2A6C">
        <w:trPr>
          <w:cantSplit/>
        </w:trPr>
        <w:tc>
          <w:tcPr>
            <w:tcW w:w="710" w:type="dxa"/>
          </w:tcPr>
          <w:p w:rsidR="00A37810" w:rsidRPr="00952EA4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A37810" w:rsidRPr="00952EA4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37810" w:rsidRPr="00952EA4" w:rsidRDefault="00A37810" w:rsidP="006D2A6C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 xml:space="preserve">Samuel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Buisan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will be the SPICE focal point for capping events.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distributed a template for everyone to ca</w:t>
            </w:r>
            <w:r w:rsidRPr="00952EA4">
              <w:rPr>
                <w:rFonts w:ascii="Arial" w:hAnsi="Arial"/>
                <w:sz w:val="20"/>
                <w:lang w:val="en-GB"/>
              </w:rPr>
              <w:t>p</w:t>
            </w:r>
            <w:r w:rsidRPr="00952EA4">
              <w:rPr>
                <w:rFonts w:ascii="Arial" w:hAnsi="Arial"/>
                <w:sz w:val="20"/>
                <w:lang w:val="en-GB"/>
              </w:rPr>
              <w:t>ture information on capping on their sites.</w:t>
            </w:r>
          </w:p>
          <w:p w:rsidR="00A37810" w:rsidRPr="00952EA4" w:rsidRDefault="00A37810" w:rsidP="006D2A6C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All team members are asked to document all capping events (including reflection on heating) and  provide to Samuel B.</w:t>
            </w:r>
          </w:p>
        </w:tc>
        <w:tc>
          <w:tcPr>
            <w:tcW w:w="1701" w:type="dxa"/>
            <w:gridSpan w:val="4"/>
          </w:tcPr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Samuel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Buisan</w:t>
            </w:r>
            <w:proofErr w:type="spellEnd"/>
          </w:p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A37810" w:rsidRDefault="00A37810" w:rsidP="006D2A6C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team me</w:t>
            </w:r>
            <w:r>
              <w:rPr>
                <w:rFonts w:ascii="Arial" w:hAnsi="Arial"/>
                <w:sz w:val="20"/>
                <w:lang w:val="en-US"/>
              </w:rPr>
              <w:t>m</w:t>
            </w:r>
            <w:r>
              <w:rPr>
                <w:rFonts w:ascii="Arial" w:hAnsi="Arial"/>
                <w:sz w:val="20"/>
                <w:lang w:val="en-US"/>
              </w:rPr>
              <w:t>bers</w:t>
            </w:r>
          </w:p>
        </w:tc>
        <w:tc>
          <w:tcPr>
            <w:tcW w:w="1134" w:type="dxa"/>
          </w:tcPr>
          <w:p w:rsidR="00A37810" w:rsidRDefault="00A37810" w:rsidP="006D2A6C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0441F5" w:rsidRPr="00B301DF" w:rsidTr="00382348">
        <w:trPr>
          <w:cantSplit/>
        </w:trPr>
        <w:tc>
          <w:tcPr>
            <w:tcW w:w="9782" w:type="dxa"/>
            <w:gridSpan w:val="8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19 Feb.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Pr="001D0402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Manual measurements (R1) of Marshall and automatic measurements (4 different R2s, 3 of which have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one with a Pluvio2) seem to exhibit differences.</w:t>
            </w:r>
          </w:p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Review manual Marshall measurements vs automatic gau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g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es in DFIRs, if appropriate.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 / Scott/ Kai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March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Commissioning protocol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needs to be updated to include information on the R2 reference built in 2014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9159E3" w:rsidRPr="00B301DF" w:rsidTr="00ED493F">
        <w:trPr>
          <w:cantSplit/>
        </w:trPr>
        <w:tc>
          <w:tcPr>
            <w:tcW w:w="9782" w:type="dxa"/>
            <w:gridSpan w:val="8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12 Feb.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52EA4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952EA4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Roy to assess whether NCAR can store all data and graphs generated by SPICE. Roy will follow up with Andy. If not, a</w:t>
            </w: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ternatives need to be explored.</w:t>
            </w:r>
          </w:p>
        </w:tc>
        <w:tc>
          <w:tcPr>
            <w:tcW w:w="1701" w:type="dxa"/>
            <w:gridSpan w:val="4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952EA4"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159E3" w:rsidRPr="00952EA4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Feb 26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investigate whether a 30 min interval and 0.25 mm threshold are applicable to all sites or a site dependent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proach may be needed, to account for drier, windier climates (e.g.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Lake)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Common approaches for all sites would support the deve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opment of relevant transfer functions.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 xml:space="preserve">5. 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Use the Event Selection algorithm as currently defined; a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sess results by site and tailor to site specific findings, if needed, with full documentation. E.g. use of longer time 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riods, e.g. 1 hour, with the same threshold, especially for high wind speeds.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5.1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Mueller Hut reports data on an hourly basis. The event 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lection algorithm will need to be tailored to account for this frequency of reporting.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</w:t>
            </w:r>
            <w:r>
              <w:rPr>
                <w:rFonts w:ascii="Arial" w:hAnsi="Arial"/>
                <w:sz w:val="20"/>
                <w:lang w:val="en-GB"/>
              </w:rPr>
              <w:t>i</w:t>
            </w:r>
            <w:r>
              <w:rPr>
                <w:rFonts w:ascii="Arial" w:hAnsi="Arial"/>
                <w:sz w:val="20"/>
                <w:lang w:val="en-GB"/>
              </w:rPr>
              <w:t>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Revisit the noise study conducted by Mike to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asses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noise floor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Assess the Pluvio2 data products, to develop a more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m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prehensive reference data set for the R2, R3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based. As defined during SPICE_IOC-2, aim at defining a “SPICE” algorithm for Pluvio2.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TBD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Tipping Buckets assessment and derivation of transfer fun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tions require a careful approach, recognizing the fact that they normally need some time to catch up reporting the fal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(delay between falling snow to melting and the accumulation and tipping of the buckets).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analysis needs to be structured to give them time to “catch up”. The 30 min event approach may not work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TBs.</w:t>
            </w:r>
            <w:proofErr w:type="spellEnd"/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TBs output data based on the number and timing of the ti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ping of the buckets; thus, the temporal correlation between an event and the timing of the TB report (especially for the start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and for light events), may need to be further assessed (a TBRG bucket tips only when full).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assess what happen when the funnel of a TBRG gets filled with snow (heavy events).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data analysis and reporting of results for TBs and non-catchment type instruments will need assessment methods that are likely different from those established for the WGs.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Separate analysis will be conducted for lighter events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Encourage the Instrument Champions to become very fami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iar with the instruments that they champion and support the DAT with specific information on: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Details on instrument data output;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configuration: specifics;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diagnostics;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Preliminary interpretation of the results derived.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20,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Everyone </w:t>
            </w:r>
            <w:r w:rsidR="00952EA4">
              <w:rPr>
                <w:rFonts w:ascii="Arial" w:hAnsi="Arial" w:cs="Arial"/>
                <w:color w:val="222222"/>
                <w:lang w:val="en-US" w:eastAsia="zh-TW"/>
              </w:rPr>
              <w:t>is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encouraged to verify independently the proc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dures for the derivation of event datasets. If done provide feedback to DAT.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A81834" w:rsidRPr="00B301DF" w:rsidTr="00ED493F">
        <w:trPr>
          <w:cantSplit/>
        </w:trPr>
        <w:tc>
          <w:tcPr>
            <w:tcW w:w="9782" w:type="dxa"/>
            <w:gridSpan w:val="8"/>
          </w:tcPr>
          <w:p w:rsidR="00A81834" w:rsidRDefault="00A81834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Feb 05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3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 number of sensors are reporting only intensity, while the reference is providing accumulation. Need to document in the Data Sheets how the accumulation is derived, and cav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ats.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datasheet proposal, propo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 xml:space="preserve">ing additional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type of plots and information that you would like to see in these datasheets (reflecting operational, appl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cations, and research needs)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Feb18,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To determine whether the present event selection method, based on a 30 min interval and 0.25 mm accumulation threshold, would be appropriate for trace events.</w:t>
            </w:r>
          </w:p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Requirement for assessment of different time intervals and accumulation thresholds; relevant to different applications (e.g. climate).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Start the development of data sheets with a sample for one instrument and discuss the results; based on these adjust strategy for moving forward. 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Audrey, Mike,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Volunteer as “instrument champion” for instruments you are familiar with.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 Feb. 2015</w:t>
            </w:r>
          </w:p>
        </w:tc>
      </w:tr>
      <w:tr w:rsidR="00A81834" w:rsidRPr="00AE3571" w:rsidTr="00ED493F">
        <w:trPr>
          <w:cantSplit/>
        </w:trPr>
        <w:tc>
          <w:tcPr>
            <w:tcW w:w="710" w:type="dxa"/>
          </w:tcPr>
          <w:p w:rsidR="00A81834" w:rsidRPr="001D0402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reference report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 Feb 2015</w:t>
            </w:r>
          </w:p>
        </w:tc>
      </w:tr>
      <w:tr w:rsidR="00970BD3" w:rsidRPr="00BA0432" w:rsidTr="00DF146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70BD3" w:rsidRPr="00D141AC" w:rsidRDefault="00970BD3" w:rsidP="00DF146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22 January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Have a (series of) teleconference of the transfer function subgroup to finalize way forward for TF and to agree on who is doing what. Subgroup tentatively composed of: John, Daqing, Roy, (Mike), Bruce, Craig, Yves-Alain (W. Audrey and Floor), (Eva),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?,Samuel B.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Bruce/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Feb.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Some commissioning reports are still outstanding. 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managers</w:t>
            </w:r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BA0432" w:rsidTr="00CD41E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B46BC" w:rsidRPr="00D141AC" w:rsidRDefault="009B46BC" w:rsidP="00CD41E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15 January 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Follow up on investigation of minimum detectable signal.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Recommendation for all SPICE participants to review prev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ous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telecons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 Actions/decisions could serve as ‘pointers’ for how to proceed with different assignments. Look for items that tie in with specific tasks.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Default="00252E2B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B035F3" w:rsidRPr="00BA0432" w:rsidTr="008E49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035F3" w:rsidRPr="00D141AC" w:rsidRDefault="00B035F3" w:rsidP="00B035F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8 January 2015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Final report will have to provide guidance to Members on how to use the output of the 3 transducers, as some Me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bers use only one wire.</w:t>
            </w:r>
            <w:r>
              <w:rPr>
                <w:rFonts w:ascii="Arial" w:hAnsi="Arial"/>
                <w:sz w:val="20"/>
                <w:szCs w:val="20"/>
                <w:lang w:val="en-GB"/>
              </w:rPr>
              <w:br/>
              <w:t xml:space="preserve">Compile documentation on processing of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data.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2014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Carry-out comparison on the difference in results if using one or three wires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E3737">
              <w:rPr>
                <w:rFonts w:ascii="Arial" w:hAnsi="Arial"/>
                <w:sz w:val="20"/>
                <w:lang w:val="en-GB"/>
              </w:rPr>
              <w:t>Dec. 2015</w:t>
            </w:r>
          </w:p>
        </w:tc>
      </w:tr>
      <w:tr w:rsidR="00592573" w:rsidRPr="00BA0432" w:rsidTr="001B25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92573" w:rsidRPr="00D141AC" w:rsidRDefault="006D51EB" w:rsidP="0059257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</w:t>
            </w:r>
            <w:r w:rsidR="00592573">
              <w:rPr>
                <w:rFonts w:ascii="Arial" w:hAnsi="Arial"/>
                <w:b/>
                <w:sz w:val="20"/>
                <w:szCs w:val="20"/>
                <w:lang w:val="en-GB"/>
              </w:rPr>
              <w:t>of 4 December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4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question was raised if SPICE datasheets should include intensity plots and if they can be represented with the same 30min event periods. 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Recommendation from </w:t>
            </w: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Vuerich</w:t>
            </w:r>
            <w:proofErr w:type="spellEnd"/>
            <w:r>
              <w:rPr>
                <w:rFonts w:ascii="Arial" w:hAnsi="Arial"/>
                <w:lang w:val="en-GB"/>
              </w:rPr>
              <w:t>,</w:t>
            </w:r>
            <w:proofErr w:type="gramEnd"/>
            <w:r>
              <w:rPr>
                <w:rFonts w:ascii="Arial" w:hAnsi="Arial"/>
                <w:lang w:val="en-GB"/>
              </w:rPr>
              <w:t xml:space="preserve"> was to include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tensity plots in the datasheets. 1min datasets should be generated first, and then aggregated to other time periods (5, 10, 20min), to avoid losing information (compared to a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gregating the data directly in bigger time intervals).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 proposal, intensity criteria from FI RI to be applied to ca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culate intensities for gauges in FWRS.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to investigate further the intensity component for datasheets.</w:t>
            </w:r>
          </w:p>
          <w:p w:rsidR="00592573" w:rsidRPr="008909AF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Questions: What is minimum accumulation time needed to produce a ‘reliable’ rate? How does this vary by gauge? Fu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ther, how do we define what is ‘reliable’?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9F36FD" w:rsidRDefault="00592573" w:rsidP="001B25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170F81">
              <w:rPr>
                <w:rFonts w:ascii="Arial" w:hAnsi="Arial"/>
                <w:lang w:val="en-US"/>
              </w:rPr>
              <w:t xml:space="preserve">Mike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Pr="00170F81">
              <w:rPr>
                <w:rFonts w:ascii="Arial" w:hAnsi="Arial"/>
                <w:lang w:val="en-US"/>
              </w:rPr>
              <w:t xml:space="preserve">prepare and present R3 analysis from CARE site at a future </w:t>
            </w:r>
            <w:proofErr w:type="spellStart"/>
            <w:r w:rsidRPr="00170F81">
              <w:rPr>
                <w:rFonts w:ascii="Arial" w:hAnsi="Arial"/>
                <w:lang w:val="en-US"/>
              </w:rPr>
              <w:t>telcon</w:t>
            </w:r>
            <w:proofErr w:type="spellEnd"/>
            <w:r w:rsidRPr="00170F81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DA09B6" w:rsidRDefault="00592573" w:rsidP="001B2583">
            <w:pPr>
              <w:pStyle w:val="Version"/>
              <w:spacing w:before="0" w:after="0"/>
              <w:rPr>
                <w:rFonts w:ascii="Arial" w:hAnsi="Arial"/>
                <w:lang w:val="en-US"/>
              </w:rPr>
            </w:pPr>
            <w:r w:rsidRPr="00DA09B6">
              <w:rPr>
                <w:rFonts w:ascii="Arial" w:hAnsi="Arial"/>
                <w:lang w:val="en-US"/>
              </w:rPr>
              <w:t xml:space="preserve">Roy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="00D31898">
              <w:rPr>
                <w:rFonts w:ascii="Arial" w:hAnsi="Arial"/>
                <w:lang w:val="en-US"/>
              </w:rPr>
              <w:t xml:space="preserve">present </w:t>
            </w:r>
            <w:r w:rsidRPr="00DA09B6">
              <w:rPr>
                <w:rFonts w:ascii="Arial" w:hAnsi="Arial"/>
                <w:lang w:val="en-US"/>
              </w:rPr>
              <w:t>slides on the minimum detectable signal as a function of wind speed.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C36542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C36542" w:rsidRPr="00D141AC" w:rsidRDefault="00C36542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November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8909AF" w:rsidRDefault="00C36542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od.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1D040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C36542" w:rsidRPr="009F36FD" w:rsidRDefault="00C36542" w:rsidP="00C3654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All Site</w:t>
            </w:r>
            <w:r w:rsidR="006C658B"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managers are reminded to perform calibrations/field controls and document the process and results. 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</w:t>
            </w:r>
            <w:proofErr w:type="spellStart"/>
            <w:r>
              <w:rPr>
                <w:rFonts w:ascii="Arial" w:hAnsi="Arial"/>
                <w:lang w:val="en-GB"/>
              </w:rPr>
              <w:t>Pluvio</w:t>
            </w:r>
            <w:proofErr w:type="spellEnd"/>
            <w:r>
              <w:rPr>
                <w:rFonts w:ascii="Arial" w:hAnsi="Arial"/>
                <w:lang w:val="en-GB"/>
              </w:rPr>
              <w:t xml:space="preserve">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/Audrey</w:t>
            </w: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6C658B" w:rsidRPr="00C22EE7" w:rsidTr="00B022F4">
        <w:trPr>
          <w:cantSplit/>
        </w:trPr>
        <w:tc>
          <w:tcPr>
            <w:tcW w:w="710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658B" w:rsidRPr="009F05F7" w:rsidRDefault="006C658B" w:rsidP="006C658B">
            <w:pPr>
              <w:pStyle w:val="PlainText"/>
              <w:rPr>
                <w:rFonts w:ascii="Arial" w:hAnsi="Arial" w:cs="Arial"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 xml:space="preserve">On the processing of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data: many organiz</w:t>
            </w:r>
            <w:r w:rsidRPr="009F05F7">
              <w:rPr>
                <w:rFonts w:ascii="Arial" w:hAnsi="Arial" w:cs="Arial"/>
                <w:lang w:val="en-GB"/>
              </w:rPr>
              <w:t>a</w:t>
            </w:r>
            <w:r w:rsidRPr="009F05F7">
              <w:rPr>
                <w:rFonts w:ascii="Arial" w:hAnsi="Arial" w:cs="Arial"/>
                <w:lang w:val="en-GB"/>
              </w:rPr>
              <w:t xml:space="preserve">tions/groups have been using more advanced processing to improve the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accumulation report (CRN, NCAR, Norway, EC,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>), we acknowledge that we may/should r</w:t>
            </w:r>
            <w:r w:rsidRPr="009F05F7">
              <w:rPr>
                <w:rFonts w:ascii="Arial" w:hAnsi="Arial" w:cs="Arial"/>
                <w:lang w:val="en-GB"/>
              </w:rPr>
              <w:t>e</w:t>
            </w:r>
            <w:r w:rsidRPr="009F05F7">
              <w:rPr>
                <w:rFonts w:ascii="Arial" w:hAnsi="Arial" w:cs="Arial"/>
                <w:lang w:val="en-GB"/>
              </w:rPr>
              <w:t xml:space="preserve">visit the algorithm to achieve similar improvements. </w:t>
            </w:r>
          </w:p>
          <w:p w:rsidR="006C658B" w:rsidRPr="009F05F7" w:rsidRDefault="006C658B" w:rsidP="001732C5">
            <w:pPr>
              <w:pStyle w:val="PlainText"/>
              <w:rPr>
                <w:rFonts w:ascii="Arial" w:hAnsi="Arial"/>
                <w:strike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>At the minimum, we may use a standard dataset and pr</w:t>
            </w:r>
            <w:r w:rsidRPr="009F05F7">
              <w:rPr>
                <w:rFonts w:ascii="Arial" w:hAnsi="Arial" w:cs="Arial"/>
                <w:lang w:val="en-GB"/>
              </w:rPr>
              <w:t>o</w:t>
            </w:r>
            <w:r w:rsidRPr="009F05F7">
              <w:rPr>
                <w:rFonts w:ascii="Arial" w:hAnsi="Arial" w:cs="Arial"/>
                <w:lang w:val="en-GB"/>
              </w:rPr>
              <w:t>cess it with the algorithms we are aware of, and see the di</w:t>
            </w:r>
            <w:r w:rsidRPr="009F05F7">
              <w:rPr>
                <w:rFonts w:ascii="Arial" w:hAnsi="Arial" w:cs="Arial"/>
                <w:lang w:val="en-GB"/>
              </w:rPr>
              <w:t>f</w:t>
            </w:r>
            <w:r w:rsidRPr="009F05F7">
              <w:rPr>
                <w:rFonts w:ascii="Arial" w:hAnsi="Arial" w:cs="Arial"/>
                <w:lang w:val="en-GB"/>
              </w:rPr>
              <w:t>ferences.</w:t>
            </w:r>
          </w:p>
        </w:tc>
        <w:tc>
          <w:tcPr>
            <w:tcW w:w="1701" w:type="dxa"/>
            <w:gridSpan w:val="4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6C658B" w:rsidRPr="006C658B" w:rsidRDefault="00252E2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813AE7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B51591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>From teleconference of 23 October 2014</w:t>
            </w:r>
          </w:p>
        </w:tc>
      </w:tr>
      <w:tr w:rsidR="00B51591" w:rsidRPr="009D6479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622703" w:rsidTr="00B022F4">
        <w:trPr>
          <w:cantSplit/>
          <w:trHeight w:val="1180"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SR50, used to select snowfall events, will be changed for a similar model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622703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226AA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Pr="001704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704A5">
              <w:rPr>
                <w:rFonts w:ascii="Arial" w:hAnsi="Arial"/>
                <w:lang w:val="en-GB"/>
              </w:rPr>
              <w:t>Use the opportunity of the review of data availability for a</w:t>
            </w:r>
            <w:r w:rsidRPr="001704A5">
              <w:rPr>
                <w:rFonts w:ascii="Arial" w:hAnsi="Arial"/>
                <w:lang w:val="en-GB"/>
              </w:rPr>
              <w:t>s</w:t>
            </w:r>
            <w:r w:rsidRPr="001704A5">
              <w:rPr>
                <w:rFonts w:ascii="Arial" w:hAnsi="Arial"/>
                <w:lang w:val="en-GB"/>
              </w:rPr>
              <w:t>sessing the type of plots and analysis that needs to be co</w:t>
            </w:r>
            <w:r w:rsidRPr="001704A5">
              <w:rPr>
                <w:rFonts w:ascii="Arial" w:hAnsi="Arial"/>
                <w:lang w:val="en-GB"/>
              </w:rPr>
              <w:t>n</w:t>
            </w:r>
            <w:r w:rsidRPr="001704A5"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 w:rsidRPr="001704A5">
              <w:rPr>
                <w:rFonts w:ascii="Arial" w:hAnsi="Arial"/>
                <w:lang w:val="en-GB"/>
              </w:rPr>
              <w:t>developing plots to assess whet</w:t>
            </w:r>
            <w:r w:rsidRPr="001704A5">
              <w:rPr>
                <w:rFonts w:ascii="Arial" w:hAnsi="Arial"/>
                <w:lang w:val="en-GB"/>
              </w:rPr>
              <w:t>h</w:t>
            </w:r>
            <w:r w:rsidR="001E50F8" w:rsidRPr="001704A5">
              <w:rPr>
                <w:rFonts w:ascii="Arial" w:hAnsi="Arial"/>
                <w:lang w:val="en-GB"/>
              </w:rPr>
              <w:t>e</w:t>
            </w:r>
            <w:r w:rsidRPr="001704A5"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 w:rsidRPr="001704A5"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End of O</w:t>
            </w:r>
            <w:r w:rsidRPr="001704A5">
              <w:rPr>
                <w:rFonts w:ascii="Arial" w:hAnsi="Arial"/>
                <w:sz w:val="20"/>
                <w:lang w:val="en-GB"/>
              </w:rPr>
              <w:t>c</w:t>
            </w:r>
            <w:r w:rsidRPr="001704A5"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 w:rsidR="00305683"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p w:rsidR="0044540E" w:rsidRDefault="0044540E">
      <w:pPr>
        <w:pStyle w:val="Paragraph1"/>
        <w:spacing w:before="0" w:after="0"/>
        <w:rPr>
          <w:rFonts w:ascii="Arial" w:hAnsi="Arial"/>
          <w:sz w:val="20"/>
          <w:lang w:val="en-GB"/>
        </w:rPr>
      </w:pPr>
    </w:p>
    <w:sectPr w:rsidR="0044540E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E6" w:rsidRDefault="00CF33E6">
      <w:r>
        <w:separator/>
      </w:r>
    </w:p>
  </w:endnote>
  <w:endnote w:type="continuationSeparator" w:id="0">
    <w:p w:rsidR="00CF33E6" w:rsidRDefault="00CF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CF33E6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CF33E6" w:rsidRDefault="00CF33E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CF33E6" w:rsidRDefault="00CF33E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CF33E6" w:rsidRDefault="00CF33E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CF33E6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CF33E6" w:rsidRDefault="00CF33E6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CF33E6" w:rsidRDefault="00CF33E6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CF33E6" w:rsidRDefault="00CF33E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C175A8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C175A8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CF33E6" w:rsidRDefault="00CF33E6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E6" w:rsidRDefault="00CF33E6">
      <w:r>
        <w:separator/>
      </w:r>
    </w:p>
  </w:footnote>
  <w:footnote w:type="continuationSeparator" w:id="0">
    <w:p w:rsidR="00CF33E6" w:rsidRDefault="00CF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CF33E6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CF33E6" w:rsidRPr="00044752" w:rsidRDefault="00CF33E6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CF33E6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CF33E6" w:rsidRPr="00044752" w:rsidRDefault="00CF33E6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CF33E6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CF33E6" w:rsidRPr="00044752" w:rsidRDefault="00CF33E6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CF33E6" w:rsidRPr="00044752" w:rsidRDefault="00CF33E6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CF33E6" w:rsidRPr="00044752" w:rsidRDefault="00CF33E6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0"/>
  </w:num>
  <w:num w:numId="13">
    <w:abstractNumId w:val="26"/>
  </w:num>
  <w:num w:numId="14">
    <w:abstractNumId w:val="28"/>
  </w:num>
  <w:num w:numId="15">
    <w:abstractNumId w:val="20"/>
  </w:num>
  <w:num w:numId="16">
    <w:abstractNumId w:val="23"/>
  </w:num>
  <w:num w:numId="17">
    <w:abstractNumId w:val="17"/>
  </w:num>
  <w:num w:numId="18">
    <w:abstractNumId w:val="11"/>
  </w:num>
  <w:num w:numId="19">
    <w:abstractNumId w:val="32"/>
  </w:num>
  <w:num w:numId="20">
    <w:abstractNumId w:val="29"/>
  </w:num>
  <w:num w:numId="21">
    <w:abstractNumId w:val="18"/>
  </w:num>
  <w:num w:numId="22">
    <w:abstractNumId w:val="35"/>
  </w:num>
  <w:num w:numId="23">
    <w:abstractNumId w:val="12"/>
  </w:num>
  <w:num w:numId="24">
    <w:abstractNumId w:val="13"/>
  </w:num>
  <w:num w:numId="25">
    <w:abstractNumId w:val="31"/>
  </w:num>
  <w:num w:numId="26">
    <w:abstractNumId w:val="22"/>
  </w:num>
  <w:num w:numId="27">
    <w:abstractNumId w:val="25"/>
  </w:num>
  <w:num w:numId="28">
    <w:abstractNumId w:val="24"/>
  </w:num>
  <w:num w:numId="29">
    <w:abstractNumId w:val="21"/>
  </w:num>
  <w:num w:numId="30">
    <w:abstractNumId w:val="19"/>
  </w:num>
  <w:num w:numId="31">
    <w:abstractNumId w:val="14"/>
  </w:num>
  <w:num w:numId="32">
    <w:abstractNumId w:val="30"/>
  </w:num>
  <w:num w:numId="33">
    <w:abstractNumId w:val="33"/>
  </w:num>
  <w:num w:numId="34">
    <w:abstractNumId w:val="36"/>
  </w:num>
  <w:num w:numId="35">
    <w:abstractNumId w:val="16"/>
  </w:num>
  <w:num w:numId="36">
    <w:abstractNumId w:val="27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6714"/>
    <w:rsid w:val="00106289"/>
    <w:rsid w:val="00113147"/>
    <w:rsid w:val="00113DE3"/>
    <w:rsid w:val="0011645C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61FE"/>
    <w:rsid w:val="001A6A1B"/>
    <w:rsid w:val="001B166A"/>
    <w:rsid w:val="001B1BFD"/>
    <w:rsid w:val="001B1D55"/>
    <w:rsid w:val="001B2583"/>
    <w:rsid w:val="001C0EE8"/>
    <w:rsid w:val="001C389A"/>
    <w:rsid w:val="001C605D"/>
    <w:rsid w:val="001D01E8"/>
    <w:rsid w:val="001D0402"/>
    <w:rsid w:val="001D3EC5"/>
    <w:rsid w:val="001E28D6"/>
    <w:rsid w:val="001E3737"/>
    <w:rsid w:val="001E50F8"/>
    <w:rsid w:val="001F33F5"/>
    <w:rsid w:val="001F3E88"/>
    <w:rsid w:val="001F6FFE"/>
    <w:rsid w:val="00200993"/>
    <w:rsid w:val="002032B0"/>
    <w:rsid w:val="002065F7"/>
    <w:rsid w:val="00211702"/>
    <w:rsid w:val="0021273B"/>
    <w:rsid w:val="00221CF2"/>
    <w:rsid w:val="002240DD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3BA9"/>
    <w:rsid w:val="00464D45"/>
    <w:rsid w:val="00466BD1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D5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E58D1"/>
    <w:rsid w:val="005F49EB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60721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6F67"/>
    <w:rsid w:val="007906B5"/>
    <w:rsid w:val="0079241C"/>
    <w:rsid w:val="00793BDA"/>
    <w:rsid w:val="00793E35"/>
    <w:rsid w:val="0079783A"/>
    <w:rsid w:val="007A0434"/>
    <w:rsid w:val="007A508D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C67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84B55"/>
    <w:rsid w:val="0089007D"/>
    <w:rsid w:val="008908AF"/>
    <w:rsid w:val="00890926"/>
    <w:rsid w:val="008909AF"/>
    <w:rsid w:val="00893968"/>
    <w:rsid w:val="0089446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3CD0"/>
    <w:rsid w:val="008D4B41"/>
    <w:rsid w:val="008D57EB"/>
    <w:rsid w:val="008E4954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246AB"/>
    <w:rsid w:val="009247E0"/>
    <w:rsid w:val="0093354C"/>
    <w:rsid w:val="009377E8"/>
    <w:rsid w:val="0094320B"/>
    <w:rsid w:val="00947A11"/>
    <w:rsid w:val="0095248B"/>
    <w:rsid w:val="00952EA4"/>
    <w:rsid w:val="0096068C"/>
    <w:rsid w:val="00961614"/>
    <w:rsid w:val="00962723"/>
    <w:rsid w:val="00962CB8"/>
    <w:rsid w:val="00970BD3"/>
    <w:rsid w:val="0097217D"/>
    <w:rsid w:val="0097318D"/>
    <w:rsid w:val="00975581"/>
    <w:rsid w:val="00983DB8"/>
    <w:rsid w:val="00991DED"/>
    <w:rsid w:val="009A1AB9"/>
    <w:rsid w:val="009A2309"/>
    <w:rsid w:val="009A3155"/>
    <w:rsid w:val="009A5FE0"/>
    <w:rsid w:val="009A66A9"/>
    <w:rsid w:val="009B2BB2"/>
    <w:rsid w:val="009B46AE"/>
    <w:rsid w:val="009B46BC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12BC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2DD4"/>
    <w:rsid w:val="00AF3A93"/>
    <w:rsid w:val="00AF52A3"/>
    <w:rsid w:val="00AF769F"/>
    <w:rsid w:val="00B00243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60816"/>
    <w:rsid w:val="00B60E26"/>
    <w:rsid w:val="00B6445E"/>
    <w:rsid w:val="00B64710"/>
    <w:rsid w:val="00B64A24"/>
    <w:rsid w:val="00B64E3C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F40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3598C3A5.dotm</Template>
  <TotalTime>63</TotalTime>
  <Pages>8</Pages>
  <Words>2491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8</cp:revision>
  <cp:lastPrinted>2015-03-03T07:58:00Z</cp:lastPrinted>
  <dcterms:created xsi:type="dcterms:W3CDTF">2015-03-08T02:48:00Z</dcterms:created>
  <dcterms:modified xsi:type="dcterms:W3CDTF">2015-03-12T16:08:00Z</dcterms:modified>
</cp:coreProperties>
</file>