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rPr>
          <w:rFonts w:cs="Arial"/>
          <w:i/>
        </w:rPr>
      </w:pPr>
    </w:p>
    <w:p w:rsidR="001B6211" w:rsidRPr="00571176" w:rsidRDefault="001B6211" w:rsidP="001B6211">
      <w:pPr>
        <w:pStyle w:val="BodyTextIndent"/>
        <w:ind w:left="0"/>
        <w:rPr>
          <w:rFonts w:ascii="Arial" w:hAnsi="Arial" w:cs="Arial"/>
          <w:i/>
        </w:rPr>
      </w:pPr>
    </w:p>
    <w:p w:rsidR="001B6211" w:rsidRPr="00571176" w:rsidRDefault="001B6211" w:rsidP="00CE30F3">
      <w:pPr>
        <w:pStyle w:val="BodyTextIndent"/>
        <w:ind w:left="0" w:firstLine="0"/>
        <w:jc w:val="center"/>
        <w:rPr>
          <w:rFonts w:ascii="Arial" w:hAnsi="Arial" w:cs="Arial"/>
          <w:b/>
          <w:sz w:val="28"/>
        </w:rPr>
      </w:pPr>
      <w:r w:rsidRPr="00571176">
        <w:rPr>
          <w:rFonts w:ascii="Arial" w:hAnsi="Arial" w:cs="Arial"/>
          <w:b/>
          <w:sz w:val="36"/>
        </w:rPr>
        <w:t>Recommended Spare Parts</w:t>
      </w:r>
    </w:p>
    <w:p w:rsidR="001B6211" w:rsidRPr="00571176" w:rsidRDefault="001B6211" w:rsidP="00CE30F3">
      <w:pPr>
        <w:pStyle w:val="BodyTextIndent"/>
        <w:ind w:left="0" w:firstLine="0"/>
        <w:jc w:val="center"/>
        <w:rPr>
          <w:rFonts w:ascii="Arial" w:hAnsi="Arial" w:cs="Arial"/>
          <w:sz w:val="28"/>
        </w:rPr>
      </w:pPr>
    </w:p>
    <w:p w:rsidR="001B6211" w:rsidRPr="00571176" w:rsidRDefault="001B6211" w:rsidP="00CE30F3">
      <w:pPr>
        <w:pStyle w:val="BodyTextIndent"/>
        <w:ind w:left="0" w:firstLine="0"/>
        <w:jc w:val="center"/>
        <w:rPr>
          <w:rFonts w:ascii="Arial" w:hAnsi="Arial" w:cs="Arial"/>
          <w:b/>
          <w:sz w:val="32"/>
        </w:rPr>
      </w:pPr>
      <w:r w:rsidRPr="00571176">
        <w:rPr>
          <w:rFonts w:ascii="Arial" w:hAnsi="Arial" w:cs="Arial"/>
          <w:sz w:val="28"/>
        </w:rPr>
        <w:t xml:space="preserve">for the </w:t>
      </w:r>
    </w:p>
    <w:p w:rsidR="001B6211" w:rsidRPr="00571176" w:rsidRDefault="001B6211" w:rsidP="001B6211">
      <w:pPr>
        <w:jc w:val="center"/>
        <w:rPr>
          <w:rFonts w:cs="Arial"/>
          <w:sz w:val="32"/>
        </w:rPr>
      </w:pPr>
    </w:p>
    <w:p w:rsidR="001B6211" w:rsidRPr="00571176" w:rsidRDefault="001B6211" w:rsidP="00CE30F3">
      <w:pPr>
        <w:pStyle w:val="BodyText2"/>
        <w:ind w:right="-188"/>
        <w:jc w:val="center"/>
        <w:rPr>
          <w:rFonts w:cs="Arial"/>
          <w:b/>
          <w:sz w:val="36"/>
          <w:szCs w:val="36"/>
        </w:rPr>
      </w:pPr>
      <w:r w:rsidRPr="00571176">
        <w:rPr>
          <w:rFonts w:cs="Arial"/>
          <w:b/>
          <w:sz w:val="36"/>
          <w:szCs w:val="36"/>
        </w:rPr>
        <w:t>Procurement of Meteorological Observation Systems</w:t>
      </w:r>
    </w:p>
    <w:p w:rsidR="001B6211" w:rsidRDefault="001B6211" w:rsidP="001B6211">
      <w:pPr>
        <w:rPr>
          <w:rFonts w:cs="Arial"/>
          <w:sz w:val="32"/>
        </w:rPr>
      </w:pPr>
    </w:p>
    <w:p w:rsidR="00C82362" w:rsidRDefault="00C82362" w:rsidP="001B6211">
      <w:pPr>
        <w:rPr>
          <w:rFonts w:cs="Arial"/>
          <w:sz w:val="32"/>
        </w:rPr>
      </w:pPr>
    </w:p>
    <w:p w:rsidR="00C82362" w:rsidRDefault="00C82362" w:rsidP="001B6211">
      <w:pPr>
        <w:rPr>
          <w:rFonts w:cs="Arial"/>
          <w:sz w:val="32"/>
        </w:rPr>
      </w:pPr>
    </w:p>
    <w:p w:rsidR="00C82362" w:rsidRPr="00571176" w:rsidRDefault="00C82362" w:rsidP="001B6211">
      <w:pPr>
        <w:rPr>
          <w:rFonts w:cs="Arial"/>
          <w:sz w:val="32"/>
        </w:rPr>
      </w:pPr>
      <w:bookmarkStart w:id="0" w:name="_GoBack"/>
      <w:bookmarkEnd w:id="0"/>
    </w:p>
    <w:p w:rsidR="001B6211" w:rsidRPr="00571176" w:rsidRDefault="001B6211" w:rsidP="001B6211">
      <w:pPr>
        <w:rPr>
          <w:rFonts w:cs="Arial"/>
        </w:rPr>
      </w:pPr>
    </w:p>
    <w:p w:rsidR="001B6211" w:rsidRPr="00571176" w:rsidRDefault="001B6211" w:rsidP="001B6211">
      <w:pPr>
        <w:rPr>
          <w:rFonts w:cs="Arial"/>
        </w:rPr>
      </w:pPr>
    </w:p>
    <w:p w:rsidR="001B6211" w:rsidRPr="00571176" w:rsidRDefault="001B6211" w:rsidP="001B6211">
      <w:pPr>
        <w:spacing w:line="480" w:lineRule="atLeast"/>
        <w:jc w:val="center"/>
        <w:rPr>
          <w:rFonts w:cs="Arial"/>
        </w:rPr>
      </w:pPr>
    </w:p>
    <w:p w:rsidR="001B6211" w:rsidRPr="00571176" w:rsidRDefault="001B6211" w:rsidP="001B6211">
      <w:pPr>
        <w:spacing w:line="480" w:lineRule="atLeast"/>
        <w:jc w:val="center"/>
        <w:rPr>
          <w:rFonts w:cs="Arial"/>
        </w:rPr>
      </w:pPr>
    </w:p>
    <w:p w:rsidR="001B6211" w:rsidRPr="00571176" w:rsidRDefault="001B6211" w:rsidP="001B6211">
      <w:pPr>
        <w:spacing w:line="480" w:lineRule="atLeast"/>
        <w:jc w:val="center"/>
        <w:rPr>
          <w:rFonts w:cs="Arial"/>
        </w:rPr>
      </w:pPr>
    </w:p>
    <w:p w:rsidR="001B6211" w:rsidRPr="00571176" w:rsidRDefault="001B6211" w:rsidP="001B6211">
      <w:pPr>
        <w:spacing w:line="480" w:lineRule="atLeast"/>
        <w:rPr>
          <w:rFonts w:cs="Arial"/>
        </w:rPr>
      </w:pPr>
    </w:p>
    <w:p w:rsidR="001B6211" w:rsidRPr="00571176" w:rsidRDefault="001B6211" w:rsidP="001B6211">
      <w:pPr>
        <w:pStyle w:val="TOC3"/>
        <w:rPr>
          <w:rFonts w:ascii="Arial" w:hAnsi="Arial" w:cs="Arial"/>
        </w:rPr>
      </w:pPr>
    </w:p>
    <w:p w:rsidR="001B6211" w:rsidRPr="00571176" w:rsidRDefault="001B6211" w:rsidP="001B6211">
      <w:pPr>
        <w:rPr>
          <w:rFonts w:cs="Arial"/>
        </w:rPr>
      </w:pPr>
    </w:p>
    <w:p w:rsidR="001B6211" w:rsidRPr="00571176" w:rsidRDefault="001B6211" w:rsidP="001B6211">
      <w:pPr>
        <w:rPr>
          <w:rFonts w:cs="Arial"/>
          <w:b/>
          <w:sz w:val="28"/>
        </w:rPr>
      </w:pPr>
      <w:r w:rsidRPr="00571176">
        <w:rPr>
          <w:rFonts w:cs="Arial"/>
          <w:b/>
          <w:sz w:val="28"/>
        </w:rPr>
        <w:lastRenderedPageBreak/>
        <w:t>Contents</w:t>
      </w:r>
    </w:p>
    <w:p w:rsidR="001B6211" w:rsidRPr="00571176" w:rsidRDefault="001B6211" w:rsidP="001B6211">
      <w:pPr>
        <w:rPr>
          <w:rFonts w:cs="Arial"/>
          <w:sz w:val="16"/>
        </w:rPr>
      </w:pPr>
    </w:p>
    <w:p w:rsidR="001B6211" w:rsidRPr="00571176" w:rsidRDefault="001B6211" w:rsidP="001B6211">
      <w:pPr>
        <w:rPr>
          <w:rFonts w:cs="Arial"/>
          <w:sz w:val="16"/>
        </w:rPr>
      </w:pPr>
    </w:p>
    <w:p w:rsidR="001B6211" w:rsidRPr="00571176" w:rsidRDefault="001B6211" w:rsidP="001B6211">
      <w:pPr>
        <w:pStyle w:val="TOC1"/>
        <w:tabs>
          <w:tab w:val="left" w:pos="400"/>
          <w:tab w:val="right" w:leader="dot" w:pos="9016"/>
        </w:tabs>
        <w:rPr>
          <w:rFonts w:ascii="Arial" w:eastAsiaTheme="minorEastAsia" w:hAnsi="Arial" w:cs="Arial"/>
          <w:b w:val="0"/>
          <w:bCs w:val="0"/>
          <w:caps w:val="0"/>
          <w:noProof/>
          <w:sz w:val="24"/>
          <w:szCs w:val="24"/>
          <w:lang w:val="en-US"/>
        </w:rPr>
      </w:pPr>
    </w:p>
    <w:p w:rsidR="001B6211" w:rsidRPr="00571176" w:rsidRDefault="001B6211" w:rsidP="001B6211">
      <w:pPr>
        <w:pStyle w:val="TOC1"/>
        <w:tabs>
          <w:tab w:val="left" w:pos="400"/>
          <w:tab w:val="right" w:leader="dot" w:pos="9016"/>
        </w:tabs>
        <w:rPr>
          <w:rFonts w:ascii="Arial" w:eastAsiaTheme="minorEastAsia" w:hAnsi="Arial" w:cs="Arial"/>
          <w:b w:val="0"/>
          <w:bCs w:val="0"/>
          <w:caps w:val="0"/>
          <w:noProof/>
          <w:sz w:val="24"/>
          <w:szCs w:val="24"/>
          <w:lang w:val="en-US"/>
        </w:rPr>
      </w:pPr>
      <w:r w:rsidRPr="00571176">
        <w:rPr>
          <w:rFonts w:ascii="Arial" w:hAnsi="Arial" w:cs="Arial"/>
          <w:noProof/>
        </w:rPr>
        <w:t>1</w:t>
      </w:r>
      <w:r w:rsidRPr="00571176">
        <w:rPr>
          <w:rFonts w:ascii="Arial" w:eastAsiaTheme="minorEastAsia" w:hAnsi="Arial" w:cs="Arial"/>
          <w:b w:val="0"/>
          <w:bCs w:val="0"/>
          <w:caps w:val="0"/>
          <w:noProof/>
          <w:sz w:val="24"/>
          <w:szCs w:val="24"/>
          <w:lang w:val="en-US"/>
        </w:rPr>
        <w:tab/>
      </w:r>
      <w:r w:rsidRPr="00571176">
        <w:rPr>
          <w:rFonts w:ascii="Arial" w:hAnsi="Arial" w:cs="Arial"/>
          <w:noProof/>
        </w:rPr>
        <w:t>Recommended Spare Parts</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_Toc512527476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79</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1.1</w:t>
      </w:r>
      <w:r w:rsidRPr="00571176">
        <w:rPr>
          <w:rFonts w:ascii="Arial" w:eastAsiaTheme="minorEastAsia" w:hAnsi="Arial" w:cs="Arial"/>
          <w:smallCaps w:val="0"/>
          <w:noProof/>
          <w:sz w:val="24"/>
          <w:szCs w:val="24"/>
          <w:lang w:val="en-US"/>
        </w:rPr>
        <w:tab/>
      </w:r>
      <w:r w:rsidRPr="00571176">
        <w:rPr>
          <w:rFonts w:ascii="Arial" w:hAnsi="Arial" w:cs="Arial"/>
          <w:noProof/>
        </w:rPr>
        <w:t>General</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_Toc512527477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79</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1.2</w:t>
      </w:r>
      <w:r w:rsidRPr="00571176">
        <w:rPr>
          <w:rFonts w:ascii="Arial" w:eastAsiaTheme="minorEastAsia" w:hAnsi="Arial" w:cs="Arial"/>
          <w:smallCaps w:val="0"/>
          <w:noProof/>
          <w:sz w:val="24"/>
          <w:szCs w:val="24"/>
          <w:lang w:val="en-US"/>
        </w:rPr>
        <w:tab/>
      </w:r>
      <w:r w:rsidRPr="00571176">
        <w:rPr>
          <w:rFonts w:ascii="Arial" w:hAnsi="Arial" w:cs="Arial"/>
          <w:noProof/>
        </w:rPr>
        <w:t>Recommended Spare Parts List (RSPL)</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_Toc512527478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79</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1.3</w:t>
      </w:r>
      <w:r w:rsidRPr="00571176">
        <w:rPr>
          <w:rFonts w:ascii="Arial" w:eastAsiaTheme="minorEastAsia" w:hAnsi="Arial" w:cs="Arial"/>
          <w:smallCaps w:val="0"/>
          <w:noProof/>
          <w:sz w:val="24"/>
          <w:szCs w:val="24"/>
          <w:lang w:val="en-US"/>
        </w:rPr>
        <w:tab/>
      </w:r>
      <w:r w:rsidRPr="00571176">
        <w:rPr>
          <w:rFonts w:ascii="Arial" w:hAnsi="Arial" w:cs="Arial"/>
          <w:noProof/>
        </w:rPr>
        <w:t>Provisioning Conference</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_Toc512527479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79</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1.4</w:t>
      </w:r>
      <w:r w:rsidRPr="00571176">
        <w:rPr>
          <w:rFonts w:ascii="Arial" w:eastAsiaTheme="minorEastAsia" w:hAnsi="Arial" w:cs="Arial"/>
          <w:smallCaps w:val="0"/>
          <w:noProof/>
          <w:sz w:val="24"/>
          <w:szCs w:val="24"/>
          <w:lang w:val="en-US"/>
        </w:rPr>
        <w:tab/>
      </w:r>
      <w:r w:rsidRPr="00571176">
        <w:rPr>
          <w:rFonts w:ascii="Arial" w:hAnsi="Arial" w:cs="Arial"/>
          <w:noProof/>
        </w:rPr>
        <w:t>Delivery</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_Toc512527480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79</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1.5</w:t>
      </w:r>
      <w:r w:rsidRPr="00571176">
        <w:rPr>
          <w:rFonts w:ascii="Arial" w:eastAsiaTheme="minorEastAsia" w:hAnsi="Arial" w:cs="Arial"/>
          <w:smallCaps w:val="0"/>
          <w:noProof/>
          <w:sz w:val="24"/>
          <w:szCs w:val="24"/>
          <w:lang w:val="en-US"/>
        </w:rPr>
        <w:tab/>
      </w:r>
      <w:r w:rsidRPr="00571176">
        <w:rPr>
          <w:rFonts w:ascii="Arial" w:hAnsi="Arial" w:cs="Arial"/>
          <w:noProof/>
        </w:rPr>
        <w:t>Material Change Note</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_Toc512527481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80</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r w:rsidRPr="00571176">
        <w:rPr>
          <w:rFonts w:ascii="Arial" w:hAnsi="Arial" w:cs="Arial"/>
          <w:noProof/>
        </w:rPr>
        <w:t>1.6</w:t>
      </w:r>
      <w:r w:rsidRPr="00571176">
        <w:rPr>
          <w:rFonts w:ascii="Arial" w:eastAsiaTheme="minorEastAsia" w:hAnsi="Arial" w:cs="Arial"/>
          <w:smallCaps w:val="0"/>
          <w:noProof/>
          <w:sz w:val="24"/>
          <w:szCs w:val="24"/>
          <w:lang w:val="en-US"/>
        </w:rPr>
        <w:tab/>
      </w:r>
      <w:r w:rsidRPr="00571176">
        <w:rPr>
          <w:rFonts w:ascii="Arial" w:hAnsi="Arial" w:cs="Arial"/>
          <w:noProof/>
        </w:rPr>
        <w:t>Packaging Storage/Stowage Information</w:t>
      </w:r>
      <w:r w:rsidRPr="00571176">
        <w:rPr>
          <w:rFonts w:ascii="Arial" w:hAnsi="Arial" w:cs="Arial"/>
          <w:noProof/>
        </w:rPr>
        <w:tab/>
      </w:r>
      <w:r w:rsidRPr="00571176">
        <w:rPr>
          <w:rFonts w:ascii="Arial" w:hAnsi="Arial" w:cs="Arial"/>
          <w:noProof/>
        </w:rPr>
        <w:fldChar w:fldCharType="begin"/>
      </w:r>
      <w:r w:rsidRPr="00571176">
        <w:rPr>
          <w:rFonts w:ascii="Arial" w:hAnsi="Arial" w:cs="Arial"/>
          <w:noProof/>
        </w:rPr>
        <w:instrText xml:space="preserve"> PAGEREF _Toc512527482 \h </w:instrText>
      </w:r>
      <w:r w:rsidRPr="00571176">
        <w:rPr>
          <w:rFonts w:ascii="Arial" w:hAnsi="Arial" w:cs="Arial"/>
          <w:noProof/>
        </w:rPr>
      </w:r>
      <w:r w:rsidRPr="00571176">
        <w:rPr>
          <w:rFonts w:ascii="Arial" w:hAnsi="Arial" w:cs="Arial"/>
          <w:noProof/>
        </w:rPr>
        <w:fldChar w:fldCharType="separate"/>
      </w:r>
      <w:r w:rsidRPr="00571176">
        <w:rPr>
          <w:rFonts w:ascii="Arial" w:hAnsi="Arial" w:cs="Arial"/>
          <w:noProof/>
        </w:rPr>
        <w:t>80</w:t>
      </w:r>
      <w:r w:rsidRPr="00571176">
        <w:rPr>
          <w:rFonts w:ascii="Arial" w:hAnsi="Arial" w:cs="Arial"/>
          <w:noProof/>
        </w:rPr>
        <w:fldChar w:fldCharType="end"/>
      </w:r>
    </w:p>
    <w:p w:rsidR="001B6211" w:rsidRPr="00571176" w:rsidRDefault="001B6211" w:rsidP="001B6211">
      <w:pPr>
        <w:pStyle w:val="TOC2"/>
        <w:tabs>
          <w:tab w:val="left" w:pos="800"/>
          <w:tab w:val="right" w:leader="dot" w:pos="9016"/>
        </w:tabs>
        <w:rPr>
          <w:rFonts w:ascii="Arial" w:eastAsiaTheme="minorEastAsia" w:hAnsi="Arial" w:cs="Arial"/>
          <w:smallCaps w:val="0"/>
          <w:noProof/>
          <w:sz w:val="24"/>
          <w:szCs w:val="24"/>
          <w:lang w:val="en-US"/>
        </w:rPr>
      </w:pPr>
    </w:p>
    <w:p w:rsidR="001B6211" w:rsidRPr="00571176" w:rsidRDefault="001B6211" w:rsidP="001B6211">
      <w:pPr>
        <w:rPr>
          <w:rFonts w:cs="Arial"/>
          <w:sz w:val="16"/>
        </w:rPr>
      </w:pPr>
      <w:r w:rsidRPr="00571176">
        <w:rPr>
          <w:rFonts w:cs="Arial"/>
          <w:sz w:val="16"/>
        </w:rPr>
        <w:t xml:space="preserve"> </w:t>
      </w:r>
    </w:p>
    <w:p w:rsidR="00571176" w:rsidRPr="000C68DF" w:rsidRDefault="00571176" w:rsidP="00571176">
      <w:pPr>
        <w:pStyle w:val="Heading1"/>
        <w:pageBreakBefore/>
        <w:numPr>
          <w:ilvl w:val="0"/>
          <w:numId w:val="9"/>
        </w:numPr>
        <w:spacing w:before="0" w:line="240" w:lineRule="auto"/>
        <w:rPr>
          <w:rFonts w:cs="Arial"/>
          <w:szCs w:val="28"/>
        </w:rPr>
      </w:pPr>
      <w:bookmarkStart w:id="1" w:name="_Toc471551534"/>
      <w:bookmarkStart w:id="2" w:name="_Toc512521034"/>
      <w:bookmarkStart w:id="3" w:name="_Toc512524231"/>
      <w:bookmarkStart w:id="4" w:name="_Toc512526894"/>
      <w:bookmarkStart w:id="5" w:name="_Toc512527043"/>
      <w:bookmarkStart w:id="6" w:name="_Toc512527194"/>
      <w:bookmarkStart w:id="7" w:name="_Toc512527374"/>
      <w:bookmarkStart w:id="8" w:name="_Toc512527522"/>
      <w:bookmarkStart w:id="9" w:name="_Toc512630942"/>
      <w:bookmarkStart w:id="10" w:name="_Toc513471156"/>
      <w:bookmarkStart w:id="11" w:name="_Toc513474546"/>
      <w:bookmarkStart w:id="12" w:name="_Toc513474888"/>
      <w:bookmarkStart w:id="13" w:name="_Toc463337733"/>
      <w:bookmarkStart w:id="14" w:name="_Toc512521172"/>
      <w:bookmarkStart w:id="15" w:name="_Toc512524369"/>
      <w:bookmarkStart w:id="16" w:name="_Toc512524659"/>
      <w:bookmarkStart w:id="17" w:name="_Toc512526848"/>
      <w:bookmarkStart w:id="18" w:name="_Toc512526996"/>
      <w:bookmarkStart w:id="19" w:name="_Toc512527145"/>
      <w:bookmarkStart w:id="20" w:name="_Toc512527328"/>
      <w:bookmarkStart w:id="21" w:name="_Toc512527476"/>
      <w:bookmarkStart w:id="22" w:name="_Toc512527624"/>
      <w:bookmarkStart w:id="23" w:name="_Toc512631044"/>
      <w:r w:rsidRPr="000C68DF">
        <w:rPr>
          <w:rFonts w:cs="Arial"/>
          <w:szCs w:val="28"/>
        </w:rPr>
        <w:lastRenderedPageBreak/>
        <w:t>INTRODUCTION</w:t>
      </w:r>
      <w:bookmarkEnd w:id="1"/>
      <w:bookmarkEnd w:id="2"/>
      <w:bookmarkEnd w:id="3"/>
      <w:bookmarkEnd w:id="4"/>
      <w:bookmarkEnd w:id="5"/>
      <w:bookmarkEnd w:id="6"/>
      <w:bookmarkEnd w:id="7"/>
      <w:bookmarkEnd w:id="8"/>
      <w:bookmarkEnd w:id="9"/>
      <w:bookmarkEnd w:id="10"/>
      <w:bookmarkEnd w:id="11"/>
      <w:bookmarkEnd w:id="12"/>
    </w:p>
    <w:p w:rsidR="000C68DF" w:rsidRPr="000C68DF" w:rsidRDefault="000C68DF" w:rsidP="000C68DF">
      <w:pPr>
        <w:rPr>
          <w:sz w:val="22"/>
          <w:szCs w:val="22"/>
        </w:rPr>
      </w:pPr>
    </w:p>
    <w:p w:rsidR="00571176" w:rsidRPr="000C68DF" w:rsidRDefault="00571176" w:rsidP="00571176">
      <w:pPr>
        <w:pStyle w:val="Body"/>
        <w:rPr>
          <w:sz w:val="22"/>
          <w:szCs w:val="22"/>
        </w:rPr>
      </w:pPr>
      <w:r w:rsidRPr="000C68DF">
        <w:rPr>
          <w:sz w:val="22"/>
          <w:szCs w:val="22"/>
        </w:rPr>
        <w:t>Many NMHS already have template documents to cover all aspects of the procurement of all or part of an Observation Network.</w:t>
      </w:r>
    </w:p>
    <w:p w:rsidR="00571176" w:rsidRPr="000C68DF" w:rsidRDefault="00571176" w:rsidP="00571176">
      <w:pPr>
        <w:pStyle w:val="Body"/>
        <w:rPr>
          <w:sz w:val="22"/>
          <w:szCs w:val="22"/>
        </w:rPr>
      </w:pPr>
      <w:r w:rsidRPr="000C68DF">
        <w:rPr>
          <w:sz w:val="22"/>
          <w:szCs w:val="22"/>
        </w:rPr>
        <w:t>In the absence of these, this document is provided as an example Recommended Spare Parts which may be adapted.</w:t>
      </w:r>
    </w:p>
    <w:p w:rsidR="00571176" w:rsidRPr="000C68DF" w:rsidRDefault="00571176" w:rsidP="00571176">
      <w:pPr>
        <w:pStyle w:val="Body"/>
        <w:rPr>
          <w:sz w:val="22"/>
          <w:szCs w:val="22"/>
        </w:rPr>
      </w:pPr>
      <w:r w:rsidRPr="000C68DF">
        <w:rPr>
          <w:sz w:val="22"/>
          <w:szCs w:val="22"/>
        </w:rPr>
        <w:t>Text in red italics should be replaced by information relevant for this Procurement.</w:t>
      </w:r>
    </w:p>
    <w:p w:rsidR="00571176" w:rsidRPr="000C68DF" w:rsidRDefault="00571176" w:rsidP="00571176">
      <w:pPr>
        <w:pStyle w:val="Body"/>
        <w:jc w:val="left"/>
        <w:rPr>
          <w:sz w:val="22"/>
          <w:szCs w:val="22"/>
          <w:lang w:val="en-US"/>
        </w:rPr>
      </w:pPr>
      <w:r w:rsidRPr="000C68DF">
        <w:rPr>
          <w:sz w:val="22"/>
          <w:szCs w:val="22"/>
          <w:lang w:val="en-US"/>
        </w:rPr>
        <w:t>The aim of the example documents is to provide guidance.  Most NMHS have their own documents/templates/formats should be used for this purpose.  These example documents allow a NMHS to check their own documentation against these examples to ensure their Procurement considers the relevant aspects.</w:t>
      </w:r>
    </w:p>
    <w:p w:rsidR="00571176" w:rsidRPr="000C68DF" w:rsidRDefault="00571176" w:rsidP="00571176">
      <w:pPr>
        <w:pStyle w:val="Body"/>
        <w:jc w:val="left"/>
        <w:rPr>
          <w:sz w:val="22"/>
          <w:szCs w:val="22"/>
          <w:lang w:val="en-US"/>
        </w:rPr>
      </w:pPr>
      <w:r w:rsidRPr="000C68DF">
        <w:rPr>
          <w:sz w:val="22"/>
          <w:szCs w:val="22"/>
          <w:lang w:val="en-US"/>
        </w:rPr>
        <w:t>These documents have not been checked or approved by WMO legal.  They are provided as examples only and should not be used without specific endorsement by the NMHS’s own legal departments.</w:t>
      </w:r>
    </w:p>
    <w:p w:rsidR="001B6211" w:rsidRPr="00571176" w:rsidRDefault="001B6211" w:rsidP="00571176">
      <w:pPr>
        <w:pStyle w:val="Heading1"/>
        <w:pageBreakBefore/>
        <w:numPr>
          <w:ilvl w:val="0"/>
          <w:numId w:val="9"/>
        </w:numPr>
        <w:spacing w:before="0" w:after="240" w:line="240" w:lineRule="auto"/>
        <w:rPr>
          <w:rFonts w:cs="Arial"/>
        </w:rPr>
      </w:pPr>
      <w:r w:rsidRPr="00571176">
        <w:rPr>
          <w:rFonts w:cs="Arial"/>
        </w:rPr>
        <w:lastRenderedPageBreak/>
        <w:t>Recommended Spare Parts</w:t>
      </w:r>
      <w:bookmarkEnd w:id="13"/>
      <w:bookmarkEnd w:id="14"/>
      <w:bookmarkEnd w:id="15"/>
      <w:bookmarkEnd w:id="16"/>
      <w:bookmarkEnd w:id="17"/>
      <w:bookmarkEnd w:id="18"/>
      <w:bookmarkEnd w:id="19"/>
      <w:bookmarkEnd w:id="20"/>
      <w:bookmarkEnd w:id="21"/>
      <w:bookmarkEnd w:id="22"/>
      <w:bookmarkEnd w:id="23"/>
    </w:p>
    <w:p w:rsidR="001B6211" w:rsidRPr="00571176" w:rsidRDefault="001B6211" w:rsidP="00571176">
      <w:pPr>
        <w:pStyle w:val="Heading2"/>
        <w:numPr>
          <w:ilvl w:val="1"/>
          <w:numId w:val="9"/>
        </w:numPr>
      </w:pPr>
      <w:bookmarkStart w:id="24" w:name="_Toc463337734"/>
      <w:bookmarkStart w:id="25" w:name="_Toc512521173"/>
      <w:bookmarkStart w:id="26" w:name="_Toc512524370"/>
      <w:bookmarkStart w:id="27" w:name="_Toc512524660"/>
      <w:bookmarkStart w:id="28" w:name="_Toc512526849"/>
      <w:bookmarkStart w:id="29" w:name="_Toc512526997"/>
      <w:bookmarkStart w:id="30" w:name="_Toc512527146"/>
      <w:bookmarkStart w:id="31" w:name="_Toc512527329"/>
      <w:bookmarkStart w:id="32" w:name="_Toc512527477"/>
      <w:bookmarkStart w:id="33" w:name="_Toc512527625"/>
      <w:bookmarkStart w:id="34" w:name="_Toc512631045"/>
      <w:r w:rsidRPr="00571176">
        <w:t>General</w:t>
      </w:r>
      <w:bookmarkEnd w:id="24"/>
      <w:bookmarkEnd w:id="25"/>
      <w:bookmarkEnd w:id="26"/>
      <w:bookmarkEnd w:id="27"/>
      <w:bookmarkEnd w:id="28"/>
      <w:bookmarkEnd w:id="29"/>
      <w:bookmarkEnd w:id="30"/>
      <w:bookmarkEnd w:id="31"/>
      <w:bookmarkEnd w:id="32"/>
      <w:bookmarkEnd w:id="33"/>
      <w:bookmarkEnd w:id="34"/>
    </w:p>
    <w:p w:rsidR="001B6211" w:rsidRPr="00571176" w:rsidRDefault="001B6211" w:rsidP="001B6211">
      <w:pPr>
        <w:numPr>
          <w:ilvl w:val="0"/>
          <w:numId w:val="1"/>
        </w:numPr>
        <w:spacing w:line="240" w:lineRule="auto"/>
        <w:ind w:left="357" w:hanging="357"/>
        <w:rPr>
          <w:rFonts w:cs="Arial"/>
        </w:rPr>
      </w:pPr>
      <w:r w:rsidRPr="00571176">
        <w:rPr>
          <w:rFonts w:cs="Arial"/>
        </w:rPr>
        <w:t>Spare parts to be supplied must be sufficient to maintain all System Components according to the required availability (MTBF, MTTR) as specified in the Requirement Specifications document.</w:t>
      </w:r>
    </w:p>
    <w:p w:rsidR="001B6211" w:rsidRPr="00571176" w:rsidRDefault="001B6211" w:rsidP="001B6211">
      <w:pPr>
        <w:numPr>
          <w:ilvl w:val="0"/>
          <w:numId w:val="1"/>
        </w:numPr>
        <w:spacing w:line="240" w:lineRule="auto"/>
        <w:ind w:left="357" w:hanging="357"/>
        <w:rPr>
          <w:rFonts w:cs="Arial"/>
        </w:rPr>
      </w:pPr>
      <w:r w:rsidRPr="00571176">
        <w:rPr>
          <w:rFonts w:cs="Arial"/>
        </w:rPr>
        <w:t>Purchaser reserves the right to procure parts directly from the original or other manufacturers.</w:t>
      </w:r>
    </w:p>
    <w:p w:rsidR="001B6211" w:rsidRPr="00571176" w:rsidRDefault="001B6211" w:rsidP="00571176">
      <w:pPr>
        <w:pStyle w:val="Heading2"/>
        <w:numPr>
          <w:ilvl w:val="1"/>
          <w:numId w:val="9"/>
        </w:numPr>
      </w:pPr>
      <w:bookmarkStart w:id="35" w:name="_Toc512524371"/>
      <w:bookmarkStart w:id="36" w:name="_Toc512524661"/>
      <w:bookmarkStart w:id="37" w:name="_Toc512526850"/>
      <w:bookmarkStart w:id="38" w:name="_Toc512526998"/>
      <w:bookmarkStart w:id="39" w:name="_Toc512527147"/>
      <w:bookmarkStart w:id="40" w:name="_Toc512527330"/>
      <w:bookmarkStart w:id="41" w:name="_Toc512527478"/>
      <w:bookmarkStart w:id="42" w:name="_Toc512527626"/>
      <w:bookmarkStart w:id="43" w:name="_Toc512631046"/>
      <w:bookmarkStart w:id="44" w:name="_Toc463337735"/>
      <w:bookmarkStart w:id="45" w:name="_Toc512521174"/>
      <w:r w:rsidRPr="00571176">
        <w:t>Recommended Spare Parts List (RSPL)</w:t>
      </w:r>
      <w:bookmarkEnd w:id="35"/>
      <w:bookmarkEnd w:id="36"/>
      <w:bookmarkEnd w:id="37"/>
      <w:bookmarkEnd w:id="38"/>
      <w:bookmarkEnd w:id="39"/>
      <w:bookmarkEnd w:id="40"/>
      <w:bookmarkEnd w:id="41"/>
      <w:bookmarkEnd w:id="42"/>
      <w:bookmarkEnd w:id="43"/>
      <w:bookmarkEnd w:id="44"/>
      <w:bookmarkEnd w:id="45"/>
    </w:p>
    <w:p w:rsidR="001B6211" w:rsidRPr="00571176" w:rsidRDefault="001B6211" w:rsidP="001B6211">
      <w:pPr>
        <w:numPr>
          <w:ilvl w:val="0"/>
          <w:numId w:val="2"/>
        </w:numPr>
        <w:spacing w:line="240" w:lineRule="auto"/>
        <w:rPr>
          <w:rFonts w:cs="Arial"/>
        </w:rPr>
      </w:pPr>
      <w:r w:rsidRPr="00571176">
        <w:rPr>
          <w:rFonts w:cs="Arial"/>
        </w:rPr>
        <w:t>The Contractor shall submit a Recommended Spare Parts List (RSPL) based upon the Maintenance Conditions as specified in the Maintenance Conditions document and the required availability (MTBF, MTTR) as specified in the Requirement Specifications document. This list shall contain spare parts recommended by the Contractor to support/maintain the System and System Components during their respective lifetimes regarding the following:</w:t>
      </w:r>
    </w:p>
    <w:p w:rsidR="001B6211" w:rsidRPr="00571176" w:rsidRDefault="001B6211" w:rsidP="001B6211">
      <w:pPr>
        <w:numPr>
          <w:ilvl w:val="0"/>
          <w:numId w:val="6"/>
        </w:numPr>
        <w:spacing w:line="240" w:lineRule="auto"/>
        <w:rPr>
          <w:rFonts w:cs="Arial"/>
        </w:rPr>
      </w:pPr>
      <w:r w:rsidRPr="00571176">
        <w:rPr>
          <w:rFonts w:cs="Arial"/>
        </w:rPr>
        <w:t>For consumables the Contractor shall recommend an amount of spare parts sufficient for two years for the System and System Components.</w:t>
      </w:r>
    </w:p>
    <w:p w:rsidR="001B6211" w:rsidRPr="00571176" w:rsidRDefault="001B6211" w:rsidP="001B6211">
      <w:pPr>
        <w:numPr>
          <w:ilvl w:val="0"/>
          <w:numId w:val="6"/>
        </w:numPr>
        <w:spacing w:line="240" w:lineRule="auto"/>
        <w:rPr>
          <w:rFonts w:cs="Arial"/>
        </w:rPr>
      </w:pPr>
      <w:r w:rsidRPr="00571176">
        <w:rPr>
          <w:rFonts w:cs="Arial"/>
        </w:rPr>
        <w:t>For repairable System Components (or modules of System Components, if applicable), the Contractor shall recommend a number of spares based on the mean time between failure (MTBF) for that specific System Component.</w:t>
      </w:r>
    </w:p>
    <w:p w:rsidR="001B6211" w:rsidRPr="00571176" w:rsidRDefault="001B6211" w:rsidP="001B6211">
      <w:pPr>
        <w:numPr>
          <w:ilvl w:val="0"/>
          <w:numId w:val="6"/>
        </w:numPr>
        <w:spacing w:line="240" w:lineRule="auto"/>
        <w:rPr>
          <w:rFonts w:cs="Arial"/>
        </w:rPr>
      </w:pPr>
      <w:r w:rsidRPr="00571176">
        <w:rPr>
          <w:rFonts w:cs="Arial"/>
        </w:rPr>
        <w:t>For modules that can only be replaced as a whole in case of malfunctioning, the Contractor shall recommend a number of spares based on the lifetime of the System and on the MTBF as provided in the Requirement Specifications document.</w:t>
      </w:r>
    </w:p>
    <w:p w:rsidR="001B6211" w:rsidRPr="00571176" w:rsidRDefault="001B6211" w:rsidP="001B6211">
      <w:pPr>
        <w:numPr>
          <w:ilvl w:val="0"/>
          <w:numId w:val="6"/>
        </w:numPr>
        <w:spacing w:line="240" w:lineRule="auto"/>
        <w:rPr>
          <w:rFonts w:cs="Arial"/>
        </w:rPr>
      </w:pPr>
      <w:r w:rsidRPr="00571176">
        <w:rPr>
          <w:rFonts w:cs="Arial"/>
        </w:rPr>
        <w:t>The Contractor shall make a recommendation for COTS-items.</w:t>
      </w:r>
    </w:p>
    <w:p w:rsidR="001B6211" w:rsidRPr="00571176" w:rsidRDefault="001B6211" w:rsidP="001B6211">
      <w:pPr>
        <w:ind w:left="426"/>
        <w:rPr>
          <w:rFonts w:cs="Arial"/>
        </w:rPr>
      </w:pPr>
      <w:r w:rsidRPr="00571176">
        <w:rPr>
          <w:rFonts w:cs="Arial"/>
        </w:rPr>
        <w:t>The list will be subject to Purchaser’s review and used for the provisioning process. The RSPL will be submitted two (2) months after contract award.</w:t>
      </w:r>
    </w:p>
    <w:p w:rsidR="001B6211" w:rsidRPr="00571176" w:rsidRDefault="001B6211" w:rsidP="001B6211">
      <w:pPr>
        <w:numPr>
          <w:ilvl w:val="0"/>
          <w:numId w:val="3"/>
        </w:numPr>
        <w:spacing w:line="240" w:lineRule="auto"/>
        <w:rPr>
          <w:rFonts w:cs="Arial"/>
        </w:rPr>
      </w:pPr>
      <w:r w:rsidRPr="00571176">
        <w:rPr>
          <w:rFonts w:cs="Arial"/>
        </w:rPr>
        <w:t>The RSPL provides recommendation for a range and quantity of spares along with a minimum of descriptive data.</w:t>
      </w:r>
    </w:p>
    <w:p w:rsidR="001B6211" w:rsidRPr="00571176" w:rsidRDefault="001B6211" w:rsidP="001B6211">
      <w:pPr>
        <w:numPr>
          <w:ilvl w:val="0"/>
          <w:numId w:val="3"/>
        </w:numPr>
        <w:spacing w:line="240" w:lineRule="auto"/>
        <w:rPr>
          <w:rFonts w:cs="Arial"/>
        </w:rPr>
      </w:pPr>
      <w:r w:rsidRPr="00571176">
        <w:rPr>
          <w:rFonts w:cs="Arial"/>
        </w:rPr>
        <w:t>Every item listed in the RSPL must be identified by the following minimum information:</w:t>
      </w:r>
    </w:p>
    <w:p w:rsidR="001B6211" w:rsidRPr="00571176" w:rsidRDefault="001B6211" w:rsidP="001B6211">
      <w:pPr>
        <w:numPr>
          <w:ilvl w:val="0"/>
          <w:numId w:val="5"/>
        </w:numPr>
        <w:spacing w:line="240" w:lineRule="auto"/>
        <w:rPr>
          <w:rFonts w:cs="Arial"/>
        </w:rPr>
      </w:pPr>
      <w:r w:rsidRPr="00571176">
        <w:rPr>
          <w:rFonts w:cs="Arial"/>
        </w:rPr>
        <w:t>Manufacturer part number/reference number.</w:t>
      </w:r>
    </w:p>
    <w:p w:rsidR="001B6211" w:rsidRPr="00571176" w:rsidRDefault="001B6211" w:rsidP="001B6211">
      <w:pPr>
        <w:numPr>
          <w:ilvl w:val="0"/>
          <w:numId w:val="5"/>
        </w:numPr>
        <w:spacing w:line="240" w:lineRule="auto"/>
        <w:rPr>
          <w:rFonts w:cs="Arial"/>
        </w:rPr>
      </w:pPr>
      <w:r w:rsidRPr="00571176">
        <w:rPr>
          <w:rFonts w:cs="Arial"/>
        </w:rPr>
        <w:t>Prime Contractor’s part number (if applicable).</w:t>
      </w:r>
    </w:p>
    <w:p w:rsidR="001B6211" w:rsidRPr="00571176" w:rsidRDefault="001B6211" w:rsidP="001B6211">
      <w:pPr>
        <w:numPr>
          <w:ilvl w:val="0"/>
          <w:numId w:val="5"/>
        </w:numPr>
        <w:spacing w:line="240" w:lineRule="auto"/>
        <w:rPr>
          <w:rFonts w:cs="Arial"/>
        </w:rPr>
      </w:pPr>
      <w:r w:rsidRPr="00571176">
        <w:rPr>
          <w:rFonts w:cs="Arial"/>
        </w:rPr>
        <w:t>Item name.</w:t>
      </w:r>
    </w:p>
    <w:p w:rsidR="001B6211" w:rsidRPr="00571176" w:rsidRDefault="001B6211" w:rsidP="001B6211">
      <w:pPr>
        <w:numPr>
          <w:ilvl w:val="0"/>
          <w:numId w:val="5"/>
        </w:numPr>
        <w:spacing w:line="240" w:lineRule="auto"/>
        <w:rPr>
          <w:rFonts w:cs="Arial"/>
        </w:rPr>
      </w:pPr>
      <w:r w:rsidRPr="00571176">
        <w:rPr>
          <w:rFonts w:cs="Arial"/>
        </w:rPr>
        <w:t>Unit Price (UP).</w:t>
      </w:r>
    </w:p>
    <w:p w:rsidR="001B6211" w:rsidRPr="00571176" w:rsidRDefault="001B6211" w:rsidP="001B6211">
      <w:pPr>
        <w:numPr>
          <w:ilvl w:val="0"/>
          <w:numId w:val="5"/>
        </w:numPr>
        <w:spacing w:line="240" w:lineRule="auto"/>
        <w:rPr>
          <w:rFonts w:cs="Arial"/>
        </w:rPr>
      </w:pPr>
      <w:r w:rsidRPr="00571176">
        <w:rPr>
          <w:rFonts w:cs="Arial"/>
        </w:rPr>
        <w:t>Unit of Issue (UI).</w:t>
      </w:r>
    </w:p>
    <w:p w:rsidR="001B6211" w:rsidRPr="00571176" w:rsidRDefault="001B6211" w:rsidP="001B6211">
      <w:pPr>
        <w:numPr>
          <w:ilvl w:val="0"/>
          <w:numId w:val="5"/>
        </w:numPr>
        <w:spacing w:line="240" w:lineRule="auto"/>
        <w:rPr>
          <w:rFonts w:cs="Arial"/>
        </w:rPr>
      </w:pPr>
      <w:r w:rsidRPr="00571176">
        <w:rPr>
          <w:rFonts w:cs="Arial"/>
        </w:rPr>
        <w:t>Quantity recommended.</w:t>
      </w:r>
    </w:p>
    <w:p w:rsidR="001B6211" w:rsidRPr="00571176" w:rsidRDefault="001B6211" w:rsidP="001B6211">
      <w:pPr>
        <w:numPr>
          <w:ilvl w:val="0"/>
          <w:numId w:val="5"/>
        </w:numPr>
        <w:spacing w:line="240" w:lineRule="auto"/>
        <w:rPr>
          <w:rFonts w:cs="Arial"/>
        </w:rPr>
      </w:pPr>
      <w:r w:rsidRPr="00571176">
        <w:rPr>
          <w:rFonts w:cs="Arial"/>
        </w:rPr>
        <w:t>Procurement Lead-Time (PLT).</w:t>
      </w:r>
    </w:p>
    <w:p w:rsidR="001B6211" w:rsidRPr="00571176" w:rsidRDefault="001B6211" w:rsidP="001B6211">
      <w:pPr>
        <w:numPr>
          <w:ilvl w:val="0"/>
          <w:numId w:val="5"/>
        </w:numPr>
        <w:spacing w:line="240" w:lineRule="auto"/>
        <w:rPr>
          <w:rFonts w:cs="Arial"/>
        </w:rPr>
      </w:pPr>
      <w:r w:rsidRPr="00571176">
        <w:rPr>
          <w:rFonts w:cs="Arial"/>
        </w:rPr>
        <w:t>Brief description of part.</w:t>
      </w:r>
    </w:p>
    <w:p w:rsidR="001B6211" w:rsidRPr="00571176" w:rsidRDefault="001B6211" w:rsidP="00571176">
      <w:pPr>
        <w:pStyle w:val="Heading2"/>
        <w:numPr>
          <w:ilvl w:val="1"/>
          <w:numId w:val="9"/>
        </w:numPr>
      </w:pPr>
      <w:bookmarkStart w:id="46" w:name="_Toc463337736"/>
      <w:bookmarkStart w:id="47" w:name="_Toc512521175"/>
      <w:bookmarkStart w:id="48" w:name="_Toc512524372"/>
      <w:bookmarkStart w:id="49" w:name="_Toc512524662"/>
      <w:bookmarkStart w:id="50" w:name="_Toc512526851"/>
      <w:bookmarkStart w:id="51" w:name="_Toc512526999"/>
      <w:bookmarkStart w:id="52" w:name="_Toc512527148"/>
      <w:bookmarkStart w:id="53" w:name="_Toc512527331"/>
      <w:bookmarkStart w:id="54" w:name="_Toc512527479"/>
      <w:bookmarkStart w:id="55" w:name="_Toc512527627"/>
      <w:bookmarkStart w:id="56" w:name="_Toc512631047"/>
      <w:r w:rsidRPr="00571176">
        <w:t>Provisioning Conference</w:t>
      </w:r>
      <w:bookmarkEnd w:id="46"/>
      <w:bookmarkEnd w:id="47"/>
      <w:bookmarkEnd w:id="48"/>
      <w:bookmarkEnd w:id="49"/>
      <w:bookmarkEnd w:id="50"/>
      <w:bookmarkEnd w:id="51"/>
      <w:bookmarkEnd w:id="52"/>
      <w:bookmarkEnd w:id="53"/>
      <w:bookmarkEnd w:id="54"/>
      <w:bookmarkEnd w:id="55"/>
      <w:bookmarkEnd w:id="56"/>
    </w:p>
    <w:p w:rsidR="001B6211" w:rsidRPr="00571176" w:rsidRDefault="001B6211" w:rsidP="001B6211">
      <w:pPr>
        <w:rPr>
          <w:rFonts w:cs="Arial"/>
        </w:rPr>
      </w:pPr>
      <w:r w:rsidRPr="00571176">
        <w:rPr>
          <w:rFonts w:cs="Arial"/>
        </w:rPr>
        <w:t>The Contractor can be asked to conduct a Provisioning Conference at his facilities. The purpose of the Provisioning Conference shall be to give assistance to the Purchaser’s representatives in selecting the spare parts. The Provisioning Conference will be held at the Contractor’s facilities.</w:t>
      </w:r>
    </w:p>
    <w:p w:rsidR="001B6211" w:rsidRPr="00571176" w:rsidRDefault="001B6211" w:rsidP="00571176">
      <w:pPr>
        <w:pStyle w:val="Heading2"/>
        <w:numPr>
          <w:ilvl w:val="1"/>
          <w:numId w:val="9"/>
        </w:numPr>
      </w:pPr>
      <w:bookmarkStart w:id="57" w:name="_Toc463337737"/>
      <w:bookmarkStart w:id="58" w:name="_Toc512521176"/>
      <w:bookmarkStart w:id="59" w:name="_Toc512524373"/>
      <w:bookmarkStart w:id="60" w:name="_Toc512524663"/>
      <w:bookmarkStart w:id="61" w:name="_Toc512526852"/>
      <w:bookmarkStart w:id="62" w:name="_Toc512527000"/>
      <w:bookmarkStart w:id="63" w:name="_Toc512527149"/>
      <w:bookmarkStart w:id="64" w:name="_Toc512527332"/>
      <w:bookmarkStart w:id="65" w:name="_Toc512527480"/>
      <w:bookmarkStart w:id="66" w:name="_Toc512527628"/>
      <w:bookmarkStart w:id="67" w:name="_Toc512631048"/>
      <w:r w:rsidRPr="00571176">
        <w:t>Delivery</w:t>
      </w:r>
      <w:bookmarkEnd w:id="57"/>
      <w:bookmarkEnd w:id="58"/>
      <w:bookmarkEnd w:id="59"/>
      <w:bookmarkEnd w:id="60"/>
      <w:bookmarkEnd w:id="61"/>
      <w:bookmarkEnd w:id="62"/>
      <w:bookmarkEnd w:id="63"/>
      <w:bookmarkEnd w:id="64"/>
      <w:bookmarkEnd w:id="65"/>
      <w:bookmarkEnd w:id="66"/>
      <w:bookmarkEnd w:id="67"/>
    </w:p>
    <w:p w:rsidR="001B6211" w:rsidRPr="00571176" w:rsidRDefault="001B6211" w:rsidP="001B6211">
      <w:pPr>
        <w:tabs>
          <w:tab w:val="left" w:pos="0"/>
          <w:tab w:val="left" w:pos="720"/>
          <w:tab w:val="left" w:pos="1440"/>
        </w:tabs>
        <w:suppressAutoHyphens/>
        <w:rPr>
          <w:rFonts w:cs="Arial"/>
          <w:sz w:val="24"/>
        </w:rPr>
      </w:pPr>
      <w:r w:rsidRPr="00571176">
        <w:rPr>
          <w:rFonts w:cs="Arial"/>
        </w:rPr>
        <w:t>At the time of Acceptance of the System, Purchaser shall have received sufficient spare parts to be able to maintain the System</w:t>
      </w:r>
      <w:r w:rsidRPr="00571176">
        <w:rPr>
          <w:rFonts w:cs="Arial"/>
          <w:sz w:val="24"/>
        </w:rPr>
        <w:t>.</w:t>
      </w:r>
    </w:p>
    <w:p w:rsidR="001B6211" w:rsidRPr="00571176" w:rsidRDefault="001B6211" w:rsidP="00172A26">
      <w:pPr>
        <w:pStyle w:val="Heading2"/>
        <w:numPr>
          <w:ilvl w:val="1"/>
          <w:numId w:val="9"/>
        </w:numPr>
      </w:pPr>
      <w:bookmarkStart w:id="68" w:name="_Toc463337738"/>
      <w:bookmarkStart w:id="69" w:name="_Toc512521177"/>
      <w:bookmarkStart w:id="70" w:name="_Toc512524374"/>
      <w:bookmarkStart w:id="71" w:name="_Toc512524664"/>
      <w:bookmarkStart w:id="72" w:name="_Toc512526853"/>
      <w:bookmarkStart w:id="73" w:name="_Toc512527001"/>
      <w:bookmarkStart w:id="74" w:name="_Toc512527150"/>
      <w:bookmarkStart w:id="75" w:name="_Toc512527333"/>
      <w:bookmarkStart w:id="76" w:name="_Toc512527481"/>
      <w:bookmarkStart w:id="77" w:name="_Toc512527629"/>
      <w:bookmarkStart w:id="78" w:name="_Toc512631049"/>
      <w:r w:rsidRPr="00571176">
        <w:lastRenderedPageBreak/>
        <w:t>Material Change Note</w:t>
      </w:r>
      <w:bookmarkEnd w:id="68"/>
      <w:bookmarkEnd w:id="69"/>
      <w:bookmarkEnd w:id="70"/>
      <w:bookmarkEnd w:id="71"/>
      <w:bookmarkEnd w:id="72"/>
      <w:bookmarkEnd w:id="73"/>
      <w:bookmarkEnd w:id="74"/>
      <w:bookmarkEnd w:id="75"/>
      <w:bookmarkEnd w:id="76"/>
      <w:bookmarkEnd w:id="77"/>
      <w:bookmarkEnd w:id="78"/>
    </w:p>
    <w:p w:rsidR="001B6211" w:rsidRPr="00571176" w:rsidRDefault="001B6211" w:rsidP="001B6211">
      <w:pPr>
        <w:tabs>
          <w:tab w:val="left" w:pos="0"/>
          <w:tab w:val="left" w:pos="1080"/>
          <w:tab w:val="left" w:pos="1440"/>
        </w:tabs>
        <w:suppressAutoHyphens/>
        <w:rPr>
          <w:rFonts w:cs="Arial"/>
        </w:rPr>
      </w:pPr>
      <w:r w:rsidRPr="00571176">
        <w:rPr>
          <w:rFonts w:cs="Arial"/>
        </w:rPr>
        <w:t>If applicable, the Contractor shall provide Purchaser with a Material Change Notice. Approval by Purchaser will be given within one (1) month after receipt.</w:t>
      </w:r>
    </w:p>
    <w:p w:rsidR="001B6211" w:rsidRPr="00571176" w:rsidRDefault="001B6211" w:rsidP="00172A26">
      <w:pPr>
        <w:pStyle w:val="Heading2"/>
        <w:numPr>
          <w:ilvl w:val="1"/>
          <w:numId w:val="9"/>
        </w:numPr>
      </w:pPr>
      <w:bookmarkStart w:id="79" w:name="_Toc463337739"/>
      <w:bookmarkStart w:id="80" w:name="_Toc512521178"/>
      <w:bookmarkStart w:id="81" w:name="_Toc512524375"/>
      <w:bookmarkStart w:id="82" w:name="_Toc512524665"/>
      <w:bookmarkStart w:id="83" w:name="_Toc512526854"/>
      <w:bookmarkStart w:id="84" w:name="_Toc512527002"/>
      <w:bookmarkStart w:id="85" w:name="_Toc512527151"/>
      <w:bookmarkStart w:id="86" w:name="_Toc512527334"/>
      <w:bookmarkStart w:id="87" w:name="_Toc512527482"/>
      <w:bookmarkStart w:id="88" w:name="_Toc512527630"/>
      <w:bookmarkStart w:id="89" w:name="_Toc512631050"/>
      <w:r w:rsidRPr="00571176">
        <w:t>Packaging Storage/Stowage Information</w:t>
      </w:r>
      <w:bookmarkEnd w:id="79"/>
      <w:bookmarkEnd w:id="80"/>
      <w:bookmarkEnd w:id="81"/>
      <w:bookmarkEnd w:id="82"/>
      <w:bookmarkEnd w:id="83"/>
      <w:bookmarkEnd w:id="84"/>
      <w:bookmarkEnd w:id="85"/>
      <w:bookmarkEnd w:id="86"/>
      <w:bookmarkEnd w:id="87"/>
      <w:bookmarkEnd w:id="88"/>
      <w:bookmarkEnd w:id="89"/>
    </w:p>
    <w:p w:rsidR="001B6211" w:rsidRPr="00571176" w:rsidRDefault="001B6211" w:rsidP="001B6211">
      <w:pPr>
        <w:tabs>
          <w:tab w:val="left" w:pos="0"/>
          <w:tab w:val="left" w:pos="1080"/>
          <w:tab w:val="left" w:pos="1440"/>
        </w:tabs>
        <w:suppressAutoHyphens/>
        <w:rPr>
          <w:rFonts w:cs="Arial"/>
        </w:rPr>
      </w:pPr>
      <w:r w:rsidRPr="00571176">
        <w:rPr>
          <w:rFonts w:cs="Arial"/>
        </w:rPr>
        <w:t>The Contractor shall provide Purchaser with sufficient packaging, handling and storage/stowage information. Approval of this information will be given within one (1) month after receipt. All equipment and parts in storage have to be able to withstand the following conditions:</w:t>
      </w:r>
    </w:p>
    <w:p w:rsidR="001B6211" w:rsidRPr="00571176" w:rsidRDefault="001B6211" w:rsidP="001B6211">
      <w:pPr>
        <w:numPr>
          <w:ilvl w:val="0"/>
          <w:numId w:val="4"/>
        </w:numPr>
        <w:spacing w:line="240" w:lineRule="auto"/>
        <w:rPr>
          <w:rFonts w:cs="Arial"/>
        </w:rPr>
      </w:pPr>
      <w:r w:rsidRPr="00571176">
        <w:rPr>
          <w:rFonts w:cs="Arial"/>
        </w:rPr>
        <w:t xml:space="preserve">Maximum temperature of seventy degrees Celsius (70 </w:t>
      </w:r>
      <w:r w:rsidRPr="00571176">
        <w:rPr>
          <w:rFonts w:cs="Arial"/>
        </w:rPr>
        <w:sym w:font="Symbol" w:char="F0B0"/>
      </w:r>
      <w:r w:rsidRPr="00571176">
        <w:rPr>
          <w:rFonts w:cs="Arial"/>
        </w:rPr>
        <w:t>C); maximum relative humidity of seventy-five percent (75 %), for at least ten (10) days;</w:t>
      </w:r>
    </w:p>
    <w:p w:rsidR="001B6211" w:rsidRPr="00571176" w:rsidRDefault="001B6211" w:rsidP="001B6211">
      <w:pPr>
        <w:numPr>
          <w:ilvl w:val="0"/>
          <w:numId w:val="4"/>
        </w:numPr>
        <w:spacing w:line="240" w:lineRule="auto"/>
        <w:rPr>
          <w:rFonts w:cs="Arial"/>
        </w:rPr>
      </w:pPr>
      <w:r w:rsidRPr="00571176">
        <w:rPr>
          <w:rFonts w:cs="Arial"/>
        </w:rPr>
        <w:t xml:space="preserve">Maximum temperature of fifty five degrees Celsius (55 </w:t>
      </w:r>
      <w:r w:rsidRPr="00571176">
        <w:rPr>
          <w:rFonts w:cs="Arial"/>
        </w:rPr>
        <w:sym w:font="Symbol" w:char="F0B0"/>
      </w:r>
      <w:r w:rsidRPr="00571176">
        <w:rPr>
          <w:rFonts w:cs="Arial"/>
        </w:rPr>
        <w:t>C); maximum relative humidity of seventy-five percent (75 %), unlimited.</w:t>
      </w:r>
    </w:p>
    <w:p w:rsidR="001B6211" w:rsidRPr="00571176" w:rsidRDefault="001B6211" w:rsidP="001B6211">
      <w:pPr>
        <w:numPr>
          <w:ilvl w:val="0"/>
          <w:numId w:val="4"/>
        </w:numPr>
        <w:spacing w:line="240" w:lineRule="auto"/>
        <w:rPr>
          <w:rFonts w:cs="Arial"/>
        </w:rPr>
      </w:pPr>
      <w:r w:rsidRPr="00571176">
        <w:rPr>
          <w:rFonts w:cs="Arial"/>
        </w:rPr>
        <w:t xml:space="preserve">Storage temperature will above ten degrees Celsius (10 </w:t>
      </w:r>
      <w:r w:rsidRPr="00571176">
        <w:rPr>
          <w:rFonts w:cs="Arial"/>
        </w:rPr>
        <w:sym w:font="Symbol" w:char="F0B0"/>
      </w:r>
      <w:r w:rsidRPr="00571176">
        <w:rPr>
          <w:rFonts w:cs="Arial"/>
        </w:rPr>
        <w:t>C).</w:t>
      </w:r>
    </w:p>
    <w:p w:rsidR="001B6211" w:rsidRPr="00571176" w:rsidRDefault="001B6211" w:rsidP="001B6211">
      <w:pPr>
        <w:tabs>
          <w:tab w:val="left" w:pos="-1812"/>
          <w:tab w:val="left" w:pos="-1548"/>
          <w:tab w:val="left" w:pos="-1134"/>
          <w:tab w:val="left" w:pos="0"/>
          <w:tab w:val="left" w:pos="396"/>
          <w:tab w:val="left" w:pos="810"/>
          <w:tab w:val="left" w:pos="1080"/>
          <w:tab w:val="left" w:pos="3457"/>
          <w:tab w:val="left" w:pos="4534"/>
          <w:tab w:val="left" w:pos="6462"/>
        </w:tabs>
        <w:jc w:val="center"/>
        <w:rPr>
          <w:rFonts w:cs="Arial"/>
          <w:b/>
        </w:rPr>
      </w:pPr>
    </w:p>
    <w:p w:rsidR="001B6211" w:rsidRPr="00571176" w:rsidRDefault="001B6211" w:rsidP="001B6211">
      <w:pPr>
        <w:tabs>
          <w:tab w:val="left" w:pos="-1812"/>
          <w:tab w:val="left" w:pos="-1548"/>
          <w:tab w:val="left" w:pos="-1134"/>
          <w:tab w:val="left" w:pos="0"/>
          <w:tab w:val="left" w:pos="396"/>
          <w:tab w:val="left" w:pos="810"/>
          <w:tab w:val="left" w:pos="1080"/>
          <w:tab w:val="left" w:pos="3457"/>
          <w:tab w:val="left" w:pos="4534"/>
          <w:tab w:val="left" w:pos="6462"/>
        </w:tabs>
        <w:jc w:val="center"/>
        <w:rPr>
          <w:rFonts w:cs="Arial"/>
          <w:b/>
        </w:rPr>
      </w:pPr>
    </w:p>
    <w:p w:rsidR="0094599B" w:rsidRPr="00571176" w:rsidRDefault="0094599B">
      <w:pPr>
        <w:rPr>
          <w:rFonts w:cs="Arial"/>
        </w:rPr>
      </w:pPr>
    </w:p>
    <w:sectPr w:rsidR="0094599B" w:rsidRPr="005711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DF" w:rsidRDefault="000C68DF" w:rsidP="000C68DF">
      <w:pPr>
        <w:spacing w:after="0" w:line="240" w:lineRule="auto"/>
      </w:pPr>
      <w:r>
        <w:separator/>
      </w:r>
    </w:p>
  </w:endnote>
  <w:endnote w:type="continuationSeparator" w:id="0">
    <w:p w:rsidR="000C68DF" w:rsidRDefault="000C68DF" w:rsidP="000C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cal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0C6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0C6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0C6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DF" w:rsidRDefault="000C68DF" w:rsidP="000C68DF">
      <w:pPr>
        <w:spacing w:after="0" w:line="240" w:lineRule="auto"/>
      </w:pPr>
      <w:r>
        <w:separator/>
      </w:r>
    </w:p>
  </w:footnote>
  <w:footnote w:type="continuationSeparator" w:id="0">
    <w:p w:rsidR="000C68DF" w:rsidRDefault="000C68DF" w:rsidP="000C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C8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821"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C8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822" o:spid="_x0000_s2051" type="#_x0000_t136" style="position:absolute;margin-left:0;margin-top:0;width:454.5pt;height:181.8pt;rotation:315;z-index:-251653120;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F" w:rsidRDefault="00C8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820"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ADF"/>
    <w:multiLevelType w:val="hybridMultilevel"/>
    <w:tmpl w:val="61380E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81100"/>
    <w:multiLevelType w:val="singleLevel"/>
    <w:tmpl w:val="0413000F"/>
    <w:lvl w:ilvl="0">
      <w:start w:val="1"/>
      <w:numFmt w:val="decimal"/>
      <w:lvlText w:val="%1."/>
      <w:lvlJc w:val="left"/>
      <w:pPr>
        <w:tabs>
          <w:tab w:val="num" w:pos="360"/>
        </w:tabs>
        <w:ind w:left="360" w:hanging="360"/>
      </w:pPr>
    </w:lvl>
  </w:abstractNum>
  <w:abstractNum w:abstractNumId="2">
    <w:nsid w:val="25E7502C"/>
    <w:multiLevelType w:val="multilevel"/>
    <w:tmpl w:val="C3AAF3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34645E"/>
    <w:multiLevelType w:val="multilevel"/>
    <w:tmpl w:val="9F30A1BA"/>
    <w:lvl w:ilvl="0">
      <w:start w:val="1"/>
      <w:numFmt w:val="decimal"/>
      <w:lvlText w:val="%1."/>
      <w:lvlJc w:val="left"/>
      <w:pPr>
        <w:tabs>
          <w:tab w:val="num" w:pos="360"/>
        </w:tabs>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4">
    <w:nsid w:val="2CE6293E"/>
    <w:multiLevelType w:val="multilevel"/>
    <w:tmpl w:val="0262C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7F91707"/>
    <w:multiLevelType w:val="multilevel"/>
    <w:tmpl w:val="95B2734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D2570D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532947"/>
    <w:multiLevelType w:val="multilevel"/>
    <w:tmpl w:val="EF6815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13323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2B2FA6"/>
    <w:multiLevelType w:val="multilevel"/>
    <w:tmpl w:val="788893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A4472F0"/>
    <w:multiLevelType w:val="singleLevel"/>
    <w:tmpl w:val="EFF89A10"/>
    <w:lvl w:ilvl="0">
      <w:start w:val="2"/>
      <w:numFmt w:val="decimal"/>
      <w:lvlText w:val="%1."/>
      <w:lvlJc w:val="left"/>
      <w:pPr>
        <w:tabs>
          <w:tab w:val="num" w:pos="360"/>
        </w:tabs>
        <w:ind w:left="360" w:hanging="360"/>
      </w:pPr>
    </w:lvl>
  </w:abstractNum>
  <w:abstractNum w:abstractNumId="11">
    <w:nsid w:val="6DCE45E5"/>
    <w:multiLevelType w:val="hybridMultilevel"/>
    <w:tmpl w:val="583EC2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2C0D40"/>
    <w:multiLevelType w:val="multilevel"/>
    <w:tmpl w:val="AABECF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2A15F19"/>
    <w:multiLevelType w:val="multilevel"/>
    <w:tmpl w:val="3F60AC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F0D57EB"/>
    <w:multiLevelType w:val="multilevel"/>
    <w:tmpl w:val="9D30D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3"/>
  </w:num>
  <w:num w:numId="3">
    <w:abstractNumId w:val="10"/>
  </w:num>
  <w:num w:numId="4">
    <w:abstractNumId w:val="1"/>
  </w:num>
  <w:num w:numId="5">
    <w:abstractNumId w:val="0"/>
  </w:num>
  <w:num w:numId="6">
    <w:abstractNumId w:val="11"/>
  </w:num>
  <w:num w:numId="7">
    <w:abstractNumId w:val="9"/>
  </w:num>
  <w:num w:numId="8">
    <w:abstractNumId w:val="14"/>
  </w:num>
  <w:num w:numId="9">
    <w:abstractNumId w:val="8"/>
  </w:num>
  <w:num w:numId="1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2"/>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11"/>
    <w:rsid w:val="000C68DF"/>
    <w:rsid w:val="00172A26"/>
    <w:rsid w:val="001B6211"/>
    <w:rsid w:val="00571176"/>
    <w:rsid w:val="00845081"/>
    <w:rsid w:val="008836C4"/>
    <w:rsid w:val="0094599B"/>
    <w:rsid w:val="00C82362"/>
    <w:rsid w:val="00CE30F3"/>
    <w:rsid w:val="00D21EC5"/>
    <w:rsid w:val="00FA63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11"/>
    <w:pPr>
      <w:spacing w:after="120"/>
    </w:pPr>
    <w:rPr>
      <w:rFonts w:ascii="Arial" w:eastAsia="Times New Roman" w:hAnsi="Arial" w:cs="Times New Roman"/>
      <w:sz w:val="20"/>
      <w:szCs w:val="24"/>
      <w:lang w:val="en-GB"/>
    </w:rPr>
  </w:style>
  <w:style w:type="paragraph" w:styleId="Heading1">
    <w:name w:val="heading 1"/>
    <w:basedOn w:val="Normal"/>
    <w:next w:val="Normal"/>
    <w:link w:val="Heading1Char"/>
    <w:qFormat/>
    <w:rsid w:val="001B6211"/>
    <w:pPr>
      <w:keepNext/>
      <w:numPr>
        <w:numId w:val="16"/>
      </w:numPr>
      <w:spacing w:before="360"/>
      <w:outlineLvl w:val="0"/>
    </w:pPr>
    <w:rPr>
      <w:b/>
      <w:caps/>
      <w:sz w:val="28"/>
    </w:rPr>
  </w:style>
  <w:style w:type="paragraph" w:styleId="Heading2">
    <w:name w:val="heading 2"/>
    <w:basedOn w:val="Heading1"/>
    <w:next w:val="Normal"/>
    <w:link w:val="Heading2Char"/>
    <w:qFormat/>
    <w:rsid w:val="001B6211"/>
    <w:pPr>
      <w:numPr>
        <w:ilvl w:val="1"/>
      </w:numPr>
      <w:spacing w:before="120"/>
      <w:outlineLvl w:val="1"/>
    </w:pPr>
    <w:rPr>
      <w:caps w:val="0"/>
      <w:sz w:val="24"/>
    </w:rPr>
  </w:style>
  <w:style w:type="paragraph" w:styleId="Heading3">
    <w:name w:val="heading 3"/>
    <w:basedOn w:val="Heading2"/>
    <w:next w:val="Normal"/>
    <w:link w:val="Heading3Char"/>
    <w:autoRedefine/>
    <w:qFormat/>
    <w:rsid w:val="001B6211"/>
    <w:pPr>
      <w:numPr>
        <w:ilvl w:val="2"/>
      </w:numPr>
      <w:spacing w:after="60"/>
      <w:outlineLvl w:val="2"/>
    </w:pPr>
    <w:rPr>
      <w:rFonts w:ascii="Helvetica" w:hAnsi="Helvetica"/>
      <w:sz w:val="20"/>
    </w:rPr>
  </w:style>
  <w:style w:type="paragraph" w:styleId="Heading4">
    <w:name w:val="heading 4"/>
    <w:basedOn w:val="Heading3"/>
    <w:next w:val="Normal"/>
    <w:link w:val="Heading4Char"/>
    <w:qFormat/>
    <w:rsid w:val="001B6211"/>
    <w:pPr>
      <w:numPr>
        <w:ilvl w:val="3"/>
      </w:numPr>
      <w:outlineLvl w:val="3"/>
    </w:pPr>
    <w:rPr>
      <w:rFonts w:cs="Arial"/>
    </w:rPr>
  </w:style>
  <w:style w:type="paragraph" w:styleId="Heading5">
    <w:name w:val="heading 5"/>
    <w:basedOn w:val="Heading4"/>
    <w:next w:val="Normal"/>
    <w:link w:val="Heading5Char"/>
    <w:qFormat/>
    <w:rsid w:val="001B6211"/>
    <w:pPr>
      <w:numPr>
        <w:ilvl w:val="4"/>
      </w:numPr>
      <w:outlineLvl w:val="4"/>
    </w:pPr>
    <w:rPr>
      <w:iCs/>
    </w:rPr>
  </w:style>
  <w:style w:type="paragraph" w:styleId="Heading6">
    <w:name w:val="heading 6"/>
    <w:basedOn w:val="Heading4"/>
    <w:next w:val="Normal"/>
    <w:link w:val="Heading6Char"/>
    <w:qFormat/>
    <w:rsid w:val="001B6211"/>
    <w:pPr>
      <w:numPr>
        <w:ilvl w:val="5"/>
      </w:numPr>
      <w:spacing w:before="240"/>
      <w:outlineLvl w:val="5"/>
    </w:pPr>
    <w:rPr>
      <w:sz w:val="24"/>
    </w:rPr>
  </w:style>
  <w:style w:type="paragraph" w:styleId="Heading7">
    <w:name w:val="heading 7"/>
    <w:basedOn w:val="Normal"/>
    <w:next w:val="Normal"/>
    <w:link w:val="Heading7Char"/>
    <w:qFormat/>
    <w:rsid w:val="001B6211"/>
    <w:pPr>
      <w:numPr>
        <w:ilvl w:val="6"/>
        <w:numId w:val="16"/>
      </w:numPr>
      <w:outlineLvl w:val="6"/>
    </w:pPr>
  </w:style>
  <w:style w:type="paragraph" w:styleId="Heading8">
    <w:name w:val="heading 8"/>
    <w:basedOn w:val="Normal"/>
    <w:next w:val="Normal"/>
    <w:link w:val="Heading8Char"/>
    <w:qFormat/>
    <w:rsid w:val="001B6211"/>
    <w:pPr>
      <w:numPr>
        <w:ilvl w:val="7"/>
        <w:numId w:val="16"/>
      </w:numPr>
      <w:outlineLvl w:val="7"/>
    </w:pPr>
  </w:style>
  <w:style w:type="paragraph" w:styleId="Heading9">
    <w:name w:val="heading 9"/>
    <w:basedOn w:val="Normal"/>
    <w:next w:val="Normal"/>
    <w:link w:val="Heading9Char"/>
    <w:qFormat/>
    <w:rsid w:val="001B6211"/>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11"/>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1B6211"/>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1B6211"/>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1B6211"/>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1B6211"/>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1B6211"/>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1B6211"/>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1B6211"/>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1B6211"/>
    <w:rPr>
      <w:rFonts w:ascii="Arial" w:eastAsia="Times New Roman" w:hAnsi="Arial" w:cs="Times New Roman"/>
      <w:sz w:val="20"/>
      <w:szCs w:val="24"/>
      <w:lang w:val="en-GB"/>
    </w:rPr>
  </w:style>
  <w:style w:type="paragraph" w:styleId="TOC1">
    <w:name w:val="toc 1"/>
    <w:basedOn w:val="Normal"/>
    <w:next w:val="Normal"/>
    <w:autoRedefine/>
    <w:uiPriority w:val="39"/>
    <w:rsid w:val="001B6211"/>
    <w:pPr>
      <w:spacing w:before="120"/>
    </w:pPr>
    <w:rPr>
      <w:rFonts w:asciiTheme="minorHAnsi" w:hAnsiTheme="minorHAnsi" w:cstheme="minorHAnsi"/>
      <w:b/>
      <w:bCs/>
      <w:caps/>
      <w:szCs w:val="20"/>
    </w:rPr>
  </w:style>
  <w:style w:type="paragraph" w:styleId="TOC2">
    <w:name w:val="toc 2"/>
    <w:basedOn w:val="Normal"/>
    <w:next w:val="Normal"/>
    <w:autoRedefine/>
    <w:uiPriority w:val="39"/>
    <w:rsid w:val="001B6211"/>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1B6211"/>
    <w:pPr>
      <w:ind w:left="1418" w:hanging="1418"/>
    </w:pPr>
    <w:rPr>
      <w:rFonts w:ascii="Scala" w:hAnsi="Scala"/>
    </w:rPr>
  </w:style>
  <w:style w:type="character" w:customStyle="1" w:styleId="BodyTextIndentChar">
    <w:name w:val="Body Text Indent Char"/>
    <w:basedOn w:val="DefaultParagraphFont"/>
    <w:link w:val="BodyTextIndent"/>
    <w:semiHidden/>
    <w:rsid w:val="001B6211"/>
    <w:rPr>
      <w:rFonts w:ascii="Scala" w:eastAsia="Times New Roman" w:hAnsi="Scala" w:cs="Times New Roman"/>
      <w:sz w:val="20"/>
      <w:szCs w:val="24"/>
      <w:lang w:val="en-GB"/>
    </w:rPr>
  </w:style>
  <w:style w:type="paragraph" w:styleId="TOC3">
    <w:name w:val="toc 3"/>
    <w:basedOn w:val="Normal"/>
    <w:next w:val="Normal"/>
    <w:autoRedefine/>
    <w:uiPriority w:val="39"/>
    <w:rsid w:val="001B6211"/>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1B6211"/>
    <w:pPr>
      <w:spacing w:line="480" w:lineRule="auto"/>
    </w:pPr>
  </w:style>
  <w:style w:type="character" w:customStyle="1" w:styleId="BodyText2Char">
    <w:name w:val="Body Text 2 Char"/>
    <w:basedOn w:val="DefaultParagraphFont"/>
    <w:link w:val="BodyText2"/>
    <w:semiHidden/>
    <w:rsid w:val="001B6211"/>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1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1"/>
    <w:rPr>
      <w:rFonts w:ascii="Tahoma" w:eastAsia="Times New Roman" w:hAnsi="Tahoma" w:cs="Tahoma"/>
      <w:sz w:val="16"/>
      <w:szCs w:val="16"/>
      <w:lang w:val="en-GB"/>
    </w:rPr>
  </w:style>
  <w:style w:type="paragraph" w:customStyle="1" w:styleId="Body">
    <w:name w:val="Body"/>
    <w:basedOn w:val="Normal"/>
    <w:rsid w:val="00571176"/>
    <w:pPr>
      <w:spacing w:after="240"/>
      <w:jc w:val="both"/>
    </w:pPr>
    <w:rPr>
      <w:rFonts w:cs="Arial"/>
    </w:rPr>
  </w:style>
  <w:style w:type="paragraph" w:styleId="Header">
    <w:name w:val="header"/>
    <w:basedOn w:val="Normal"/>
    <w:link w:val="HeaderChar"/>
    <w:uiPriority w:val="99"/>
    <w:unhideWhenUsed/>
    <w:rsid w:val="000C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DF"/>
    <w:rPr>
      <w:rFonts w:ascii="Arial" w:eastAsia="Times New Roman" w:hAnsi="Arial" w:cs="Times New Roman"/>
      <w:sz w:val="20"/>
      <w:szCs w:val="24"/>
      <w:lang w:val="en-GB"/>
    </w:rPr>
  </w:style>
  <w:style w:type="paragraph" w:styleId="Footer">
    <w:name w:val="footer"/>
    <w:basedOn w:val="Normal"/>
    <w:link w:val="FooterChar"/>
    <w:uiPriority w:val="99"/>
    <w:unhideWhenUsed/>
    <w:rsid w:val="000C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DF"/>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11"/>
    <w:pPr>
      <w:spacing w:after="120"/>
    </w:pPr>
    <w:rPr>
      <w:rFonts w:ascii="Arial" w:eastAsia="Times New Roman" w:hAnsi="Arial" w:cs="Times New Roman"/>
      <w:sz w:val="20"/>
      <w:szCs w:val="24"/>
      <w:lang w:val="en-GB"/>
    </w:rPr>
  </w:style>
  <w:style w:type="paragraph" w:styleId="Heading1">
    <w:name w:val="heading 1"/>
    <w:basedOn w:val="Normal"/>
    <w:next w:val="Normal"/>
    <w:link w:val="Heading1Char"/>
    <w:qFormat/>
    <w:rsid w:val="001B6211"/>
    <w:pPr>
      <w:keepNext/>
      <w:numPr>
        <w:numId w:val="16"/>
      </w:numPr>
      <w:spacing w:before="360"/>
      <w:outlineLvl w:val="0"/>
    </w:pPr>
    <w:rPr>
      <w:b/>
      <w:caps/>
      <w:sz w:val="28"/>
    </w:rPr>
  </w:style>
  <w:style w:type="paragraph" w:styleId="Heading2">
    <w:name w:val="heading 2"/>
    <w:basedOn w:val="Heading1"/>
    <w:next w:val="Normal"/>
    <w:link w:val="Heading2Char"/>
    <w:qFormat/>
    <w:rsid w:val="001B6211"/>
    <w:pPr>
      <w:numPr>
        <w:ilvl w:val="1"/>
      </w:numPr>
      <w:spacing w:before="120"/>
      <w:outlineLvl w:val="1"/>
    </w:pPr>
    <w:rPr>
      <w:caps w:val="0"/>
      <w:sz w:val="24"/>
    </w:rPr>
  </w:style>
  <w:style w:type="paragraph" w:styleId="Heading3">
    <w:name w:val="heading 3"/>
    <w:basedOn w:val="Heading2"/>
    <w:next w:val="Normal"/>
    <w:link w:val="Heading3Char"/>
    <w:autoRedefine/>
    <w:qFormat/>
    <w:rsid w:val="001B6211"/>
    <w:pPr>
      <w:numPr>
        <w:ilvl w:val="2"/>
      </w:numPr>
      <w:spacing w:after="60"/>
      <w:outlineLvl w:val="2"/>
    </w:pPr>
    <w:rPr>
      <w:rFonts w:ascii="Helvetica" w:hAnsi="Helvetica"/>
      <w:sz w:val="20"/>
    </w:rPr>
  </w:style>
  <w:style w:type="paragraph" w:styleId="Heading4">
    <w:name w:val="heading 4"/>
    <w:basedOn w:val="Heading3"/>
    <w:next w:val="Normal"/>
    <w:link w:val="Heading4Char"/>
    <w:qFormat/>
    <w:rsid w:val="001B6211"/>
    <w:pPr>
      <w:numPr>
        <w:ilvl w:val="3"/>
      </w:numPr>
      <w:outlineLvl w:val="3"/>
    </w:pPr>
    <w:rPr>
      <w:rFonts w:cs="Arial"/>
    </w:rPr>
  </w:style>
  <w:style w:type="paragraph" w:styleId="Heading5">
    <w:name w:val="heading 5"/>
    <w:basedOn w:val="Heading4"/>
    <w:next w:val="Normal"/>
    <w:link w:val="Heading5Char"/>
    <w:qFormat/>
    <w:rsid w:val="001B6211"/>
    <w:pPr>
      <w:numPr>
        <w:ilvl w:val="4"/>
      </w:numPr>
      <w:outlineLvl w:val="4"/>
    </w:pPr>
    <w:rPr>
      <w:iCs/>
    </w:rPr>
  </w:style>
  <w:style w:type="paragraph" w:styleId="Heading6">
    <w:name w:val="heading 6"/>
    <w:basedOn w:val="Heading4"/>
    <w:next w:val="Normal"/>
    <w:link w:val="Heading6Char"/>
    <w:qFormat/>
    <w:rsid w:val="001B6211"/>
    <w:pPr>
      <w:numPr>
        <w:ilvl w:val="5"/>
      </w:numPr>
      <w:spacing w:before="240"/>
      <w:outlineLvl w:val="5"/>
    </w:pPr>
    <w:rPr>
      <w:sz w:val="24"/>
    </w:rPr>
  </w:style>
  <w:style w:type="paragraph" w:styleId="Heading7">
    <w:name w:val="heading 7"/>
    <w:basedOn w:val="Normal"/>
    <w:next w:val="Normal"/>
    <w:link w:val="Heading7Char"/>
    <w:qFormat/>
    <w:rsid w:val="001B6211"/>
    <w:pPr>
      <w:numPr>
        <w:ilvl w:val="6"/>
        <w:numId w:val="16"/>
      </w:numPr>
      <w:outlineLvl w:val="6"/>
    </w:pPr>
  </w:style>
  <w:style w:type="paragraph" w:styleId="Heading8">
    <w:name w:val="heading 8"/>
    <w:basedOn w:val="Normal"/>
    <w:next w:val="Normal"/>
    <w:link w:val="Heading8Char"/>
    <w:qFormat/>
    <w:rsid w:val="001B6211"/>
    <w:pPr>
      <w:numPr>
        <w:ilvl w:val="7"/>
        <w:numId w:val="16"/>
      </w:numPr>
      <w:outlineLvl w:val="7"/>
    </w:pPr>
  </w:style>
  <w:style w:type="paragraph" w:styleId="Heading9">
    <w:name w:val="heading 9"/>
    <w:basedOn w:val="Normal"/>
    <w:next w:val="Normal"/>
    <w:link w:val="Heading9Char"/>
    <w:qFormat/>
    <w:rsid w:val="001B6211"/>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11"/>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1B6211"/>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1B6211"/>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1B6211"/>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1B6211"/>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1B6211"/>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1B6211"/>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1B6211"/>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1B6211"/>
    <w:rPr>
      <w:rFonts w:ascii="Arial" w:eastAsia="Times New Roman" w:hAnsi="Arial" w:cs="Times New Roman"/>
      <w:sz w:val="20"/>
      <w:szCs w:val="24"/>
      <w:lang w:val="en-GB"/>
    </w:rPr>
  </w:style>
  <w:style w:type="paragraph" w:styleId="TOC1">
    <w:name w:val="toc 1"/>
    <w:basedOn w:val="Normal"/>
    <w:next w:val="Normal"/>
    <w:autoRedefine/>
    <w:uiPriority w:val="39"/>
    <w:rsid w:val="001B6211"/>
    <w:pPr>
      <w:spacing w:before="120"/>
    </w:pPr>
    <w:rPr>
      <w:rFonts w:asciiTheme="minorHAnsi" w:hAnsiTheme="minorHAnsi" w:cstheme="minorHAnsi"/>
      <w:b/>
      <w:bCs/>
      <w:caps/>
      <w:szCs w:val="20"/>
    </w:rPr>
  </w:style>
  <w:style w:type="paragraph" w:styleId="TOC2">
    <w:name w:val="toc 2"/>
    <w:basedOn w:val="Normal"/>
    <w:next w:val="Normal"/>
    <w:autoRedefine/>
    <w:uiPriority w:val="39"/>
    <w:rsid w:val="001B6211"/>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1B6211"/>
    <w:pPr>
      <w:ind w:left="1418" w:hanging="1418"/>
    </w:pPr>
    <w:rPr>
      <w:rFonts w:ascii="Scala" w:hAnsi="Scala"/>
    </w:rPr>
  </w:style>
  <w:style w:type="character" w:customStyle="1" w:styleId="BodyTextIndentChar">
    <w:name w:val="Body Text Indent Char"/>
    <w:basedOn w:val="DefaultParagraphFont"/>
    <w:link w:val="BodyTextIndent"/>
    <w:semiHidden/>
    <w:rsid w:val="001B6211"/>
    <w:rPr>
      <w:rFonts w:ascii="Scala" w:eastAsia="Times New Roman" w:hAnsi="Scala" w:cs="Times New Roman"/>
      <w:sz w:val="20"/>
      <w:szCs w:val="24"/>
      <w:lang w:val="en-GB"/>
    </w:rPr>
  </w:style>
  <w:style w:type="paragraph" w:styleId="TOC3">
    <w:name w:val="toc 3"/>
    <w:basedOn w:val="Normal"/>
    <w:next w:val="Normal"/>
    <w:autoRedefine/>
    <w:uiPriority w:val="39"/>
    <w:rsid w:val="001B6211"/>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1B6211"/>
    <w:pPr>
      <w:spacing w:line="480" w:lineRule="auto"/>
    </w:pPr>
  </w:style>
  <w:style w:type="character" w:customStyle="1" w:styleId="BodyText2Char">
    <w:name w:val="Body Text 2 Char"/>
    <w:basedOn w:val="DefaultParagraphFont"/>
    <w:link w:val="BodyText2"/>
    <w:semiHidden/>
    <w:rsid w:val="001B6211"/>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1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1"/>
    <w:rPr>
      <w:rFonts w:ascii="Tahoma" w:eastAsia="Times New Roman" w:hAnsi="Tahoma" w:cs="Tahoma"/>
      <w:sz w:val="16"/>
      <w:szCs w:val="16"/>
      <w:lang w:val="en-GB"/>
    </w:rPr>
  </w:style>
  <w:style w:type="paragraph" w:customStyle="1" w:styleId="Body">
    <w:name w:val="Body"/>
    <w:basedOn w:val="Normal"/>
    <w:rsid w:val="00571176"/>
    <w:pPr>
      <w:spacing w:after="240"/>
      <w:jc w:val="both"/>
    </w:pPr>
    <w:rPr>
      <w:rFonts w:cs="Arial"/>
    </w:rPr>
  </w:style>
  <w:style w:type="paragraph" w:styleId="Header">
    <w:name w:val="header"/>
    <w:basedOn w:val="Normal"/>
    <w:link w:val="HeaderChar"/>
    <w:uiPriority w:val="99"/>
    <w:unhideWhenUsed/>
    <w:rsid w:val="000C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DF"/>
    <w:rPr>
      <w:rFonts w:ascii="Arial" w:eastAsia="Times New Roman" w:hAnsi="Arial" w:cs="Times New Roman"/>
      <w:sz w:val="20"/>
      <w:szCs w:val="24"/>
      <w:lang w:val="en-GB"/>
    </w:rPr>
  </w:style>
  <w:style w:type="paragraph" w:styleId="Footer">
    <w:name w:val="footer"/>
    <w:basedOn w:val="Normal"/>
    <w:link w:val="FooterChar"/>
    <w:uiPriority w:val="99"/>
    <w:unhideWhenUsed/>
    <w:rsid w:val="000C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DF"/>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Krunoslav PREMEC</cp:lastModifiedBy>
  <cp:revision>7</cp:revision>
  <dcterms:created xsi:type="dcterms:W3CDTF">2018-05-07T05:54:00Z</dcterms:created>
  <dcterms:modified xsi:type="dcterms:W3CDTF">2018-06-01T14:17:00Z</dcterms:modified>
</cp:coreProperties>
</file>