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EC7FD3" w:rsidRPr="000E101F">
        <w:tc>
          <w:tcPr>
            <w:tcW w:w="5070" w:type="dxa"/>
          </w:tcPr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  <w:r w:rsidRPr="00C10CBB">
              <w:rPr>
                <w:color w:val="000000"/>
              </w:rPr>
              <w:t>WORLD METEOROLOGICAL ORGANIZATION</w:t>
            </w: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  <w:r w:rsidRPr="00C10CBB">
              <w:rPr>
                <w:color w:val="000000"/>
              </w:rPr>
              <w:t>COMMISSION FOR BASIC SYSTEMS</w:t>
            </w:r>
            <w:r w:rsidRPr="00C10CBB">
              <w:rPr>
                <w:color w:val="000000"/>
              </w:rPr>
              <w:br/>
              <w:t>OPAG on DPFS</w:t>
            </w: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</w:p>
          <w:p w:rsidR="00A06DE1" w:rsidRPr="00B21BFB" w:rsidRDefault="00A06DE1" w:rsidP="00A06DE1">
            <w:pPr>
              <w:pStyle w:val="Title"/>
              <w:spacing w:line="0" w:lineRule="atLeast"/>
              <w:rPr>
                <w:rFonts w:cs="Arial"/>
                <w:caps/>
              </w:rPr>
            </w:pPr>
            <w:r w:rsidRPr="00B21BFB">
              <w:rPr>
                <w:rFonts w:cs="Arial"/>
                <w:caps/>
              </w:rPr>
              <w:t xml:space="preserve">Meeting of the Expert Team on Operational Prediction from </w:t>
            </w:r>
          </w:p>
          <w:p w:rsidR="00A06DE1" w:rsidRPr="00B21BFB" w:rsidRDefault="00A06DE1" w:rsidP="00A06DE1">
            <w:pPr>
              <w:pStyle w:val="Title"/>
              <w:spacing w:line="0" w:lineRule="atLeast"/>
              <w:rPr>
                <w:rFonts w:cs="Arial"/>
                <w:caps/>
                <w:lang w:eastAsia="zh-CN"/>
              </w:rPr>
            </w:pPr>
            <w:r w:rsidRPr="00B21BFB">
              <w:rPr>
                <w:rFonts w:cs="Arial"/>
                <w:caps/>
              </w:rPr>
              <w:t>Sub-seasonal to Longer-time Scales</w:t>
            </w:r>
          </w:p>
          <w:p w:rsidR="00EC7FD3" w:rsidRPr="00EC7FD3" w:rsidRDefault="00EC7FD3" w:rsidP="00EC7FD3">
            <w:pPr>
              <w:pStyle w:val="BodyTextIndent"/>
              <w:spacing w:after="0"/>
              <w:jc w:val="center"/>
              <w:rPr>
                <w:snapToGrid w:val="0"/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pStyle w:val="BodyTextIndent"/>
              <w:spacing w:after="0"/>
              <w:jc w:val="center"/>
              <w:rPr>
                <w:snapToGrid w:val="0"/>
                <w:color w:val="000000"/>
                <w:lang w:val="en-US"/>
              </w:rPr>
            </w:pPr>
          </w:p>
          <w:p w:rsidR="00EC7FD3" w:rsidRPr="00C10CBB" w:rsidRDefault="00A06DE1" w:rsidP="00EC7FD3">
            <w:pPr>
              <w:pStyle w:val="BodyTextIndent"/>
              <w:spacing w:after="0"/>
              <w:jc w:val="center"/>
              <w:rPr>
                <w:snapToGrid w:val="0"/>
                <w:color w:val="000000"/>
              </w:rPr>
            </w:pPr>
            <w:r w:rsidRPr="00A06DE1">
              <w:rPr>
                <w:snapToGrid w:val="0"/>
                <w:color w:val="000000"/>
              </w:rPr>
              <w:t>Beijing, China, 11-15 April 2016</w:t>
            </w:r>
          </w:p>
          <w:p w:rsidR="00EC7FD3" w:rsidRPr="00C10CBB" w:rsidRDefault="00EC7FD3" w:rsidP="00EC7FD3">
            <w:pPr>
              <w:pStyle w:val="BodyTextIndent"/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567" w:type="dxa"/>
          </w:tcPr>
          <w:p w:rsidR="00EC7FD3" w:rsidRPr="00C10CBB" w:rsidRDefault="00EC7FD3" w:rsidP="00EC7FD3">
            <w:pPr>
              <w:rPr>
                <w:color w:val="000000"/>
              </w:rPr>
            </w:pPr>
          </w:p>
        </w:tc>
        <w:tc>
          <w:tcPr>
            <w:tcW w:w="4218" w:type="dxa"/>
          </w:tcPr>
          <w:p w:rsidR="00EC7FD3" w:rsidRPr="0017384C" w:rsidRDefault="00EC7FD3" w:rsidP="000E101F">
            <w:pPr>
              <w:rPr>
                <w:color w:val="000000"/>
                <w:lang w:val="fr-FR"/>
              </w:rPr>
            </w:pPr>
            <w:r w:rsidRPr="0017384C">
              <w:rPr>
                <w:color w:val="000000"/>
                <w:lang w:val="fr-FR"/>
              </w:rPr>
              <w:t xml:space="preserve">CBS-DPFS/ET-ELRF /Doc. </w:t>
            </w:r>
            <w:r>
              <w:rPr>
                <w:color w:val="000000"/>
                <w:lang w:val="fr-FR"/>
              </w:rPr>
              <w:t>4.1</w:t>
            </w:r>
            <w:r w:rsidR="00A06DE1">
              <w:rPr>
                <w:color w:val="000000"/>
                <w:lang w:val="fr-FR"/>
              </w:rPr>
              <w:t>(</w:t>
            </w:r>
            <w:r w:rsidR="000E101F">
              <w:rPr>
                <w:color w:val="000000"/>
                <w:lang w:val="fr-FR"/>
              </w:rPr>
              <w:t>5</w:t>
            </w:r>
            <w:bookmarkStart w:id="0" w:name="_GoBack"/>
            <w:bookmarkEnd w:id="0"/>
            <w:r w:rsidR="00A06DE1">
              <w:rPr>
                <w:color w:val="000000"/>
                <w:lang w:val="fr-FR"/>
              </w:rPr>
              <w:t>)</w:t>
            </w:r>
          </w:p>
          <w:p w:rsidR="00EC7FD3" w:rsidRPr="0017384C" w:rsidRDefault="00EC7FD3" w:rsidP="00EC7FD3">
            <w:pPr>
              <w:rPr>
                <w:color w:val="000000"/>
                <w:lang w:val="fr-FR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(</w:t>
            </w:r>
            <w:r w:rsidR="00A06DE1">
              <w:rPr>
                <w:color w:val="000000"/>
                <w:lang w:val="en-US"/>
              </w:rPr>
              <w:t>22</w:t>
            </w:r>
            <w:r w:rsidR="00A06DE1" w:rsidRPr="00EC7FD3">
              <w:rPr>
                <w:color w:val="000000"/>
                <w:lang w:val="en-US"/>
              </w:rPr>
              <w:t>.</w:t>
            </w:r>
            <w:r w:rsidR="00A06DE1">
              <w:rPr>
                <w:color w:val="000000"/>
                <w:lang w:val="en-US"/>
              </w:rPr>
              <w:t>I</w:t>
            </w:r>
            <w:r w:rsidR="00A06DE1" w:rsidRPr="00EC7FD3">
              <w:rPr>
                <w:color w:val="000000"/>
                <w:lang w:val="en-US"/>
              </w:rPr>
              <w:t>II.201</w:t>
            </w:r>
            <w:r w:rsidR="00A06DE1">
              <w:rPr>
                <w:color w:val="000000"/>
                <w:lang w:val="en-US"/>
              </w:rPr>
              <w:t>6</w:t>
            </w:r>
            <w:r w:rsidRPr="00EC7FD3">
              <w:rPr>
                <w:color w:val="000000"/>
                <w:lang w:val="en-US"/>
              </w:rPr>
              <w:t>)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_______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 xml:space="preserve">Agenda item : </w:t>
            </w:r>
            <w:r>
              <w:rPr>
                <w:color w:val="000000"/>
                <w:lang w:val="en-US"/>
              </w:rPr>
              <w:t>4.1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ENGLISH ONLY</w:t>
            </w:r>
          </w:p>
        </w:tc>
      </w:tr>
    </w:tbl>
    <w:p w:rsidR="00EC7FD3" w:rsidRDefault="00EC7FD3" w:rsidP="00BD1D23">
      <w:pPr>
        <w:pStyle w:val="BodyText3"/>
        <w:ind w:left="851" w:right="849"/>
        <w:jc w:val="center"/>
        <w:rPr>
          <w:b/>
        </w:rPr>
      </w:pPr>
    </w:p>
    <w:p w:rsidR="00BD1D23" w:rsidRPr="003B56C6" w:rsidRDefault="005B1949" w:rsidP="00BD1D23">
      <w:pPr>
        <w:pStyle w:val="BodyText3"/>
        <w:ind w:left="851" w:right="849"/>
        <w:jc w:val="center"/>
        <w:rPr>
          <w:b/>
        </w:rPr>
      </w:pPr>
      <w:r>
        <w:rPr>
          <w:b/>
        </w:rPr>
        <w:t>REVIEW OF THE WORK, FUNCTIONS AND SPECIFIC NEEDS OF THE GLOBAL PRODUCING CENTRES (GPCs)</w:t>
      </w:r>
    </w:p>
    <w:p w:rsidR="00BD1D23" w:rsidRDefault="00BD1D23" w:rsidP="00BD1D23">
      <w:pPr>
        <w:pStyle w:val="BodyText3"/>
        <w:ind w:left="851" w:right="849"/>
        <w:jc w:val="center"/>
        <w:rPr>
          <w:b/>
        </w:rPr>
      </w:pPr>
    </w:p>
    <w:p w:rsidR="005B1949" w:rsidRPr="005B1949" w:rsidRDefault="005B1949" w:rsidP="005B1949">
      <w:pPr>
        <w:jc w:val="center"/>
        <w:rPr>
          <w:i/>
          <w:sz w:val="24"/>
          <w:szCs w:val="24"/>
          <w:lang w:val="en-US"/>
        </w:rPr>
      </w:pPr>
      <w:r w:rsidRPr="005B1949">
        <w:rPr>
          <w:b/>
          <w:sz w:val="24"/>
          <w:szCs w:val="24"/>
          <w:lang w:val="en-US"/>
        </w:rPr>
        <w:t xml:space="preserve">STATUS / PROGRESS REPORT FOR </w:t>
      </w:r>
      <w:r w:rsidR="00F44F78" w:rsidRPr="006F376D">
        <w:rPr>
          <w:b/>
          <w:i/>
          <w:sz w:val="24"/>
          <w:szCs w:val="24"/>
          <w:lang w:val="en-US"/>
        </w:rPr>
        <w:t>GPC PRETORIA</w:t>
      </w:r>
    </w:p>
    <w:p w:rsidR="00BD1D23" w:rsidRPr="003B56C6" w:rsidRDefault="00BD1D23" w:rsidP="00BD1D23">
      <w:pPr>
        <w:pStyle w:val="BodyText3"/>
        <w:ind w:left="851" w:right="849"/>
        <w:jc w:val="center"/>
        <w:rPr>
          <w:b/>
        </w:rPr>
      </w:pPr>
    </w:p>
    <w:p w:rsidR="00F44F78" w:rsidRPr="006F376D" w:rsidRDefault="00DB6616" w:rsidP="00F44F78">
      <w:pPr>
        <w:pStyle w:val="Title"/>
        <w:spacing w:line="360" w:lineRule="auto"/>
        <w:ind w:left="851" w:right="849"/>
        <w:rPr>
          <w:rFonts w:cs="Arial"/>
          <w:b w:val="0"/>
          <w:i/>
          <w:lang w:val="en-US"/>
        </w:rPr>
      </w:pPr>
      <w:r>
        <w:rPr>
          <w:rFonts w:cs="Arial"/>
          <w:b w:val="0"/>
          <w:i/>
          <w:lang w:val="en-US"/>
        </w:rPr>
        <w:t xml:space="preserve">(Submitted by </w:t>
      </w:r>
      <w:r w:rsidR="00F44F78" w:rsidRPr="006F376D">
        <w:rPr>
          <w:rFonts w:cs="Arial"/>
          <w:b w:val="0"/>
          <w:i/>
          <w:lang w:val="en-US"/>
        </w:rPr>
        <w:t>Asmerom Beraki</w:t>
      </w:r>
      <w:r>
        <w:rPr>
          <w:rFonts w:cs="Arial"/>
          <w:b w:val="0"/>
          <w:i/>
          <w:lang w:val="en-US"/>
        </w:rPr>
        <w:t>)</w:t>
      </w:r>
    </w:p>
    <w:p w:rsidR="00BD1D23" w:rsidRPr="000E101F" w:rsidRDefault="00BD1D23" w:rsidP="00BD1D23">
      <w:pPr>
        <w:ind w:right="-1"/>
        <w:rPr>
          <w:rFonts w:cs="Arial"/>
          <w:lang w:val="en-US"/>
        </w:rPr>
      </w:pPr>
    </w:p>
    <w:p w:rsidR="00BD1D23" w:rsidRPr="000E101F" w:rsidRDefault="00BD1D23" w:rsidP="00BD1D23">
      <w:pPr>
        <w:ind w:right="-1"/>
        <w:rPr>
          <w:rFonts w:cs="Arial"/>
          <w:lang w:val="en-US"/>
        </w:rPr>
      </w:pPr>
    </w:p>
    <w:p w:rsidR="00BD1D23" w:rsidRPr="000E101F" w:rsidRDefault="00BD1D23" w:rsidP="00BD1D23">
      <w:pPr>
        <w:ind w:right="-1"/>
        <w:rPr>
          <w:rFonts w:cs="Arial"/>
          <w:lang w:val="en-US"/>
        </w:rPr>
      </w:pPr>
    </w:p>
    <w:p w:rsidR="00BD1D23" w:rsidRPr="000E101F" w:rsidRDefault="00BD1D23" w:rsidP="00BD1D23">
      <w:pPr>
        <w:ind w:right="-1"/>
        <w:rPr>
          <w:rFonts w:cs="Arial"/>
          <w:lang w:val="en-US"/>
        </w:rPr>
      </w:pPr>
    </w:p>
    <w:p w:rsidR="00BD1D23" w:rsidRPr="003B56C6" w:rsidRDefault="00BD1D23" w:rsidP="00BD1D23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 w:rsidRPr="003B56C6">
        <w:rPr>
          <w:rFonts w:cs="Arial"/>
          <w:i w:val="0"/>
          <w:sz w:val="22"/>
          <w:szCs w:val="22"/>
          <w:lang w:val="en-US"/>
        </w:rPr>
        <w:t>Summary and purpose of document</w:t>
      </w: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BD1D23" w:rsidP="00BD1D23">
      <w:pPr>
        <w:pBdr>
          <w:top w:val="single" w:sz="4" w:space="1" w:color="auto"/>
        </w:pBdr>
        <w:ind w:left="1418" w:right="1416"/>
        <w:jc w:val="both"/>
        <w:rPr>
          <w:rFonts w:cs="Arial"/>
          <w:b/>
          <w:lang w:val="en-US"/>
        </w:rPr>
      </w:pPr>
    </w:p>
    <w:p w:rsidR="00F44F78" w:rsidRPr="006F376D" w:rsidRDefault="004225DF" w:rsidP="00F44F78">
      <w:pPr>
        <w:pStyle w:val="BodyText3"/>
        <w:tabs>
          <w:tab w:val="left" w:pos="9214"/>
        </w:tabs>
        <w:ind w:left="1418" w:right="1416" w:firstLine="425"/>
      </w:pPr>
      <w:r w:rsidRPr="004225DF">
        <w:t>This document provides an update on the stat</w:t>
      </w:r>
      <w:r w:rsidR="00A06DE1">
        <w:t>e</w:t>
      </w:r>
      <w:r w:rsidRPr="004225DF">
        <w:t xml:space="preserve"> of GPC-</w:t>
      </w:r>
      <w:r>
        <w:t>Pretoria</w:t>
      </w:r>
      <w:r w:rsidR="00A06DE1">
        <w:t xml:space="preserve"> and is provided for the information of the ET on Operational Predictions from Sub-Seasonal to Long Time-Scales</w:t>
      </w:r>
      <w:r w:rsidRPr="004225DF">
        <w:t xml:space="preserve"> </w:t>
      </w:r>
    </w:p>
    <w:p w:rsidR="00BD1D23" w:rsidRPr="003B56C6" w:rsidRDefault="00BD1D23" w:rsidP="00BD1D23">
      <w:pPr>
        <w:pStyle w:val="BodyText3"/>
        <w:tabs>
          <w:tab w:val="left" w:pos="9214"/>
        </w:tabs>
        <w:ind w:left="1418" w:right="1416" w:firstLine="425"/>
      </w:pPr>
    </w:p>
    <w:p w:rsidR="00BD1D23" w:rsidRPr="003B56C6" w:rsidRDefault="00BD1D23" w:rsidP="00BD1D23">
      <w:pPr>
        <w:pStyle w:val="BodyText3"/>
        <w:tabs>
          <w:tab w:val="left" w:pos="9214"/>
        </w:tabs>
        <w:ind w:left="1418" w:right="1416" w:firstLine="425"/>
      </w:pPr>
    </w:p>
    <w:p w:rsidR="00BD1D23" w:rsidRPr="003B56C6" w:rsidRDefault="00BD1D23" w:rsidP="00BD1D23">
      <w:pPr>
        <w:pStyle w:val="BodyText3"/>
        <w:tabs>
          <w:tab w:val="left" w:pos="9214"/>
        </w:tabs>
        <w:ind w:left="1418" w:right="1416" w:firstLine="425"/>
      </w:pPr>
    </w:p>
    <w:p w:rsidR="00BD1D23" w:rsidRPr="003B56C6" w:rsidRDefault="00BD1D23" w:rsidP="00BD1D23">
      <w:pPr>
        <w:pStyle w:val="BodyText3"/>
        <w:tabs>
          <w:tab w:val="left" w:pos="2250"/>
        </w:tabs>
        <w:ind w:left="1418" w:right="1416" w:firstLine="425"/>
        <w:rPr>
          <w:b/>
        </w:rPr>
      </w:pPr>
    </w:p>
    <w:p w:rsidR="00BD1D23" w:rsidRPr="003B56C6" w:rsidRDefault="00BD1D23" w:rsidP="00BD1D23">
      <w:pPr>
        <w:pBdr>
          <w:bottom w:val="single" w:sz="4" w:space="1" w:color="auto"/>
        </w:pBdr>
        <w:ind w:left="1418" w:right="1416"/>
        <w:jc w:val="both"/>
        <w:rPr>
          <w:rFonts w:cs="Arial"/>
          <w:lang w:val="en-US"/>
        </w:rPr>
      </w:pPr>
    </w:p>
    <w:p w:rsidR="00BD1D23" w:rsidRPr="003B56C6" w:rsidRDefault="00BD1D23" w:rsidP="00BD1D23">
      <w:pPr>
        <w:pStyle w:val="BodyText3"/>
        <w:tabs>
          <w:tab w:val="left" w:pos="9214"/>
        </w:tabs>
        <w:ind w:left="1418" w:right="1416"/>
        <w:rPr>
          <w:b/>
        </w:rPr>
      </w:pPr>
    </w:p>
    <w:p w:rsidR="00BD1D23" w:rsidRPr="003B56C6" w:rsidRDefault="00BD1D23" w:rsidP="00BD1D23">
      <w:pPr>
        <w:pStyle w:val="BodyText3"/>
        <w:tabs>
          <w:tab w:val="left" w:pos="9214"/>
        </w:tabs>
        <w:ind w:left="1418" w:right="1416"/>
        <w:rPr>
          <w:b/>
        </w:rPr>
      </w:pPr>
    </w:p>
    <w:p w:rsidR="00BD1D23" w:rsidRPr="003B56C6" w:rsidRDefault="00BD1D23" w:rsidP="00BD1D23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 w:rsidRPr="003B56C6">
        <w:rPr>
          <w:rFonts w:cs="Arial"/>
          <w:i w:val="0"/>
          <w:sz w:val="22"/>
          <w:szCs w:val="22"/>
          <w:lang w:val="en-US"/>
        </w:rPr>
        <w:t>Action Proposed</w:t>
      </w:r>
    </w:p>
    <w:p w:rsidR="00BD1D23" w:rsidRPr="003B56C6" w:rsidRDefault="00BD1D23" w:rsidP="00BD1D23">
      <w:pPr>
        <w:rPr>
          <w:rFonts w:cs="Arial"/>
          <w:lang w:val="en-US"/>
        </w:rPr>
      </w:pPr>
    </w:p>
    <w:p w:rsidR="00F44F78" w:rsidRPr="006F376D" w:rsidRDefault="004225DF" w:rsidP="004225DF">
      <w:pPr>
        <w:rPr>
          <w:rFonts w:cs="Arial"/>
          <w:lang w:val="en-US"/>
        </w:rPr>
      </w:pPr>
      <w:r>
        <w:rPr>
          <w:rFonts w:cs="Arial"/>
          <w:lang w:val="en-US"/>
        </w:rPr>
        <w:t>The meeting is invited to note the content</w:t>
      </w:r>
      <w:r w:rsidR="00DB6616">
        <w:rPr>
          <w:rFonts w:cs="Arial"/>
          <w:lang w:val="en-US"/>
        </w:rPr>
        <w:t>s.</w:t>
      </w:r>
    </w:p>
    <w:p w:rsidR="00147267" w:rsidRPr="003B56C6" w:rsidRDefault="00147267" w:rsidP="00BD1D23">
      <w:pPr>
        <w:jc w:val="center"/>
        <w:rPr>
          <w:rFonts w:cs="Arial"/>
          <w:lang w:val="en-US"/>
        </w:rPr>
      </w:pPr>
    </w:p>
    <w:p w:rsidR="00BD1D23" w:rsidRPr="003B56C6" w:rsidRDefault="00BD1D23" w:rsidP="00BD1D23">
      <w:pPr>
        <w:jc w:val="center"/>
        <w:rPr>
          <w:rFonts w:cs="Arial"/>
          <w:lang w:val="en-US"/>
        </w:rPr>
      </w:pPr>
    </w:p>
    <w:p w:rsidR="00123308" w:rsidRDefault="00123308" w:rsidP="00BD1D23">
      <w:pPr>
        <w:jc w:val="center"/>
        <w:rPr>
          <w:rFonts w:cs="Arial"/>
          <w:lang w:val="en-US"/>
        </w:rPr>
      </w:pPr>
    </w:p>
    <w:p w:rsidR="009132B6" w:rsidRDefault="009132B6" w:rsidP="00BD1D23">
      <w:pPr>
        <w:jc w:val="center"/>
        <w:rPr>
          <w:rFonts w:cs="Arial"/>
          <w:lang w:val="en-US"/>
        </w:rPr>
      </w:pPr>
    </w:p>
    <w:p w:rsidR="009132B6" w:rsidRDefault="009132B6" w:rsidP="00BD1D23">
      <w:pPr>
        <w:jc w:val="center"/>
        <w:rPr>
          <w:rFonts w:cs="Arial"/>
          <w:lang w:val="en-US"/>
        </w:rPr>
      </w:pPr>
    </w:p>
    <w:p w:rsidR="009132B6" w:rsidRDefault="009132B6" w:rsidP="00BD1D23">
      <w:pPr>
        <w:jc w:val="center"/>
        <w:rPr>
          <w:rFonts w:cs="Arial"/>
          <w:lang w:val="en-US"/>
        </w:rPr>
      </w:pPr>
    </w:p>
    <w:p w:rsidR="009132B6" w:rsidRDefault="009132B6" w:rsidP="00BD1D23">
      <w:pPr>
        <w:jc w:val="center"/>
        <w:rPr>
          <w:rFonts w:cs="Arial"/>
          <w:lang w:val="en-US"/>
        </w:rPr>
      </w:pPr>
    </w:p>
    <w:p w:rsidR="009132B6" w:rsidRDefault="009132B6" w:rsidP="00BD1D23">
      <w:pPr>
        <w:jc w:val="center"/>
        <w:rPr>
          <w:rFonts w:cs="Arial"/>
          <w:lang w:val="en-US"/>
        </w:rPr>
      </w:pPr>
    </w:p>
    <w:p w:rsidR="009132B6" w:rsidRPr="003B56C6" w:rsidRDefault="009132B6" w:rsidP="00BD1D23">
      <w:pPr>
        <w:jc w:val="center"/>
        <w:rPr>
          <w:rFonts w:cs="Arial"/>
          <w:lang w:val="en-US"/>
        </w:rPr>
      </w:pPr>
    </w:p>
    <w:p w:rsidR="00BC33FE" w:rsidRDefault="00BC33FE" w:rsidP="00B13845">
      <w:pPr>
        <w:jc w:val="center"/>
        <w:rPr>
          <w:b/>
          <w:sz w:val="24"/>
          <w:szCs w:val="24"/>
          <w:lang w:val="en-US"/>
        </w:rPr>
      </w:pPr>
    </w:p>
    <w:p w:rsidR="00B13845" w:rsidRPr="00B13845" w:rsidRDefault="00B13845" w:rsidP="00B13845">
      <w:pPr>
        <w:jc w:val="center"/>
        <w:rPr>
          <w:i/>
          <w:sz w:val="24"/>
          <w:szCs w:val="24"/>
          <w:lang w:val="en-US"/>
        </w:rPr>
      </w:pPr>
      <w:r w:rsidRPr="00B13845">
        <w:rPr>
          <w:b/>
          <w:sz w:val="24"/>
          <w:szCs w:val="24"/>
          <w:lang w:val="en-US"/>
        </w:rPr>
        <w:t xml:space="preserve">STATUS / PROGRESS REPORT FOR </w:t>
      </w:r>
      <w:r w:rsidR="00F44F78" w:rsidRPr="006F376D">
        <w:rPr>
          <w:b/>
          <w:i/>
          <w:sz w:val="24"/>
          <w:szCs w:val="24"/>
          <w:lang w:val="en-US"/>
        </w:rPr>
        <w:t>GPC PRETORIA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B13845" w:rsidRPr="00B13845" w:rsidRDefault="00B13845" w:rsidP="00B13845">
      <w:pPr>
        <w:jc w:val="both"/>
        <w:rPr>
          <w:b/>
          <w:lang w:val="en-US"/>
        </w:rPr>
      </w:pPr>
      <w:r w:rsidRPr="00B13845">
        <w:rPr>
          <w:b/>
          <w:lang w:val="en-US"/>
        </w:rPr>
        <w:t>1.</w:t>
      </w:r>
      <w:r w:rsidRPr="00B13845">
        <w:rPr>
          <w:b/>
          <w:lang w:val="en-US"/>
        </w:rPr>
        <w:tab/>
        <w:t>FORECASTING SYSTEM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lang w:val="en-US"/>
        </w:rPr>
      </w:pPr>
      <w:r w:rsidRPr="006F376D">
        <w:rPr>
          <w:lang w:val="en-US"/>
        </w:rPr>
        <w:t>1.1</w:t>
      </w:r>
      <w:r w:rsidRPr="006F376D">
        <w:rPr>
          <w:lang w:val="en-US"/>
        </w:rPr>
        <w:tab/>
        <w:t>Description of the forecasting system specification</w:t>
      </w:r>
    </w:p>
    <w:p w:rsidR="00823CF9" w:rsidRDefault="0095669E" w:rsidP="00D960AA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Seasonal operational forecasting system o</w:t>
      </w:r>
      <w:r w:rsidR="00FF47B2">
        <w:rPr>
          <w:rFonts w:ascii="Arial" w:hAnsi="Arial" w:cs="Arial"/>
          <w:color w:val="000000"/>
          <w:sz w:val="22"/>
          <w:szCs w:val="22"/>
        </w:rPr>
        <w:t>f GPC Pretoria relies on a C</w:t>
      </w:r>
      <w:r>
        <w:rPr>
          <w:rFonts w:ascii="Arial" w:hAnsi="Arial" w:cs="Arial"/>
          <w:color w:val="000000"/>
          <w:sz w:val="22"/>
          <w:szCs w:val="22"/>
        </w:rPr>
        <w:t xml:space="preserve">oupled </w:t>
      </w:r>
      <w:r w:rsidR="00FF47B2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ocean-atmosphere</w:t>
      </w:r>
      <w:r w:rsidR="00FF47B2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F47B2">
        <w:rPr>
          <w:rFonts w:ascii="Arial" w:hAnsi="Arial" w:cs="Arial"/>
          <w:color w:val="000000"/>
          <w:sz w:val="22"/>
          <w:szCs w:val="22"/>
        </w:rPr>
        <w:t xml:space="preserve">General Circulation </w:t>
      </w:r>
      <w:r>
        <w:rPr>
          <w:rFonts w:ascii="Arial" w:hAnsi="Arial" w:cs="Arial"/>
          <w:color w:val="000000"/>
          <w:sz w:val="22"/>
          <w:szCs w:val="22"/>
        </w:rPr>
        <w:t>model</w:t>
      </w:r>
      <w:r w:rsidR="00FF47B2">
        <w:rPr>
          <w:rFonts w:ascii="Arial" w:hAnsi="Arial" w:cs="Arial"/>
          <w:color w:val="000000"/>
          <w:sz w:val="22"/>
          <w:szCs w:val="22"/>
        </w:rPr>
        <w:t xml:space="preserve"> (CGCM)</w:t>
      </w:r>
      <w:r>
        <w:rPr>
          <w:rFonts w:ascii="Arial" w:hAnsi="Arial" w:cs="Arial"/>
          <w:color w:val="000000"/>
          <w:sz w:val="22"/>
          <w:szCs w:val="22"/>
        </w:rPr>
        <w:t xml:space="preserve"> referred to as </w:t>
      </w:r>
      <w:r w:rsidR="00AE3EE4">
        <w:rPr>
          <w:rFonts w:ascii="Arial" w:hAnsi="Arial" w:cs="Arial"/>
          <w:color w:val="000000"/>
          <w:sz w:val="22"/>
          <w:szCs w:val="22"/>
        </w:rPr>
        <w:t xml:space="preserve">the SAWS Coupled Model </w:t>
      </w:r>
      <w:r w:rsidRPr="002A6AB4">
        <w:rPr>
          <w:rFonts w:ascii="Arial" w:hAnsi="Arial" w:cs="Arial"/>
          <w:color w:val="000000"/>
          <w:sz w:val="22"/>
          <w:szCs w:val="22"/>
        </w:rPr>
        <w:t>(</w:t>
      </w:r>
      <w:r w:rsidR="00AE3EE4">
        <w:rPr>
          <w:rFonts w:ascii="Arial" w:hAnsi="Arial" w:cs="Arial"/>
          <w:color w:val="000000"/>
          <w:sz w:val="22"/>
          <w:szCs w:val="22"/>
        </w:rPr>
        <w:t xml:space="preserve">SCM; </w:t>
      </w:r>
      <w:r w:rsidRPr="002A6AB4">
        <w:rPr>
          <w:rFonts w:ascii="Arial" w:hAnsi="Arial" w:cs="Arial"/>
          <w:color w:val="000000"/>
          <w:sz w:val="22"/>
          <w:szCs w:val="22"/>
        </w:rPr>
        <w:t>Beraki et al., 201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C7679D">
        <w:rPr>
          <w:rFonts w:ascii="Arial" w:hAnsi="Arial" w:cs="Arial"/>
          <w:color w:val="000000"/>
          <w:sz w:val="22"/>
          <w:szCs w:val="22"/>
        </w:rPr>
        <w:t>; 2015</w:t>
      </w:r>
      <w:r w:rsidRPr="002A6AB4">
        <w:rPr>
          <w:rFonts w:ascii="Arial" w:hAnsi="Arial" w:cs="Arial"/>
          <w:color w:val="000000"/>
          <w:sz w:val="22"/>
          <w:szCs w:val="22"/>
        </w:rPr>
        <w:t>)</w:t>
      </w:r>
      <w:r w:rsidR="00C7679D">
        <w:rPr>
          <w:rFonts w:ascii="Arial" w:hAnsi="Arial" w:cs="Arial"/>
          <w:color w:val="000000"/>
          <w:sz w:val="22"/>
          <w:szCs w:val="22"/>
        </w:rPr>
        <w:t>.</w:t>
      </w:r>
      <w:r w:rsidR="00823CF9">
        <w:rPr>
          <w:rFonts w:ascii="Arial" w:hAnsi="Arial" w:cs="Arial"/>
          <w:color w:val="000000"/>
          <w:sz w:val="22"/>
          <w:szCs w:val="22"/>
        </w:rPr>
        <w:t xml:space="preserve"> 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The CGCM </w:t>
      </w:r>
      <w:r w:rsidR="00AE3EE4" w:rsidRPr="00AE3EE4">
        <w:rPr>
          <w:rFonts w:ascii="Arial" w:hAnsi="Arial" w:cs="Arial"/>
          <w:color w:val="000000"/>
          <w:sz w:val="22"/>
          <w:szCs w:val="22"/>
        </w:rPr>
        <w:t xml:space="preserve">uses T42 (triangular truncation at wave number 42) horizontal resolution and 19 unevenly spaced hybrid sigma layers, 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the OGCM </w:t>
      </w:r>
      <w:r w:rsidR="00AE3EE4" w:rsidRPr="00AE3EE4">
        <w:rPr>
          <w:rFonts w:ascii="Arial" w:hAnsi="Arial" w:cs="Arial"/>
          <w:color w:val="000000"/>
          <w:sz w:val="22"/>
          <w:szCs w:val="22"/>
        </w:rPr>
        <w:t>(Ocean General Circulation Model)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has a 0.58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uniform zonal resolution, with a variable meridional resolution of 0.5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between 10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S and 10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N, gradually increasing to 1.5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at 30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>S and 30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N and fixed at 1.5</w:t>
      </w:r>
      <w:r w:rsidR="00AE3EE4" w:rsidRPr="00AE3EE4">
        <w:rPr>
          <w:rFonts w:ascii="Arial" w:hAnsi="Arial" w:cs="Arial"/>
          <w:color w:val="000000"/>
          <w:sz w:val="22"/>
          <w:szCs w:val="22"/>
          <w:vertAlign w:val="superscript"/>
          <w:lang w:val="en-ZA"/>
        </w:rPr>
        <w:t>o</w:t>
      </w:r>
      <w:r w:rsidR="00AE3EE4" w:rsidRPr="00AE3EE4">
        <w:rPr>
          <w:rFonts w:ascii="Arial" w:hAnsi="Arial" w:cs="Arial"/>
          <w:color w:val="000000"/>
          <w:sz w:val="22"/>
          <w:szCs w:val="22"/>
          <w:lang w:val="en-ZA"/>
        </w:rPr>
        <w:t xml:space="preserve"> in the extratropics. In the vertical, the OGCM uses 25 layers with 17 layers in the upper levels between 7.5m and 450m.</w:t>
      </w:r>
      <w:r w:rsidR="00FF47B2">
        <w:rPr>
          <w:rFonts w:ascii="Arial" w:hAnsi="Arial" w:cs="Arial"/>
          <w:color w:val="000000"/>
          <w:sz w:val="22"/>
          <w:szCs w:val="22"/>
          <w:lang w:val="en-ZA"/>
        </w:rPr>
        <w:t xml:space="preserve"> </w:t>
      </w:r>
      <w:r w:rsidR="00C7679D">
        <w:rPr>
          <w:rFonts w:ascii="Arial" w:hAnsi="Arial" w:cs="Arial"/>
          <w:color w:val="000000"/>
          <w:sz w:val="22"/>
          <w:szCs w:val="22"/>
        </w:rPr>
        <w:t>T</w:t>
      </w:r>
      <w:r w:rsidR="00823CF9" w:rsidRPr="00823CF9">
        <w:rPr>
          <w:rFonts w:ascii="Arial" w:hAnsi="Arial" w:cs="Arial"/>
          <w:color w:val="000000"/>
          <w:sz w:val="22"/>
          <w:szCs w:val="22"/>
        </w:rPr>
        <w:t>he model is initialized with the NCEP</w:t>
      </w:r>
      <w:r w:rsidR="008C734D">
        <w:rPr>
          <w:rFonts w:ascii="Arial" w:hAnsi="Arial" w:cs="Arial"/>
          <w:color w:val="000000"/>
          <w:sz w:val="22"/>
          <w:szCs w:val="22"/>
        </w:rPr>
        <w:t>/DOE</w:t>
      </w:r>
      <w:r w:rsidR="00823CF9" w:rsidRPr="00823CF9">
        <w:rPr>
          <w:rFonts w:ascii="Arial" w:hAnsi="Arial" w:cs="Arial"/>
          <w:color w:val="000000"/>
          <w:sz w:val="22"/>
          <w:szCs w:val="22"/>
        </w:rPr>
        <w:t xml:space="preserve"> daily atmospheric initial states, </w:t>
      </w:r>
      <w:r w:rsidR="00D033CA">
        <w:rPr>
          <w:rFonts w:ascii="Arial" w:hAnsi="Arial" w:cs="Arial"/>
          <w:color w:val="000000"/>
          <w:sz w:val="22"/>
          <w:szCs w:val="22"/>
        </w:rPr>
        <w:t xml:space="preserve">suitably transformed and </w:t>
      </w:r>
      <w:r w:rsidR="00823CF9" w:rsidRPr="00823CF9">
        <w:rPr>
          <w:rFonts w:ascii="Arial" w:hAnsi="Arial" w:cs="Arial"/>
          <w:color w:val="000000"/>
          <w:sz w:val="22"/>
          <w:szCs w:val="22"/>
        </w:rPr>
        <w:t>interpolated into the AGCM’s vertical and horizontal resolution</w:t>
      </w:r>
      <w:r w:rsidR="00FF47B2">
        <w:rPr>
          <w:rFonts w:ascii="Arial" w:hAnsi="Arial" w:cs="Arial"/>
          <w:color w:val="000000"/>
          <w:sz w:val="22"/>
          <w:szCs w:val="22"/>
        </w:rPr>
        <w:t>.</w:t>
      </w:r>
      <w:r w:rsidR="008C734D">
        <w:rPr>
          <w:rFonts w:ascii="Arial" w:hAnsi="Arial" w:cs="Arial"/>
          <w:color w:val="000000"/>
          <w:sz w:val="22"/>
          <w:szCs w:val="22"/>
        </w:rPr>
        <w:t xml:space="preserve"> </w:t>
      </w:r>
      <w:r w:rsidR="00683DC1" w:rsidRPr="00683DC1">
        <w:rPr>
          <w:rFonts w:ascii="Arial" w:hAnsi="Arial" w:cs="Arial"/>
          <w:color w:val="000000"/>
          <w:sz w:val="22"/>
          <w:szCs w:val="22"/>
        </w:rPr>
        <w:t xml:space="preserve">The ocean initial </w:t>
      </w:r>
      <w:r w:rsidR="00FF47B2">
        <w:rPr>
          <w:rFonts w:ascii="Arial" w:hAnsi="Arial" w:cs="Arial"/>
          <w:color w:val="000000"/>
          <w:sz w:val="22"/>
          <w:szCs w:val="22"/>
        </w:rPr>
        <w:t>states</w:t>
      </w:r>
      <w:r w:rsidR="00683DC1" w:rsidRPr="00683DC1">
        <w:rPr>
          <w:rFonts w:ascii="Arial" w:hAnsi="Arial" w:cs="Arial"/>
          <w:color w:val="000000"/>
          <w:sz w:val="22"/>
          <w:szCs w:val="22"/>
        </w:rPr>
        <w:t xml:space="preserve"> are taken from ODA</w:t>
      </w:r>
      <w:r w:rsidR="00FF47B2">
        <w:rPr>
          <w:rFonts w:ascii="Arial" w:hAnsi="Arial" w:cs="Arial"/>
          <w:color w:val="000000"/>
          <w:sz w:val="22"/>
          <w:szCs w:val="22"/>
        </w:rPr>
        <w:t xml:space="preserve"> (Ocean Data Assimilation)</w:t>
      </w:r>
      <w:r w:rsidR="00683DC1" w:rsidRPr="00683DC1">
        <w:rPr>
          <w:rFonts w:ascii="Arial" w:hAnsi="Arial" w:cs="Arial"/>
          <w:color w:val="000000"/>
          <w:sz w:val="22"/>
          <w:szCs w:val="22"/>
        </w:rPr>
        <w:t xml:space="preserve"> system produced at the GFDL </w:t>
      </w:r>
      <w:r w:rsidR="00683DC1">
        <w:rPr>
          <w:rFonts w:ascii="Arial" w:hAnsi="Arial" w:cs="Arial"/>
          <w:color w:val="000000"/>
          <w:sz w:val="22"/>
          <w:szCs w:val="22"/>
        </w:rPr>
        <w:t>(</w:t>
      </w:r>
      <w:r w:rsidR="00683DC1" w:rsidRPr="00683DC1">
        <w:rPr>
          <w:rFonts w:ascii="Arial" w:hAnsi="Arial" w:cs="Arial"/>
          <w:color w:val="000000"/>
          <w:sz w:val="22"/>
          <w:szCs w:val="22"/>
        </w:rPr>
        <w:t>Geophysical Fluid Dynamics Laboratory</w:t>
      </w:r>
      <w:r w:rsidR="00683DC1">
        <w:rPr>
          <w:rFonts w:ascii="Arial" w:hAnsi="Arial" w:cs="Arial"/>
          <w:color w:val="000000"/>
          <w:sz w:val="22"/>
          <w:szCs w:val="22"/>
        </w:rPr>
        <w:t>)</w:t>
      </w:r>
      <w:r w:rsidR="00683DC1" w:rsidRPr="00683DC1">
        <w:rPr>
          <w:rFonts w:ascii="Arial" w:hAnsi="Arial" w:cs="Arial"/>
          <w:color w:val="000000"/>
          <w:sz w:val="22"/>
          <w:szCs w:val="22"/>
        </w:rPr>
        <w:t xml:space="preserve"> </w:t>
      </w:r>
      <w:r w:rsidR="00683DC1">
        <w:rPr>
          <w:rFonts w:ascii="Arial" w:hAnsi="Arial" w:cs="Arial"/>
          <w:color w:val="000000"/>
          <w:sz w:val="22"/>
          <w:szCs w:val="22"/>
        </w:rPr>
        <w:t xml:space="preserve">for the </w:t>
      </w:r>
      <w:proofErr w:type="spellStart"/>
      <w:r w:rsidR="00683DC1">
        <w:rPr>
          <w:rFonts w:ascii="Arial" w:hAnsi="Arial" w:cs="Arial"/>
          <w:color w:val="000000"/>
          <w:sz w:val="22"/>
          <w:szCs w:val="22"/>
        </w:rPr>
        <w:t>handca</w:t>
      </w:r>
      <w:r w:rsidR="00742DD9">
        <w:rPr>
          <w:rFonts w:ascii="Arial" w:hAnsi="Arial" w:cs="Arial"/>
          <w:color w:val="000000"/>
          <w:sz w:val="22"/>
          <w:szCs w:val="22"/>
        </w:rPr>
        <w:t>s</w:t>
      </w:r>
      <w:r w:rsidR="00683DC1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="00D033CA">
        <w:rPr>
          <w:rFonts w:ascii="Arial" w:hAnsi="Arial" w:cs="Arial"/>
          <w:color w:val="000000"/>
          <w:sz w:val="22"/>
          <w:szCs w:val="22"/>
        </w:rPr>
        <w:t xml:space="preserve"> integrations</w:t>
      </w:r>
      <w:r w:rsidR="00683DC1">
        <w:rPr>
          <w:rFonts w:ascii="Arial" w:hAnsi="Arial" w:cs="Arial"/>
          <w:color w:val="000000"/>
          <w:sz w:val="22"/>
          <w:szCs w:val="22"/>
        </w:rPr>
        <w:t>. However, the real-time forecast</w:t>
      </w:r>
      <w:r w:rsidR="00D033CA">
        <w:rPr>
          <w:rFonts w:ascii="Arial" w:hAnsi="Arial" w:cs="Arial"/>
          <w:color w:val="000000"/>
          <w:sz w:val="22"/>
          <w:szCs w:val="22"/>
        </w:rPr>
        <w:t>s</w:t>
      </w:r>
      <w:r w:rsidR="00683DC1">
        <w:rPr>
          <w:rFonts w:ascii="Arial" w:hAnsi="Arial" w:cs="Arial"/>
          <w:color w:val="000000"/>
          <w:sz w:val="22"/>
          <w:szCs w:val="22"/>
        </w:rPr>
        <w:t xml:space="preserve"> use the Global Ocean Data Assimilation System (GODAS) </w:t>
      </w:r>
      <w:r w:rsidR="00742DD9">
        <w:rPr>
          <w:rFonts w:ascii="Arial" w:hAnsi="Arial" w:cs="Arial"/>
          <w:color w:val="000000"/>
          <w:sz w:val="22"/>
          <w:szCs w:val="22"/>
        </w:rPr>
        <w:t xml:space="preserve">pentad ocean state </w:t>
      </w:r>
      <w:r w:rsidR="00683DC1">
        <w:rPr>
          <w:rFonts w:ascii="Arial" w:hAnsi="Arial" w:cs="Arial"/>
          <w:color w:val="000000"/>
          <w:sz w:val="22"/>
          <w:szCs w:val="22"/>
        </w:rPr>
        <w:t xml:space="preserve">anomalies added to the GFDS </w:t>
      </w:r>
      <w:r w:rsidR="00FF47B2">
        <w:rPr>
          <w:rFonts w:ascii="Arial" w:hAnsi="Arial" w:cs="Arial"/>
          <w:color w:val="000000"/>
          <w:sz w:val="22"/>
          <w:szCs w:val="22"/>
        </w:rPr>
        <w:t>ODA</w:t>
      </w:r>
      <w:r w:rsidR="00742DD9">
        <w:rPr>
          <w:rFonts w:ascii="Arial" w:hAnsi="Arial" w:cs="Arial"/>
          <w:color w:val="000000"/>
          <w:sz w:val="22"/>
          <w:szCs w:val="22"/>
        </w:rPr>
        <w:t xml:space="preserve"> </w:t>
      </w:r>
      <w:r w:rsidR="00683DC1">
        <w:rPr>
          <w:rFonts w:ascii="Arial" w:hAnsi="Arial" w:cs="Arial"/>
          <w:color w:val="000000"/>
          <w:sz w:val="22"/>
          <w:szCs w:val="22"/>
        </w:rPr>
        <w:t>climatology</w:t>
      </w:r>
      <w:r w:rsidR="00742DD9">
        <w:rPr>
          <w:rFonts w:ascii="Arial" w:hAnsi="Arial" w:cs="Arial"/>
          <w:color w:val="000000"/>
          <w:sz w:val="22"/>
          <w:szCs w:val="22"/>
        </w:rPr>
        <w:t xml:space="preserve"> to minimize the potential mismatch between the hindcast and forecasts.</w:t>
      </w:r>
      <w:r w:rsidR="00C7679D" w:rsidRPr="00C7679D">
        <w:rPr>
          <w:rFonts w:ascii="Arial" w:hAnsi="Arial" w:cs="Arial"/>
          <w:color w:val="000000"/>
          <w:sz w:val="22"/>
          <w:szCs w:val="22"/>
        </w:rPr>
        <w:t xml:space="preserve"> </w:t>
      </w:r>
      <w:r w:rsidR="00534727">
        <w:rPr>
          <w:rFonts w:ascii="Arial" w:hAnsi="Arial" w:cs="Arial"/>
          <w:color w:val="000000"/>
          <w:sz w:val="22"/>
          <w:szCs w:val="22"/>
        </w:rPr>
        <w:t>The hindcast (</w:t>
      </w:r>
      <w:r w:rsidR="00534727" w:rsidRPr="00B72B72">
        <w:rPr>
          <w:rFonts w:ascii="Arial" w:hAnsi="Arial" w:cs="Arial"/>
          <w:color w:val="000000"/>
          <w:sz w:val="22"/>
          <w:szCs w:val="22"/>
        </w:rPr>
        <w:t>1982</w:t>
      </w:r>
      <w:r w:rsidR="00534727">
        <w:rPr>
          <w:rFonts w:ascii="Arial" w:hAnsi="Arial" w:cs="Arial"/>
          <w:color w:val="000000"/>
          <w:sz w:val="22"/>
          <w:szCs w:val="22"/>
        </w:rPr>
        <w:t>-</w:t>
      </w:r>
      <w:r w:rsidR="00534727" w:rsidRPr="00B72B72">
        <w:rPr>
          <w:rFonts w:ascii="Arial" w:hAnsi="Arial" w:cs="Arial"/>
          <w:color w:val="000000"/>
          <w:sz w:val="22"/>
          <w:szCs w:val="22"/>
        </w:rPr>
        <w:t>2009</w:t>
      </w:r>
      <w:r w:rsidR="00534727">
        <w:rPr>
          <w:rFonts w:ascii="Arial" w:hAnsi="Arial" w:cs="Arial"/>
          <w:color w:val="000000"/>
          <w:sz w:val="22"/>
          <w:szCs w:val="22"/>
        </w:rPr>
        <w:t>) and real-time forecasts consist of 10 and 40 ensembles respectively</w:t>
      </w:r>
      <w:r w:rsidR="00C7679D" w:rsidRPr="00B72B72">
        <w:rPr>
          <w:rFonts w:ascii="Arial" w:hAnsi="Arial" w:cs="Arial"/>
          <w:color w:val="000000"/>
          <w:sz w:val="22"/>
          <w:szCs w:val="22"/>
        </w:rPr>
        <w:t>.</w:t>
      </w:r>
      <w:r w:rsidR="00534727">
        <w:rPr>
          <w:rFonts w:ascii="Arial" w:hAnsi="Arial" w:cs="Arial"/>
          <w:color w:val="000000"/>
          <w:sz w:val="22"/>
          <w:szCs w:val="22"/>
        </w:rPr>
        <w:t xml:space="preserve"> </w:t>
      </w:r>
      <w:r w:rsidR="00534727" w:rsidRPr="00534727">
        <w:rPr>
          <w:rFonts w:ascii="Arial" w:hAnsi="Arial" w:cs="Arial"/>
          <w:color w:val="000000"/>
          <w:sz w:val="22"/>
          <w:szCs w:val="22"/>
        </w:rPr>
        <w:t>Each forecast</w:t>
      </w:r>
      <w:r w:rsidR="00534727">
        <w:rPr>
          <w:rFonts w:ascii="Arial" w:hAnsi="Arial" w:cs="Arial"/>
          <w:color w:val="000000"/>
          <w:sz w:val="22"/>
          <w:szCs w:val="22"/>
        </w:rPr>
        <w:t xml:space="preserve"> integration</w:t>
      </w:r>
      <w:r w:rsidR="00534727" w:rsidRPr="00534727">
        <w:rPr>
          <w:rFonts w:ascii="Arial" w:hAnsi="Arial" w:cs="Arial"/>
          <w:color w:val="000000"/>
          <w:sz w:val="22"/>
          <w:szCs w:val="22"/>
        </w:rPr>
        <w:t xml:space="preserve"> is of 9 months length</w:t>
      </w:r>
      <w:r w:rsidR="00534727">
        <w:rPr>
          <w:rFonts w:ascii="Arial" w:hAnsi="Arial" w:cs="Arial"/>
          <w:color w:val="000000"/>
          <w:sz w:val="22"/>
          <w:szCs w:val="22"/>
        </w:rPr>
        <w:t>.</w:t>
      </w:r>
      <w:r w:rsidR="00FF47B2">
        <w:rPr>
          <w:rFonts w:ascii="Arial" w:hAnsi="Arial" w:cs="Arial"/>
          <w:color w:val="000000"/>
          <w:sz w:val="22"/>
          <w:szCs w:val="22"/>
        </w:rPr>
        <w:t xml:space="preserve"> This C</w:t>
      </w:r>
      <w:r w:rsidR="00FF47B2" w:rsidRPr="00FF47B2">
        <w:rPr>
          <w:rFonts w:ascii="Arial" w:hAnsi="Arial" w:cs="Arial"/>
          <w:color w:val="000000"/>
          <w:sz w:val="22"/>
          <w:szCs w:val="22"/>
        </w:rPr>
        <w:t>GCM has be</w:t>
      </w:r>
      <w:r w:rsidR="00FF47B2">
        <w:rPr>
          <w:rFonts w:ascii="Arial" w:hAnsi="Arial" w:cs="Arial"/>
          <w:color w:val="000000"/>
          <w:sz w:val="22"/>
          <w:szCs w:val="22"/>
        </w:rPr>
        <w:t>en used operationally since 2014.</w:t>
      </w:r>
    </w:p>
    <w:p w:rsidR="00E21399" w:rsidRDefault="00E21399" w:rsidP="00E21399">
      <w:pPr>
        <w:pStyle w:val="BodyText"/>
        <w:rPr>
          <w:rFonts w:cs="Arial"/>
        </w:rPr>
      </w:pPr>
      <w:r>
        <w:rPr>
          <w:rFonts w:cs="Arial"/>
        </w:rPr>
        <w:t>Forecasts are displayed in real-time at:</w:t>
      </w:r>
    </w:p>
    <w:p w:rsidR="00F44F78" w:rsidRPr="006F376D" w:rsidRDefault="000E101F" w:rsidP="00F44F78">
      <w:pPr>
        <w:jc w:val="both"/>
        <w:rPr>
          <w:lang w:val="en-US"/>
        </w:rPr>
      </w:pPr>
      <w:hyperlink r:id="rId8" w:history="1">
        <w:r w:rsidR="0041476B" w:rsidRPr="00F94ACD">
          <w:rPr>
            <w:rStyle w:val="Hyperlink"/>
            <w:lang w:val="en-US"/>
          </w:rPr>
          <w:t>http://www.weathersa.co.za/home/seasonal</w:t>
        </w:r>
      </w:hyperlink>
      <w:r w:rsidR="0041476B">
        <w:rPr>
          <w:lang w:val="en-US"/>
        </w:rPr>
        <w:t xml:space="preserve">  </w:t>
      </w:r>
    </w:p>
    <w:p w:rsidR="00BC33FE" w:rsidRPr="00BC33FE" w:rsidRDefault="00BC33FE" w:rsidP="00BC33FE">
      <w:pPr>
        <w:pStyle w:val="NormalWeb"/>
        <w:rPr>
          <w:rFonts w:ascii="Arial" w:hAnsi="Arial" w:cs="Arial"/>
          <w:sz w:val="22"/>
          <w:szCs w:val="22"/>
          <w:lang w:val="en-ZA"/>
        </w:rPr>
      </w:pPr>
      <w:r w:rsidRPr="00BC33FE">
        <w:rPr>
          <w:rFonts w:ascii="Arial" w:hAnsi="Arial" w:cs="Arial"/>
          <w:sz w:val="22"/>
          <w:szCs w:val="22"/>
          <w:lang w:val="en-ZA"/>
        </w:rPr>
        <w:t xml:space="preserve">Beraki A.F., W. Landman, and D. DeWitt, 2015: Comparison on the seasonal predictive skill of global circulation models: coupled versus uncoupled, </w:t>
      </w:r>
      <w:r w:rsidRPr="00BC33FE">
        <w:rPr>
          <w:rFonts w:ascii="Arial" w:hAnsi="Arial" w:cs="Arial"/>
          <w:i/>
          <w:sz w:val="22"/>
          <w:szCs w:val="22"/>
          <w:lang w:val="en-ZA"/>
        </w:rPr>
        <w:t xml:space="preserve">Journal of Geophysical Research Atmosphere, </w:t>
      </w:r>
      <w:r w:rsidRPr="00BC33FE">
        <w:rPr>
          <w:rFonts w:ascii="Arial" w:hAnsi="Arial" w:cs="Arial"/>
          <w:sz w:val="22"/>
          <w:szCs w:val="22"/>
          <w:lang w:val="en-ZA"/>
        </w:rPr>
        <w:t>120, doi:10.1002/2015JD023839</w:t>
      </w:r>
      <w:r w:rsidRPr="00BC33FE">
        <w:rPr>
          <w:rFonts w:ascii="Arial" w:hAnsi="Arial" w:cs="Arial"/>
          <w:i/>
          <w:sz w:val="22"/>
          <w:szCs w:val="22"/>
          <w:lang w:val="en-ZA"/>
        </w:rPr>
        <w:t>.</w:t>
      </w:r>
    </w:p>
    <w:p w:rsidR="00BC33FE" w:rsidRPr="00BC33FE" w:rsidRDefault="00BC33FE" w:rsidP="00BC33FE">
      <w:pPr>
        <w:pStyle w:val="NormalWeb"/>
        <w:rPr>
          <w:rFonts w:ascii="Arial" w:hAnsi="Arial" w:cs="Arial"/>
          <w:sz w:val="22"/>
          <w:szCs w:val="22"/>
          <w:lang w:val="en-ZA"/>
        </w:rPr>
      </w:pPr>
      <w:r w:rsidRPr="00BC33FE">
        <w:rPr>
          <w:rFonts w:ascii="Arial" w:hAnsi="Arial" w:cs="Arial"/>
          <w:sz w:val="22"/>
          <w:szCs w:val="22"/>
          <w:lang w:val="en-ZA"/>
        </w:rPr>
        <w:t xml:space="preserve">Beraki, A.F., D. G. DeWitt, W.A. Landman, and C. Olivier (2014) Dynamical seasonal climate prediction using an ocean-atmosphere coupled climate model developed in partnership between South Africa and the IRI, J. Climate, 27,1719-1741. </w:t>
      </w:r>
    </w:p>
    <w:p w:rsidR="00BC33FE" w:rsidRDefault="00BC33FE" w:rsidP="00BC33FE">
      <w:pPr>
        <w:pStyle w:val="NormalWeb"/>
        <w:rPr>
          <w:rFonts w:ascii="Arial" w:hAnsi="Arial" w:cs="Arial"/>
          <w:i/>
          <w:iCs/>
          <w:color w:val="000000"/>
          <w:sz w:val="22"/>
          <w:szCs w:val="22"/>
        </w:rPr>
      </w:pPr>
      <w:r w:rsidRPr="00BC33FE">
        <w:rPr>
          <w:rFonts w:ascii="Arial" w:hAnsi="Arial" w:cs="Arial"/>
          <w:sz w:val="22"/>
          <w:szCs w:val="22"/>
        </w:rPr>
        <w:t>Landman, W. and A. Beraki 2010</w:t>
      </w:r>
      <w:r w:rsidRPr="00BC33F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C33FE">
        <w:rPr>
          <w:rFonts w:ascii="Arial" w:hAnsi="Arial" w:cs="Arial"/>
          <w:bCs/>
          <w:color w:val="000000"/>
          <w:sz w:val="22"/>
          <w:szCs w:val="22"/>
        </w:rPr>
        <w:t>Multi-model forecast skill for mid-summer</w:t>
      </w:r>
      <w:r w:rsidRPr="00BC33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33FE">
        <w:rPr>
          <w:rFonts w:ascii="Arial" w:hAnsi="Arial" w:cs="Arial"/>
          <w:bCs/>
          <w:color w:val="000000"/>
          <w:sz w:val="22"/>
          <w:szCs w:val="22"/>
        </w:rPr>
        <w:t xml:space="preserve">rainfall over southern Africa, </w:t>
      </w:r>
      <w:r w:rsidRPr="00BC33FE">
        <w:rPr>
          <w:rFonts w:ascii="Arial" w:hAnsi="Arial" w:cs="Arial"/>
          <w:i/>
          <w:iCs/>
          <w:color w:val="000000"/>
          <w:sz w:val="22"/>
          <w:szCs w:val="22"/>
        </w:rPr>
        <w:t>International Journal of Climatology, Vol. 32,303-314</w:t>
      </w:r>
    </w:p>
    <w:p w:rsidR="00F44F78" w:rsidRPr="006F376D" w:rsidRDefault="00F44F78" w:rsidP="00F44F78">
      <w:pPr>
        <w:jc w:val="both"/>
        <w:rPr>
          <w:lang w:val="en-US"/>
        </w:rPr>
      </w:pPr>
      <w:r w:rsidRPr="006F376D">
        <w:rPr>
          <w:lang w:val="en-US"/>
        </w:rPr>
        <w:t>1.2</w:t>
      </w:r>
      <w:r w:rsidRPr="006F376D">
        <w:rPr>
          <w:lang w:val="en-US"/>
        </w:rPr>
        <w:tab/>
        <w:t>Content of basic forecast outputs</w:t>
      </w:r>
    </w:p>
    <w:p w:rsidR="00F44F78" w:rsidRPr="006F376D" w:rsidRDefault="00F44F78" w:rsidP="00F44F78">
      <w:pPr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6867"/>
      </w:tblGrid>
      <w:tr w:rsidR="00F44F78" w:rsidRPr="006F376D" w:rsidTr="00F13430">
        <w:tc>
          <w:tcPr>
            <w:tcW w:w="2988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Issue frequency</w:t>
            </w:r>
          </w:p>
        </w:tc>
        <w:tc>
          <w:tcPr>
            <w:tcW w:w="6867" w:type="dxa"/>
          </w:tcPr>
          <w:p w:rsidR="00F44F78" w:rsidRPr="006F376D" w:rsidRDefault="00F44F78" w:rsidP="00F13430">
            <w:pPr>
              <w:rPr>
                <w:i/>
                <w:lang w:val="en-US"/>
              </w:rPr>
            </w:pPr>
            <w:r w:rsidRPr="006F376D">
              <w:rPr>
                <w:i/>
                <w:lang w:val="en-US"/>
              </w:rPr>
              <w:t>Monthly</w:t>
            </w:r>
          </w:p>
        </w:tc>
      </w:tr>
      <w:tr w:rsidR="00F44F78" w:rsidRPr="000E101F" w:rsidTr="00F13430">
        <w:tc>
          <w:tcPr>
            <w:tcW w:w="2988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Temporal resolution</w:t>
            </w:r>
          </w:p>
        </w:tc>
        <w:tc>
          <w:tcPr>
            <w:tcW w:w="6867" w:type="dxa"/>
          </w:tcPr>
          <w:p w:rsidR="00F44F78" w:rsidRPr="00E21399" w:rsidRDefault="00E21399" w:rsidP="00E21399">
            <w:pPr>
              <w:rPr>
                <w:lang w:val="en-US"/>
              </w:rPr>
            </w:pPr>
            <w:r w:rsidRPr="00E21399">
              <w:rPr>
                <w:lang w:val="en-US"/>
              </w:rPr>
              <w:t xml:space="preserve">40 ensembles (as a function of 10 and 3 slightly different atmosphere and ocean states respectively) are updated every month. </w:t>
            </w:r>
          </w:p>
        </w:tc>
      </w:tr>
      <w:tr w:rsidR="00F44F78" w:rsidRPr="006F376D" w:rsidTr="00F13430">
        <w:tc>
          <w:tcPr>
            <w:tcW w:w="2988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Spatial resolution</w:t>
            </w:r>
          </w:p>
        </w:tc>
        <w:tc>
          <w:tcPr>
            <w:tcW w:w="6867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i/>
                <w:lang w:val="en-US"/>
              </w:rPr>
              <w:t>2.5</w:t>
            </w:r>
            <w:r w:rsidRPr="006F376D">
              <w:rPr>
                <w:rFonts w:cs="Arial"/>
                <w:i/>
                <w:lang w:val="en-US"/>
              </w:rPr>
              <w:t>°</w:t>
            </w:r>
            <w:r w:rsidRPr="006F376D">
              <w:rPr>
                <w:i/>
                <w:lang w:val="en-US"/>
              </w:rPr>
              <w:t>x2.5</w:t>
            </w:r>
            <w:r w:rsidRPr="006F376D">
              <w:rPr>
                <w:rFonts w:cs="Arial"/>
                <w:i/>
                <w:lang w:val="en-US"/>
              </w:rPr>
              <w:t>°</w:t>
            </w:r>
          </w:p>
        </w:tc>
      </w:tr>
      <w:tr w:rsidR="00F44F78" w:rsidRPr="006F376D" w:rsidTr="00F13430">
        <w:tc>
          <w:tcPr>
            <w:tcW w:w="2988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Spatial coverage:</w:t>
            </w:r>
            <w:r w:rsidRPr="006F376D">
              <w:rPr>
                <w:i/>
                <w:lang w:val="en-US"/>
              </w:rPr>
              <w:t xml:space="preserve"> </w:t>
            </w:r>
          </w:p>
        </w:tc>
        <w:tc>
          <w:tcPr>
            <w:tcW w:w="6867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i/>
                <w:lang w:val="en-US"/>
              </w:rPr>
              <w:t>Global</w:t>
            </w:r>
          </w:p>
        </w:tc>
      </w:tr>
      <w:tr w:rsidR="00F44F78" w:rsidRPr="000E101F" w:rsidTr="00F13430">
        <w:tc>
          <w:tcPr>
            <w:tcW w:w="2988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Lead time:</w:t>
            </w:r>
          </w:p>
        </w:tc>
        <w:tc>
          <w:tcPr>
            <w:tcW w:w="6867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i/>
                <w:lang w:val="en-US"/>
              </w:rPr>
              <w:t>1</w:t>
            </w:r>
            <w:r w:rsidR="00E21399" w:rsidRPr="000349AD">
              <w:rPr>
                <w:lang w:val="en-AU"/>
              </w:rPr>
              <w:t xml:space="preserve"> Forecasts are from 0 months to 9 month lead</w:t>
            </w:r>
          </w:p>
        </w:tc>
      </w:tr>
      <w:tr w:rsidR="00F44F78" w:rsidRPr="000E101F" w:rsidTr="00F13430">
        <w:tc>
          <w:tcPr>
            <w:tcW w:w="2988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 xml:space="preserve">Output types: </w:t>
            </w:r>
          </w:p>
        </w:tc>
        <w:tc>
          <w:tcPr>
            <w:tcW w:w="6867" w:type="dxa"/>
          </w:tcPr>
          <w:p w:rsidR="00F44F78" w:rsidRPr="00E21399" w:rsidRDefault="00F44F78" w:rsidP="00E21399">
            <w:pPr>
              <w:rPr>
                <w:lang w:val="en-US"/>
              </w:rPr>
            </w:pPr>
            <w:r w:rsidRPr="00E21399">
              <w:rPr>
                <w:lang w:val="en-US"/>
              </w:rPr>
              <w:t xml:space="preserve">Graphical </w:t>
            </w:r>
            <w:r w:rsidR="00E21399" w:rsidRPr="00E21399">
              <w:rPr>
                <w:lang w:val="en-US"/>
              </w:rPr>
              <w:t xml:space="preserve">products are partially available from the web site (web site under construction). </w:t>
            </w:r>
          </w:p>
        </w:tc>
      </w:tr>
      <w:tr w:rsidR="00F44F78" w:rsidRPr="000E101F" w:rsidTr="00CE6A45">
        <w:trPr>
          <w:trHeight w:val="782"/>
        </w:trPr>
        <w:tc>
          <w:tcPr>
            <w:tcW w:w="2988" w:type="dxa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Verification as per WMO SVSLRF</w:t>
            </w:r>
          </w:p>
        </w:tc>
        <w:tc>
          <w:tcPr>
            <w:tcW w:w="6867" w:type="dxa"/>
          </w:tcPr>
          <w:p w:rsidR="00F44F78" w:rsidRPr="00E21399" w:rsidRDefault="00F44F78" w:rsidP="00F13430">
            <w:pPr>
              <w:rPr>
                <w:lang w:val="en-US"/>
              </w:rPr>
            </w:pPr>
            <w:r w:rsidRPr="00E21399">
              <w:rPr>
                <w:lang w:val="en-US"/>
              </w:rPr>
              <w:t>Verification</w:t>
            </w:r>
            <w:r w:rsidR="00E21399" w:rsidRPr="00E21399">
              <w:rPr>
                <w:lang w:val="en-US"/>
              </w:rPr>
              <w:t xml:space="preserve"> information for the SCM is provided to the LC-SVLRF. </w:t>
            </w:r>
            <w:r w:rsidR="00E21399">
              <w:rPr>
                <w:lang w:val="en-US"/>
              </w:rPr>
              <w:t>The graphic will also be available in the SAWS web (</w:t>
            </w:r>
            <w:r w:rsidR="00E21399" w:rsidRPr="00E21399">
              <w:rPr>
                <w:lang w:val="en-US"/>
              </w:rPr>
              <w:t>web site under construction)</w:t>
            </w:r>
            <w:r w:rsidR="00E21399">
              <w:rPr>
                <w:lang w:val="en-US"/>
              </w:rPr>
              <w:t>.</w:t>
            </w:r>
          </w:p>
          <w:p w:rsidR="00F44F78" w:rsidRPr="006F376D" w:rsidRDefault="00F44F78" w:rsidP="00F13430">
            <w:pPr>
              <w:pStyle w:val="ListParagraph"/>
              <w:rPr>
                <w:i/>
                <w:lang w:val="en-US"/>
              </w:rPr>
            </w:pPr>
          </w:p>
        </w:tc>
      </w:tr>
    </w:tbl>
    <w:p w:rsidR="00F44F78" w:rsidRDefault="00F44F78" w:rsidP="00F44F78">
      <w:pPr>
        <w:jc w:val="both"/>
        <w:rPr>
          <w:lang w:val="en-US"/>
        </w:rPr>
      </w:pPr>
    </w:p>
    <w:p w:rsidR="00555088" w:rsidRDefault="00555088" w:rsidP="00F44F78">
      <w:pPr>
        <w:jc w:val="both"/>
        <w:rPr>
          <w:lang w:val="en-US"/>
        </w:rPr>
      </w:pPr>
    </w:p>
    <w:p w:rsidR="00555088" w:rsidRDefault="00555088" w:rsidP="00F44F78">
      <w:pPr>
        <w:jc w:val="both"/>
        <w:rPr>
          <w:lang w:val="en-US"/>
        </w:rPr>
      </w:pPr>
    </w:p>
    <w:p w:rsidR="00555088" w:rsidRDefault="00555088" w:rsidP="00F44F78">
      <w:pPr>
        <w:jc w:val="both"/>
        <w:rPr>
          <w:lang w:val="en-US"/>
        </w:rPr>
      </w:pPr>
    </w:p>
    <w:p w:rsidR="00555088" w:rsidRDefault="00555088" w:rsidP="00555088">
      <w:pPr>
        <w:jc w:val="both"/>
        <w:rPr>
          <w:i/>
          <w:lang w:val="en-US"/>
        </w:rPr>
      </w:pPr>
      <w:r w:rsidRPr="00B13845">
        <w:rPr>
          <w:b/>
          <w:lang w:val="en-US"/>
        </w:rPr>
        <w:t>2.</w:t>
      </w:r>
      <w:r w:rsidRPr="00B13845">
        <w:rPr>
          <w:b/>
          <w:lang w:val="en-US"/>
        </w:rPr>
        <w:tab/>
        <w:t xml:space="preserve">PRODUCTS </w:t>
      </w:r>
    </w:p>
    <w:p w:rsidR="00555088" w:rsidRPr="006F376D" w:rsidRDefault="00555088" w:rsidP="00F44F78">
      <w:pPr>
        <w:jc w:val="both"/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5"/>
        <w:gridCol w:w="1278"/>
        <w:gridCol w:w="2377"/>
        <w:gridCol w:w="2378"/>
        <w:gridCol w:w="2321"/>
      </w:tblGrid>
      <w:tr w:rsidR="00F44F78" w:rsidRPr="000E101F" w:rsidTr="008E05A8">
        <w:tc>
          <w:tcPr>
            <w:tcW w:w="2553" w:type="dxa"/>
            <w:gridSpan w:val="2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Variable:</w:t>
            </w:r>
          </w:p>
        </w:tc>
        <w:tc>
          <w:tcPr>
            <w:tcW w:w="2377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Probabilities for tercile categories of 2m temperature</w:t>
            </w:r>
          </w:p>
        </w:tc>
        <w:tc>
          <w:tcPr>
            <w:tcW w:w="2378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Probabilities for tercile categories of precipitation</w:t>
            </w:r>
          </w:p>
        </w:tc>
        <w:tc>
          <w:tcPr>
            <w:tcW w:w="2321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Probabilities for tercile categories of SST (coupled models only)</w:t>
            </w:r>
          </w:p>
        </w:tc>
      </w:tr>
      <w:tr w:rsidR="00F44F78" w:rsidRPr="006F376D" w:rsidTr="008E05A8">
        <w:tc>
          <w:tcPr>
            <w:tcW w:w="2553" w:type="dxa"/>
            <w:gridSpan w:val="2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Spatial resolution:</w:t>
            </w:r>
          </w:p>
        </w:tc>
        <w:tc>
          <w:tcPr>
            <w:tcW w:w="2377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2.5</w:t>
            </w:r>
            <w:r w:rsidRPr="006F376D">
              <w:rPr>
                <w:rFonts w:cs="Arial"/>
                <w:i/>
                <w:lang w:val="en-US"/>
              </w:rPr>
              <w:t>°</w:t>
            </w:r>
            <w:r w:rsidRPr="006F376D">
              <w:rPr>
                <w:i/>
                <w:lang w:val="en-US"/>
              </w:rPr>
              <w:t>x2.5</w:t>
            </w:r>
            <w:r w:rsidRPr="006F376D">
              <w:rPr>
                <w:rFonts w:cs="Arial"/>
                <w:i/>
                <w:lang w:val="en-US"/>
              </w:rPr>
              <w:t>°</w:t>
            </w:r>
          </w:p>
        </w:tc>
        <w:tc>
          <w:tcPr>
            <w:tcW w:w="2378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2.5</w:t>
            </w:r>
            <w:r w:rsidRPr="006F376D">
              <w:rPr>
                <w:rFonts w:cs="Arial"/>
                <w:i/>
                <w:lang w:val="en-US"/>
              </w:rPr>
              <w:t>°</w:t>
            </w:r>
            <w:r w:rsidRPr="006F376D">
              <w:rPr>
                <w:i/>
                <w:lang w:val="en-US"/>
              </w:rPr>
              <w:t>x2.5</w:t>
            </w:r>
            <w:r w:rsidRPr="006F376D">
              <w:rPr>
                <w:rFonts w:cs="Arial"/>
                <w:i/>
                <w:lang w:val="en-US"/>
              </w:rPr>
              <w:t>°</w:t>
            </w:r>
          </w:p>
        </w:tc>
        <w:tc>
          <w:tcPr>
            <w:tcW w:w="2321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</w:p>
        </w:tc>
      </w:tr>
      <w:tr w:rsidR="00F44F78" w:rsidRPr="006F376D" w:rsidTr="008E05A8">
        <w:tc>
          <w:tcPr>
            <w:tcW w:w="2553" w:type="dxa"/>
            <w:gridSpan w:val="2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Temporal Resolution:</w:t>
            </w:r>
          </w:p>
        </w:tc>
        <w:tc>
          <w:tcPr>
            <w:tcW w:w="2377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3 month seasons</w:t>
            </w:r>
          </w:p>
        </w:tc>
        <w:tc>
          <w:tcPr>
            <w:tcW w:w="2378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3 month seasons</w:t>
            </w:r>
          </w:p>
        </w:tc>
        <w:tc>
          <w:tcPr>
            <w:tcW w:w="2321" w:type="dxa"/>
            <w:vAlign w:val="center"/>
          </w:tcPr>
          <w:p w:rsidR="00F44F78" w:rsidRPr="006F376D" w:rsidRDefault="00555088" w:rsidP="005550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</w:tr>
      <w:tr w:rsidR="00F44F78" w:rsidRPr="006F376D" w:rsidTr="008E05A8">
        <w:tc>
          <w:tcPr>
            <w:tcW w:w="2553" w:type="dxa"/>
            <w:gridSpan w:val="2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Coverage:</w:t>
            </w:r>
          </w:p>
        </w:tc>
        <w:tc>
          <w:tcPr>
            <w:tcW w:w="2377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Global</w:t>
            </w:r>
          </w:p>
        </w:tc>
        <w:tc>
          <w:tcPr>
            <w:tcW w:w="2378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Global</w:t>
            </w:r>
          </w:p>
        </w:tc>
        <w:tc>
          <w:tcPr>
            <w:tcW w:w="2321" w:type="dxa"/>
            <w:vAlign w:val="center"/>
          </w:tcPr>
          <w:p w:rsidR="00F44F78" w:rsidRPr="006F376D" w:rsidRDefault="00555088" w:rsidP="0055508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F376D">
              <w:rPr>
                <w:i/>
                <w:lang w:val="en-US"/>
              </w:rPr>
              <w:t>Global</w:t>
            </w:r>
          </w:p>
        </w:tc>
      </w:tr>
      <w:tr w:rsidR="00F44F78" w:rsidRPr="006F376D" w:rsidTr="008E05A8">
        <w:tc>
          <w:tcPr>
            <w:tcW w:w="2553" w:type="dxa"/>
            <w:gridSpan w:val="2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Issue frequency:</w:t>
            </w:r>
          </w:p>
        </w:tc>
        <w:tc>
          <w:tcPr>
            <w:tcW w:w="2377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Monthly</w:t>
            </w:r>
          </w:p>
        </w:tc>
        <w:tc>
          <w:tcPr>
            <w:tcW w:w="2378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Monthly</w:t>
            </w:r>
          </w:p>
        </w:tc>
        <w:tc>
          <w:tcPr>
            <w:tcW w:w="2321" w:type="dxa"/>
            <w:vAlign w:val="center"/>
          </w:tcPr>
          <w:p w:rsidR="00F44F78" w:rsidRPr="006F376D" w:rsidRDefault="0055508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Monthly</w:t>
            </w:r>
          </w:p>
        </w:tc>
      </w:tr>
      <w:tr w:rsidR="00F44F78" w:rsidRPr="006F376D" w:rsidTr="008E05A8">
        <w:tc>
          <w:tcPr>
            <w:tcW w:w="1275" w:type="dxa"/>
            <w:vMerge w:val="restart"/>
            <w:textDirection w:val="btLr"/>
            <w:vAlign w:val="center"/>
          </w:tcPr>
          <w:p w:rsidR="00F44F78" w:rsidRPr="006F376D" w:rsidRDefault="00F44F78" w:rsidP="00F13430">
            <w:pPr>
              <w:ind w:left="113" w:right="113"/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Lead-time</w:t>
            </w:r>
          </w:p>
        </w:tc>
        <w:tc>
          <w:tcPr>
            <w:tcW w:w="1278" w:type="dxa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L0</w:t>
            </w:r>
          </w:p>
        </w:tc>
        <w:tc>
          <w:tcPr>
            <w:tcW w:w="2377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  <w:tc>
          <w:tcPr>
            <w:tcW w:w="2378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  <w:tc>
          <w:tcPr>
            <w:tcW w:w="2321" w:type="dxa"/>
            <w:vAlign w:val="center"/>
          </w:tcPr>
          <w:p w:rsidR="00F44F78" w:rsidRPr="006F376D" w:rsidRDefault="00555088" w:rsidP="00F13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555088" w:rsidRPr="006F376D" w:rsidTr="008E05A8">
        <w:tc>
          <w:tcPr>
            <w:tcW w:w="1275" w:type="dxa"/>
            <w:vMerge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lang w:val="en-US"/>
              </w:rPr>
              <w:t>L1</w:t>
            </w:r>
          </w:p>
        </w:tc>
        <w:tc>
          <w:tcPr>
            <w:tcW w:w="2377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78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21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555088" w:rsidRPr="006F376D" w:rsidTr="008E05A8">
        <w:tc>
          <w:tcPr>
            <w:tcW w:w="1275" w:type="dxa"/>
            <w:vMerge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lang w:val="en-US"/>
              </w:rPr>
              <w:t>L2</w:t>
            </w:r>
          </w:p>
        </w:tc>
        <w:tc>
          <w:tcPr>
            <w:tcW w:w="2377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78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21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555088" w:rsidRPr="006F376D" w:rsidTr="008E05A8">
        <w:tc>
          <w:tcPr>
            <w:tcW w:w="1275" w:type="dxa"/>
            <w:vMerge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lang w:val="en-US"/>
              </w:rPr>
              <w:t>L3</w:t>
            </w:r>
          </w:p>
        </w:tc>
        <w:tc>
          <w:tcPr>
            <w:tcW w:w="2377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78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21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555088" w:rsidRPr="006F376D" w:rsidTr="008E05A8">
        <w:tc>
          <w:tcPr>
            <w:tcW w:w="1275" w:type="dxa"/>
            <w:vMerge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lang w:val="en-US"/>
              </w:rPr>
              <w:t>L4</w:t>
            </w:r>
          </w:p>
        </w:tc>
        <w:tc>
          <w:tcPr>
            <w:tcW w:w="2377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  <w:tc>
          <w:tcPr>
            <w:tcW w:w="2378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  <w:tc>
          <w:tcPr>
            <w:tcW w:w="2321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</w:tr>
      <w:tr w:rsidR="00555088" w:rsidRPr="006F376D" w:rsidTr="008E05A8">
        <w:tc>
          <w:tcPr>
            <w:tcW w:w="1275" w:type="dxa"/>
            <w:vMerge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lang w:val="en-US"/>
              </w:rPr>
              <w:t>L4+</w:t>
            </w:r>
          </w:p>
        </w:tc>
        <w:tc>
          <w:tcPr>
            <w:tcW w:w="2377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  <w:tc>
          <w:tcPr>
            <w:tcW w:w="2378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  <w:tc>
          <w:tcPr>
            <w:tcW w:w="2321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N</w:t>
            </w:r>
          </w:p>
        </w:tc>
      </w:tr>
      <w:tr w:rsidR="00555088" w:rsidRPr="000E101F" w:rsidTr="008E05A8">
        <w:tc>
          <w:tcPr>
            <w:tcW w:w="2553" w:type="dxa"/>
            <w:gridSpan w:val="2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lang w:val="en-US"/>
              </w:rPr>
              <w:t>Location of rendered images:</w:t>
            </w:r>
          </w:p>
        </w:tc>
        <w:tc>
          <w:tcPr>
            <w:tcW w:w="7076" w:type="dxa"/>
            <w:gridSpan w:val="3"/>
            <w:vAlign w:val="center"/>
          </w:tcPr>
          <w:p w:rsidR="00555088" w:rsidRPr="006F376D" w:rsidRDefault="000E101F" w:rsidP="00555088">
            <w:pPr>
              <w:jc w:val="both"/>
              <w:rPr>
                <w:lang w:val="en-US"/>
              </w:rPr>
            </w:pPr>
            <w:hyperlink r:id="rId9" w:history="1">
              <w:r w:rsidR="00555088" w:rsidRPr="00F94ACD">
                <w:rPr>
                  <w:rStyle w:val="Hyperlink"/>
                  <w:lang w:val="en-US"/>
                </w:rPr>
                <w:t>http://www.weathersa.co.za/home/seasonal</w:t>
              </w:r>
            </w:hyperlink>
            <w:r w:rsidR="00555088">
              <w:rPr>
                <w:lang w:val="en-US"/>
              </w:rPr>
              <w:t xml:space="preserve">  </w:t>
            </w:r>
          </w:p>
          <w:p w:rsidR="00555088" w:rsidRPr="006F376D" w:rsidRDefault="00555088" w:rsidP="00555088">
            <w:pPr>
              <w:jc w:val="center"/>
              <w:rPr>
                <w:lang w:val="en-US"/>
              </w:rPr>
            </w:pPr>
          </w:p>
        </w:tc>
      </w:tr>
      <w:tr w:rsidR="00555088" w:rsidRPr="000E101F" w:rsidTr="000A7A5A">
        <w:tc>
          <w:tcPr>
            <w:tcW w:w="2553" w:type="dxa"/>
            <w:gridSpan w:val="2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lang w:val="en-US"/>
              </w:rPr>
              <w:t>Location of digital data (if available):</w:t>
            </w:r>
          </w:p>
        </w:tc>
        <w:tc>
          <w:tcPr>
            <w:tcW w:w="7076" w:type="dxa"/>
            <w:gridSpan w:val="3"/>
            <w:vAlign w:val="center"/>
          </w:tcPr>
          <w:p w:rsidR="00555088" w:rsidRPr="006F376D" w:rsidRDefault="000E101F" w:rsidP="00555088">
            <w:pPr>
              <w:rPr>
                <w:lang w:val="en-US"/>
              </w:rPr>
            </w:pPr>
            <w:hyperlink r:id="rId10" w:history="1">
              <w:r w:rsidR="00555088" w:rsidRPr="00F94ACD">
                <w:rPr>
                  <w:rStyle w:val="Hyperlink"/>
                  <w:lang w:val="en-US"/>
                </w:rPr>
                <w:t>ftp.weathersa.co.za</w:t>
              </w:r>
            </w:hyperlink>
            <w:r w:rsidR="00555088">
              <w:rPr>
                <w:lang w:val="en-US"/>
              </w:rPr>
              <w:t xml:space="preserve"> </w:t>
            </w:r>
            <w:r w:rsidR="00555088" w:rsidRPr="006F376D">
              <w:rPr>
                <w:lang w:val="en-US"/>
              </w:rPr>
              <w:t xml:space="preserve">(Access </w:t>
            </w:r>
            <w:r w:rsidR="00555088">
              <w:rPr>
                <w:lang w:val="en-US"/>
              </w:rPr>
              <w:t>on request</w:t>
            </w:r>
            <w:r w:rsidR="00555088" w:rsidRPr="006F376D">
              <w:rPr>
                <w:lang w:val="en-US"/>
              </w:rPr>
              <w:t>)</w:t>
            </w:r>
          </w:p>
        </w:tc>
      </w:tr>
      <w:tr w:rsidR="00555088" w:rsidRPr="000E101F" w:rsidTr="008E05A8">
        <w:tc>
          <w:tcPr>
            <w:tcW w:w="2553" w:type="dxa"/>
            <w:gridSpan w:val="2"/>
            <w:vAlign w:val="center"/>
          </w:tcPr>
          <w:p w:rsidR="00555088" w:rsidRPr="006F376D" w:rsidRDefault="00555088" w:rsidP="00555088">
            <w:pPr>
              <w:rPr>
                <w:lang w:val="en-US"/>
              </w:rPr>
            </w:pPr>
            <w:r w:rsidRPr="006F376D">
              <w:rPr>
                <w:i/>
                <w:lang w:val="en-US"/>
              </w:rPr>
              <w:t>[For non-compliant elements, please indicate intended date of compliance]</w:t>
            </w:r>
          </w:p>
        </w:tc>
        <w:tc>
          <w:tcPr>
            <w:tcW w:w="2377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</w:p>
        </w:tc>
        <w:tc>
          <w:tcPr>
            <w:tcW w:w="2378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</w:p>
        </w:tc>
        <w:tc>
          <w:tcPr>
            <w:tcW w:w="2321" w:type="dxa"/>
            <w:vAlign w:val="center"/>
          </w:tcPr>
          <w:p w:rsidR="00555088" w:rsidRPr="006F376D" w:rsidRDefault="00555088" w:rsidP="00555088">
            <w:pPr>
              <w:jc w:val="center"/>
              <w:rPr>
                <w:lang w:val="en-US"/>
              </w:rPr>
            </w:pPr>
          </w:p>
        </w:tc>
      </w:tr>
    </w:tbl>
    <w:p w:rsidR="00B13845" w:rsidRDefault="00B13845" w:rsidP="00B13845">
      <w:pPr>
        <w:jc w:val="both"/>
        <w:rPr>
          <w:lang w:val="en-US"/>
        </w:rPr>
      </w:pPr>
    </w:p>
    <w:p w:rsidR="00B13845" w:rsidRPr="00B13845" w:rsidRDefault="00B13845" w:rsidP="00B13845">
      <w:pPr>
        <w:jc w:val="both"/>
        <w:rPr>
          <w:b/>
          <w:lang w:val="en-US"/>
        </w:rPr>
      </w:pPr>
      <w:r w:rsidRPr="00B13845">
        <w:rPr>
          <w:b/>
          <w:lang w:val="en-US"/>
        </w:rPr>
        <w:t>3.</w:t>
      </w:r>
      <w:r w:rsidRPr="00B13845">
        <w:rPr>
          <w:b/>
          <w:lang w:val="en-US"/>
        </w:rPr>
        <w:tab/>
        <w:t>VERIFICATION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lang w:val="en-US"/>
        </w:rPr>
      </w:pPr>
      <w:r w:rsidRPr="006F376D">
        <w:rPr>
          <w:lang w:val="en-US"/>
        </w:rPr>
        <w:t>3.1</w:t>
      </w:r>
      <w:r w:rsidRPr="006F376D">
        <w:rPr>
          <w:lang w:val="en-US"/>
        </w:rPr>
        <w:tab/>
        <w:t>SVSLRF Level 1 scores</w:t>
      </w:r>
    </w:p>
    <w:p w:rsidR="00F44F78" w:rsidRPr="006F376D" w:rsidRDefault="00F44F78" w:rsidP="00F44F78">
      <w:pPr>
        <w:jc w:val="both"/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32"/>
        <w:gridCol w:w="1934"/>
        <w:gridCol w:w="1935"/>
        <w:gridCol w:w="1914"/>
        <w:gridCol w:w="1914"/>
      </w:tblGrid>
      <w:tr w:rsidR="00F44F78" w:rsidRPr="006F376D" w:rsidTr="008E05A8">
        <w:tc>
          <w:tcPr>
            <w:tcW w:w="1932" w:type="dxa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Variable:</w:t>
            </w:r>
          </w:p>
        </w:tc>
        <w:tc>
          <w:tcPr>
            <w:tcW w:w="1934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2m temperature</w:t>
            </w:r>
          </w:p>
        </w:tc>
        <w:tc>
          <w:tcPr>
            <w:tcW w:w="1935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Precipitation</w:t>
            </w:r>
          </w:p>
        </w:tc>
        <w:tc>
          <w:tcPr>
            <w:tcW w:w="1914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SST (coupled models only)</w:t>
            </w:r>
          </w:p>
        </w:tc>
        <w:tc>
          <w:tcPr>
            <w:tcW w:w="1914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Niño region indices</w:t>
            </w:r>
          </w:p>
        </w:tc>
      </w:tr>
      <w:tr w:rsidR="00F44F78" w:rsidRPr="006F376D" w:rsidTr="008E05A8">
        <w:tc>
          <w:tcPr>
            <w:tcW w:w="1932" w:type="dxa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Seasons:</w:t>
            </w:r>
          </w:p>
        </w:tc>
        <w:tc>
          <w:tcPr>
            <w:tcW w:w="1934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All 12</w:t>
            </w:r>
          </w:p>
        </w:tc>
        <w:tc>
          <w:tcPr>
            <w:tcW w:w="1935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All 12</w:t>
            </w:r>
          </w:p>
        </w:tc>
        <w:tc>
          <w:tcPr>
            <w:tcW w:w="1914" w:type="dxa"/>
            <w:vAlign w:val="center"/>
          </w:tcPr>
          <w:p w:rsidR="00F44F78" w:rsidRPr="006F376D" w:rsidRDefault="008E05A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All 12</w:t>
            </w:r>
          </w:p>
        </w:tc>
        <w:tc>
          <w:tcPr>
            <w:tcW w:w="1914" w:type="dxa"/>
            <w:vAlign w:val="center"/>
          </w:tcPr>
          <w:p w:rsidR="00F44F78" w:rsidRPr="006F376D" w:rsidRDefault="008E05A8" w:rsidP="00F13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Calendar month</w:t>
            </w:r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Leads: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ROC curves: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ROC area: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Reliability curve: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Frequency histograms (sharpness)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MSSS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Location of scores: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LC-SVSLRF </w:t>
            </w:r>
            <w:proofErr w:type="spellStart"/>
            <w:r>
              <w:rPr>
                <w:i/>
              </w:rPr>
              <w:t>website</w:t>
            </w:r>
            <w:proofErr w:type="spellEnd"/>
            <w:r>
              <w:t xml:space="preserve"> 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LC-SVSLRF </w:t>
            </w:r>
            <w:proofErr w:type="spellStart"/>
            <w:r>
              <w:rPr>
                <w:i/>
              </w:rPr>
              <w:t>website</w:t>
            </w:r>
            <w:proofErr w:type="spellEnd"/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LC-SVSLRF </w:t>
            </w:r>
            <w:proofErr w:type="spellStart"/>
            <w:r>
              <w:rPr>
                <w:i/>
              </w:rPr>
              <w:t>website</w:t>
            </w:r>
            <w:proofErr w:type="spellEnd"/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LC-SVSLRF </w:t>
            </w:r>
            <w:proofErr w:type="spellStart"/>
            <w:r>
              <w:rPr>
                <w:i/>
              </w:rPr>
              <w:t>website</w:t>
            </w:r>
            <w:proofErr w:type="spellEnd"/>
          </w:p>
        </w:tc>
      </w:tr>
      <w:tr w:rsidR="004B14DC" w:rsidRPr="006F376D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Scores’ availability on the LC-SVSLRF web site</w:t>
            </w:r>
          </w:p>
        </w:tc>
        <w:tc>
          <w:tcPr>
            <w:tcW w:w="193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93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14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4B14DC" w:rsidRPr="000E101F" w:rsidTr="008E05A8">
        <w:tc>
          <w:tcPr>
            <w:tcW w:w="1932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i/>
                <w:lang w:val="en-US"/>
              </w:rPr>
              <w:t>[For non-compliant elements, please indicate intended date of compliance]</w:t>
            </w:r>
          </w:p>
        </w:tc>
        <w:tc>
          <w:tcPr>
            <w:tcW w:w="7697" w:type="dxa"/>
            <w:gridSpan w:val="4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Verification score are provided to LC-SVSLRF; Future progress is contingent on the outcome related to ongoing discussions by TT2</w:t>
            </w:r>
          </w:p>
        </w:tc>
      </w:tr>
    </w:tbl>
    <w:p w:rsidR="00F44F78" w:rsidRDefault="00F44F78" w:rsidP="00F44F78">
      <w:pPr>
        <w:jc w:val="both"/>
        <w:rPr>
          <w:lang w:val="en-US"/>
        </w:rPr>
      </w:pPr>
    </w:p>
    <w:p w:rsidR="00BC33FE" w:rsidRPr="006F376D" w:rsidRDefault="00BC33FE" w:rsidP="00F44F78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lang w:val="en-US"/>
        </w:rPr>
      </w:pPr>
      <w:r w:rsidRPr="006F376D">
        <w:rPr>
          <w:lang w:val="en-US"/>
        </w:rPr>
        <w:t>3.2</w:t>
      </w:r>
      <w:r w:rsidRPr="006F376D">
        <w:rPr>
          <w:lang w:val="en-US"/>
        </w:rPr>
        <w:tab/>
        <w:t>SVSLRF Level 2 scores</w:t>
      </w:r>
    </w:p>
    <w:p w:rsidR="00F44F78" w:rsidRPr="006F376D" w:rsidRDefault="00F44F78" w:rsidP="00F44F78">
      <w:pPr>
        <w:jc w:val="both"/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9"/>
        <w:gridCol w:w="2412"/>
        <w:gridCol w:w="2413"/>
        <w:gridCol w:w="2395"/>
      </w:tblGrid>
      <w:tr w:rsidR="00F44F78" w:rsidRPr="006F376D" w:rsidTr="004B14DC">
        <w:tc>
          <w:tcPr>
            <w:tcW w:w="2409" w:type="dxa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lastRenderedPageBreak/>
              <w:t>Variable:</w:t>
            </w:r>
          </w:p>
        </w:tc>
        <w:tc>
          <w:tcPr>
            <w:tcW w:w="2412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2m temperature</w:t>
            </w:r>
          </w:p>
        </w:tc>
        <w:tc>
          <w:tcPr>
            <w:tcW w:w="2413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Precipitation</w:t>
            </w:r>
          </w:p>
        </w:tc>
        <w:tc>
          <w:tcPr>
            <w:tcW w:w="2395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lang w:val="en-US"/>
              </w:rPr>
              <w:t>SST (coupled models only)</w:t>
            </w:r>
          </w:p>
        </w:tc>
      </w:tr>
      <w:tr w:rsidR="00F44F78" w:rsidRPr="006F376D" w:rsidTr="004B14DC">
        <w:tc>
          <w:tcPr>
            <w:tcW w:w="2409" w:type="dxa"/>
            <w:vAlign w:val="center"/>
          </w:tcPr>
          <w:p w:rsidR="00F44F78" w:rsidRPr="006F376D" w:rsidRDefault="00F44F78" w:rsidP="00F13430">
            <w:pPr>
              <w:rPr>
                <w:lang w:val="en-US"/>
              </w:rPr>
            </w:pPr>
            <w:r w:rsidRPr="006F376D">
              <w:rPr>
                <w:lang w:val="en-US"/>
              </w:rPr>
              <w:t>Seasons:</w:t>
            </w:r>
          </w:p>
        </w:tc>
        <w:tc>
          <w:tcPr>
            <w:tcW w:w="2412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All 12</w:t>
            </w:r>
          </w:p>
        </w:tc>
        <w:tc>
          <w:tcPr>
            <w:tcW w:w="2413" w:type="dxa"/>
            <w:vAlign w:val="center"/>
          </w:tcPr>
          <w:p w:rsidR="00F44F78" w:rsidRPr="006F376D" w:rsidRDefault="00F44F78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All 12</w:t>
            </w:r>
          </w:p>
        </w:tc>
        <w:tc>
          <w:tcPr>
            <w:tcW w:w="2395" w:type="dxa"/>
            <w:vAlign w:val="center"/>
          </w:tcPr>
          <w:p w:rsidR="00F44F78" w:rsidRPr="006F376D" w:rsidRDefault="004B14DC" w:rsidP="00F13430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All 12</w:t>
            </w:r>
          </w:p>
        </w:tc>
      </w:tr>
      <w:tr w:rsidR="004B14DC" w:rsidRPr="006F376D" w:rsidTr="004B14DC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Leads:</w:t>
            </w:r>
          </w:p>
        </w:tc>
        <w:tc>
          <w:tcPr>
            <w:tcW w:w="2412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1,2,3</w:t>
            </w:r>
          </w:p>
        </w:tc>
        <w:tc>
          <w:tcPr>
            <w:tcW w:w="2413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1,2,3</w:t>
            </w:r>
          </w:p>
        </w:tc>
        <w:tc>
          <w:tcPr>
            <w:tcW w:w="239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1,2,3</w:t>
            </w:r>
          </w:p>
        </w:tc>
      </w:tr>
      <w:tr w:rsidR="004B14DC" w:rsidRPr="006F376D" w:rsidTr="004B14DC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ROC maps:</w:t>
            </w:r>
          </w:p>
        </w:tc>
        <w:tc>
          <w:tcPr>
            <w:tcW w:w="2412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413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9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4B14DC" w:rsidRPr="006F376D" w:rsidTr="004B14DC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MSSS maps:</w:t>
            </w:r>
          </w:p>
        </w:tc>
        <w:tc>
          <w:tcPr>
            <w:tcW w:w="2412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413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9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4B14DC" w:rsidRPr="006F376D" w:rsidTr="004B14DC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MSSS 1 maps:</w:t>
            </w:r>
          </w:p>
        </w:tc>
        <w:tc>
          <w:tcPr>
            <w:tcW w:w="2412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413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9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4B14DC" w:rsidRPr="006F376D" w:rsidTr="004B14DC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MSSS 2 maps:</w:t>
            </w:r>
          </w:p>
        </w:tc>
        <w:tc>
          <w:tcPr>
            <w:tcW w:w="2412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413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9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4B14DC" w:rsidRPr="006F376D" w:rsidTr="004B14DC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MSSS 3 maps:</w:t>
            </w:r>
          </w:p>
        </w:tc>
        <w:tc>
          <w:tcPr>
            <w:tcW w:w="2412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413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  <w:tc>
          <w:tcPr>
            <w:tcW w:w="2395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 w:rsidRPr="006F376D">
              <w:rPr>
                <w:i/>
                <w:lang w:val="en-US"/>
              </w:rPr>
              <w:t>Y</w:t>
            </w:r>
          </w:p>
        </w:tc>
      </w:tr>
      <w:tr w:rsidR="004B14DC" w:rsidRPr="006F376D" w:rsidTr="004B14DC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lang w:val="en-US"/>
              </w:rPr>
              <w:t>Location:</w:t>
            </w:r>
          </w:p>
        </w:tc>
        <w:tc>
          <w:tcPr>
            <w:tcW w:w="2412" w:type="dxa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LC-SVSLRF </w:t>
            </w:r>
            <w:proofErr w:type="spellStart"/>
            <w:r>
              <w:rPr>
                <w:i/>
              </w:rPr>
              <w:t>website</w:t>
            </w:r>
            <w:proofErr w:type="spellEnd"/>
          </w:p>
        </w:tc>
        <w:tc>
          <w:tcPr>
            <w:tcW w:w="2413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>
              <w:rPr>
                <w:i/>
              </w:rPr>
              <w:t xml:space="preserve">LC-SVSLRF </w:t>
            </w:r>
            <w:proofErr w:type="spellStart"/>
            <w:r>
              <w:rPr>
                <w:i/>
              </w:rPr>
              <w:t>website</w:t>
            </w:r>
            <w:proofErr w:type="spellEnd"/>
          </w:p>
        </w:tc>
        <w:tc>
          <w:tcPr>
            <w:tcW w:w="2395" w:type="dxa"/>
            <w:vAlign w:val="center"/>
          </w:tcPr>
          <w:p w:rsidR="004B14DC" w:rsidRPr="004B14DC" w:rsidRDefault="004B14DC" w:rsidP="004B14DC">
            <w:pPr>
              <w:jc w:val="center"/>
              <w:rPr>
                <w:b/>
                <w:lang w:val="en-US"/>
              </w:rPr>
            </w:pPr>
            <w:r>
              <w:rPr>
                <w:i/>
              </w:rPr>
              <w:t xml:space="preserve">LC-SVSLRF </w:t>
            </w:r>
            <w:proofErr w:type="spellStart"/>
            <w:r>
              <w:rPr>
                <w:i/>
              </w:rPr>
              <w:t>website</w:t>
            </w:r>
            <w:proofErr w:type="spellEnd"/>
          </w:p>
        </w:tc>
      </w:tr>
      <w:tr w:rsidR="004B14DC" w:rsidRPr="000E101F" w:rsidTr="00600672">
        <w:tc>
          <w:tcPr>
            <w:tcW w:w="2409" w:type="dxa"/>
            <w:vAlign w:val="center"/>
          </w:tcPr>
          <w:p w:rsidR="004B14DC" w:rsidRPr="006F376D" w:rsidRDefault="004B14DC" w:rsidP="004B14DC">
            <w:pPr>
              <w:rPr>
                <w:lang w:val="en-US"/>
              </w:rPr>
            </w:pPr>
            <w:r w:rsidRPr="006F376D">
              <w:rPr>
                <w:i/>
                <w:lang w:val="en-US"/>
              </w:rPr>
              <w:t>[For non-compliant elements, please indicate intended date of compliance]</w:t>
            </w:r>
          </w:p>
        </w:tc>
        <w:tc>
          <w:tcPr>
            <w:tcW w:w="7220" w:type="dxa"/>
            <w:gridSpan w:val="3"/>
            <w:vAlign w:val="center"/>
          </w:tcPr>
          <w:p w:rsidR="004B14DC" w:rsidRPr="006F376D" w:rsidRDefault="004B14DC" w:rsidP="004B14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Verification score are provided to LC-SVSLRF; Future progress is contingent on the outcome related to ongoing discussions by TT2</w:t>
            </w:r>
          </w:p>
        </w:tc>
      </w:tr>
    </w:tbl>
    <w:p w:rsidR="009132B6" w:rsidRDefault="009132B6" w:rsidP="00B13845">
      <w:pPr>
        <w:jc w:val="both"/>
        <w:rPr>
          <w:lang w:val="en-US"/>
        </w:rPr>
      </w:pPr>
    </w:p>
    <w:p w:rsidR="009132B6" w:rsidRPr="00B13845" w:rsidRDefault="009132B6" w:rsidP="00B13845">
      <w:pPr>
        <w:jc w:val="both"/>
        <w:rPr>
          <w:lang w:val="en-US"/>
        </w:rPr>
      </w:pPr>
    </w:p>
    <w:p w:rsidR="00B13845" w:rsidRPr="00B13845" w:rsidRDefault="00B13845" w:rsidP="00B13845">
      <w:pPr>
        <w:jc w:val="both"/>
        <w:rPr>
          <w:b/>
          <w:lang w:val="en-US"/>
        </w:rPr>
      </w:pPr>
      <w:r w:rsidRPr="00B13845">
        <w:rPr>
          <w:b/>
          <w:lang w:val="en-US"/>
        </w:rPr>
        <w:t>4.</w:t>
      </w:r>
      <w:r w:rsidRPr="00B13845">
        <w:rPr>
          <w:b/>
          <w:lang w:val="en-US"/>
        </w:rPr>
        <w:tab/>
        <w:t xml:space="preserve">DISSEMINATION 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rFonts w:cs="Arial"/>
          <w:color w:val="000000"/>
          <w:lang w:val="en-US"/>
        </w:rPr>
      </w:pPr>
      <w:r w:rsidRPr="006F376D">
        <w:rPr>
          <w:lang w:val="en-US"/>
        </w:rPr>
        <w:t xml:space="preserve">Graphical </w:t>
      </w:r>
      <w:r w:rsidR="006F42DC">
        <w:rPr>
          <w:lang w:val="en-US"/>
        </w:rPr>
        <w:t>–</w:t>
      </w:r>
      <w:r w:rsidRPr="006F376D">
        <w:rPr>
          <w:lang w:val="en-US"/>
        </w:rPr>
        <w:t xml:space="preserve"> </w:t>
      </w:r>
      <w:r w:rsidR="006F42DC">
        <w:rPr>
          <w:lang w:val="en-US"/>
        </w:rPr>
        <w:t>All products</w:t>
      </w:r>
      <w:r w:rsidRPr="006F376D">
        <w:rPr>
          <w:rFonts w:cs="Arial"/>
          <w:color w:val="000000"/>
          <w:lang w:val="en-US"/>
        </w:rPr>
        <w:t xml:space="preserve"> freely available</w:t>
      </w:r>
    </w:p>
    <w:p w:rsidR="00F44F78" w:rsidRPr="006F376D" w:rsidRDefault="00F44F78" w:rsidP="00F44F78">
      <w:pPr>
        <w:rPr>
          <w:lang w:val="en-US"/>
        </w:rPr>
      </w:pPr>
      <w:r w:rsidRPr="006F376D">
        <w:rPr>
          <w:rFonts w:cs="Arial"/>
          <w:color w:val="000000"/>
          <w:lang w:val="en-US"/>
        </w:rPr>
        <w:t xml:space="preserve">Digital - </w:t>
      </w:r>
      <w:r w:rsidRPr="006F376D">
        <w:rPr>
          <w:lang w:val="en-US"/>
        </w:rPr>
        <w:t xml:space="preserve">ftp.weathersa.co.za, </w:t>
      </w:r>
      <w:r w:rsidR="004B14DC">
        <w:rPr>
          <w:lang w:val="en-US"/>
        </w:rPr>
        <w:t>(</w:t>
      </w:r>
      <w:r w:rsidRPr="006F376D">
        <w:rPr>
          <w:lang w:val="en-US"/>
        </w:rPr>
        <w:t>restricted access</w:t>
      </w:r>
      <w:r w:rsidR="004B14DC">
        <w:rPr>
          <w:lang w:val="en-US"/>
        </w:rPr>
        <w:t>; also available via LC-LRFMME)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B13845" w:rsidRPr="00B13845" w:rsidRDefault="00A33C32" w:rsidP="00B13845">
      <w:pPr>
        <w:jc w:val="both"/>
        <w:rPr>
          <w:b/>
          <w:lang w:val="en-US"/>
        </w:rPr>
      </w:pPr>
      <w:r>
        <w:rPr>
          <w:b/>
          <w:lang w:val="en-US"/>
        </w:rPr>
        <w:t>5.</w:t>
      </w:r>
      <w:r>
        <w:rPr>
          <w:b/>
          <w:lang w:val="en-US"/>
        </w:rPr>
        <w:tab/>
        <w:t>LRF MULTI-MODEL ENSEMBLE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B13845" w:rsidRPr="00B13845" w:rsidRDefault="00035381" w:rsidP="00B13845">
      <w:pPr>
        <w:jc w:val="both"/>
        <w:rPr>
          <w:lang w:val="en-US"/>
        </w:rPr>
      </w:pPr>
      <w:r>
        <w:rPr>
          <w:lang w:val="en-US"/>
        </w:rPr>
        <w:t xml:space="preserve">GPC Pretrial </w:t>
      </w:r>
      <w:r w:rsidR="00BC33FE">
        <w:rPr>
          <w:lang w:val="en-US"/>
        </w:rPr>
        <w:t xml:space="preserve">uses </w:t>
      </w:r>
      <w:r w:rsidR="008A5C16">
        <w:rPr>
          <w:lang w:val="en-US"/>
        </w:rPr>
        <w:t xml:space="preserve">inputs from set of global models to produce a regional (southern Africa region) for rainfall and temperature seasonal outlook. </w:t>
      </w:r>
      <w:r w:rsidR="008A5C16" w:rsidRPr="00035381">
        <w:rPr>
          <w:lang w:val="en-US"/>
        </w:rPr>
        <w:t>(Landman and Beraki, 2012)</w:t>
      </w:r>
      <w:r w:rsidR="008A5C16">
        <w:rPr>
          <w:lang w:val="en-US"/>
        </w:rPr>
        <w:t>. This product is also available on the SAWS website.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B13845" w:rsidRPr="00B13845" w:rsidRDefault="00B13845" w:rsidP="00B13845">
      <w:pPr>
        <w:jc w:val="both"/>
        <w:rPr>
          <w:b/>
          <w:lang w:val="en-US"/>
        </w:rPr>
      </w:pPr>
      <w:r w:rsidRPr="00B13845">
        <w:rPr>
          <w:b/>
          <w:lang w:val="en-US"/>
        </w:rPr>
        <w:t>6.</w:t>
      </w:r>
      <w:r w:rsidRPr="00B13845">
        <w:rPr>
          <w:b/>
          <w:lang w:val="en-US"/>
        </w:rPr>
        <w:tab/>
        <w:t>ADDITIONAL INFORMATION PROVIDED BY THE GPC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B13845" w:rsidRDefault="00555088" w:rsidP="00B13845">
      <w:pPr>
        <w:jc w:val="both"/>
        <w:rPr>
          <w:i/>
          <w:lang w:val="en-US"/>
        </w:rPr>
      </w:pPr>
      <w:r>
        <w:rPr>
          <w:lang w:val="en-US"/>
        </w:rPr>
        <w:t>GPC Pretoria is in the process of implementing</w:t>
      </w:r>
      <w:r w:rsidR="008A5C16">
        <w:rPr>
          <w:lang w:val="en-US"/>
        </w:rPr>
        <w:t xml:space="preserve"> </w:t>
      </w:r>
      <w:r>
        <w:rPr>
          <w:lang w:val="en-US"/>
        </w:rPr>
        <w:t>a</w:t>
      </w:r>
      <w:r w:rsidR="008A5C16" w:rsidRPr="00F86FAA">
        <w:rPr>
          <w:lang w:val="en-US"/>
        </w:rPr>
        <w:t xml:space="preserve"> sub-seasonal (Extended range) </w:t>
      </w:r>
      <w:r>
        <w:rPr>
          <w:lang w:val="en-US"/>
        </w:rPr>
        <w:t>forecasting system.</w:t>
      </w:r>
      <w:r w:rsidR="008A5C16">
        <w:rPr>
          <w:lang w:val="en-US"/>
        </w:rPr>
        <w:t xml:space="preserve"> The hindcast </w:t>
      </w:r>
      <w:r>
        <w:rPr>
          <w:lang w:val="en-US"/>
        </w:rPr>
        <w:t xml:space="preserve">(2000 – 2013) </w:t>
      </w:r>
      <w:r w:rsidR="00E26E9F">
        <w:rPr>
          <w:lang w:val="en-US"/>
        </w:rPr>
        <w:t>is</w:t>
      </w:r>
      <w:r w:rsidR="008A5C16">
        <w:rPr>
          <w:lang w:val="en-US"/>
        </w:rPr>
        <w:t xml:space="preserve"> </w:t>
      </w:r>
      <w:r w:rsidR="00E26E9F">
        <w:rPr>
          <w:lang w:val="en-US"/>
        </w:rPr>
        <w:t xml:space="preserve">based on </w:t>
      </w:r>
      <w:r w:rsidR="008A5C16">
        <w:rPr>
          <w:lang w:val="en-US"/>
        </w:rPr>
        <w:t>24 ensembles.</w:t>
      </w:r>
      <w:r w:rsidR="00E26E9F">
        <w:rPr>
          <w:lang w:val="en-US"/>
        </w:rPr>
        <w:t xml:space="preserve"> The forecast is updated weekly.</w:t>
      </w:r>
      <w:r w:rsidR="008A5C16">
        <w:rPr>
          <w:lang w:val="en-US"/>
        </w:rPr>
        <w:t xml:space="preserve">  </w:t>
      </w:r>
    </w:p>
    <w:p w:rsidR="00F44F78" w:rsidRDefault="00F44F78" w:rsidP="00B13845">
      <w:pPr>
        <w:jc w:val="both"/>
        <w:rPr>
          <w:i/>
          <w:lang w:val="en-US"/>
        </w:rPr>
      </w:pPr>
    </w:p>
    <w:p w:rsidR="00B13845" w:rsidRPr="000E101F" w:rsidRDefault="00B13845" w:rsidP="00B13845">
      <w:pPr>
        <w:jc w:val="both"/>
        <w:rPr>
          <w:b/>
          <w:lang w:val="en-US"/>
        </w:rPr>
      </w:pPr>
      <w:r w:rsidRPr="000E101F">
        <w:rPr>
          <w:b/>
          <w:lang w:val="en-US"/>
        </w:rPr>
        <w:t>7.</w:t>
      </w:r>
      <w:r w:rsidRPr="000E101F">
        <w:rPr>
          <w:b/>
          <w:lang w:val="en-US"/>
        </w:rPr>
        <w:tab/>
        <w:t xml:space="preserve">CAPACITY BUILDING AND TRAINING </w:t>
      </w:r>
    </w:p>
    <w:p w:rsidR="00B13845" w:rsidRPr="000E101F" w:rsidRDefault="00B13845" w:rsidP="00B13845">
      <w:pPr>
        <w:jc w:val="both"/>
        <w:rPr>
          <w:lang w:val="en-US"/>
        </w:rPr>
      </w:pPr>
    </w:p>
    <w:p w:rsidR="00B13845" w:rsidRPr="00F44F78" w:rsidRDefault="00F44F78" w:rsidP="00B13845">
      <w:pPr>
        <w:jc w:val="both"/>
        <w:rPr>
          <w:lang w:val="en-US"/>
        </w:rPr>
      </w:pPr>
      <w:r w:rsidRPr="006F376D">
        <w:rPr>
          <w:lang w:val="en-US"/>
        </w:rPr>
        <w:t>Interpretation and use of products (on a request basis)</w:t>
      </w:r>
      <w:r w:rsidR="00B13845" w:rsidRPr="00B13845">
        <w:rPr>
          <w:i/>
          <w:lang w:val="en-US"/>
        </w:rPr>
        <w:t>.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b/>
          <w:lang w:val="en-US"/>
        </w:rPr>
      </w:pPr>
      <w:r w:rsidRPr="006F376D">
        <w:rPr>
          <w:b/>
          <w:lang w:val="en-US"/>
        </w:rPr>
        <w:t>8.</w:t>
      </w:r>
      <w:r w:rsidRPr="006F376D">
        <w:rPr>
          <w:b/>
          <w:lang w:val="en-US"/>
        </w:rPr>
        <w:tab/>
        <w:t>SPECIFIC NEEDS</w:t>
      </w:r>
    </w:p>
    <w:p w:rsidR="00F44F78" w:rsidRPr="006F376D" w:rsidRDefault="00F44F78" w:rsidP="00F44F78">
      <w:pPr>
        <w:jc w:val="both"/>
        <w:rPr>
          <w:lang w:val="en-US"/>
        </w:rPr>
      </w:pPr>
    </w:p>
    <w:p w:rsidR="00F44F78" w:rsidRPr="006F376D" w:rsidRDefault="006F42DC" w:rsidP="00F44F78">
      <w:pPr>
        <w:jc w:val="both"/>
        <w:rPr>
          <w:lang w:val="en-US"/>
        </w:rPr>
      </w:pPr>
      <w:r>
        <w:rPr>
          <w:lang w:val="en-US"/>
        </w:rPr>
        <w:t>V</w:t>
      </w:r>
      <w:r w:rsidR="00035381">
        <w:rPr>
          <w:lang w:val="en-US"/>
        </w:rPr>
        <w:t xml:space="preserve">erification Scores </w:t>
      </w:r>
      <w:r>
        <w:rPr>
          <w:lang w:val="en-US"/>
        </w:rPr>
        <w:t xml:space="preserve">summited to </w:t>
      </w:r>
      <w:r w:rsidR="00035381">
        <w:rPr>
          <w:lang w:val="en-US"/>
        </w:rPr>
        <w:t>LC-</w:t>
      </w:r>
      <w:r>
        <w:rPr>
          <w:lang w:val="en-US"/>
        </w:rPr>
        <w:t>LRF</w:t>
      </w:r>
      <w:r w:rsidR="00035381">
        <w:rPr>
          <w:lang w:val="en-US"/>
        </w:rPr>
        <w:t xml:space="preserve">SVS </w:t>
      </w:r>
      <w:r>
        <w:rPr>
          <w:lang w:val="en-US"/>
        </w:rPr>
        <w:t xml:space="preserve">need to be displayed on the LC-LRFSVS </w:t>
      </w:r>
      <w:r w:rsidR="003A27B4">
        <w:rPr>
          <w:lang w:val="en-US"/>
        </w:rPr>
        <w:t xml:space="preserve">depending on </w:t>
      </w:r>
      <w:r w:rsidR="00035381">
        <w:rPr>
          <w:lang w:val="en-US"/>
        </w:rPr>
        <w:t>the decision of the ET on the issue of verification</w:t>
      </w:r>
      <w:r>
        <w:rPr>
          <w:lang w:val="en-US"/>
        </w:rPr>
        <w:t>.</w:t>
      </w:r>
      <w:r w:rsidR="00035381">
        <w:rPr>
          <w:lang w:val="en-US"/>
        </w:rPr>
        <w:t xml:space="preserve"> </w:t>
      </w:r>
    </w:p>
    <w:p w:rsidR="00F44F78" w:rsidRPr="006F376D" w:rsidRDefault="00F44F78" w:rsidP="00F44F78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b/>
          <w:lang w:val="en-US"/>
        </w:rPr>
      </w:pPr>
      <w:r w:rsidRPr="006F376D">
        <w:rPr>
          <w:b/>
          <w:lang w:val="en-US"/>
        </w:rPr>
        <w:t>9.</w:t>
      </w:r>
      <w:r w:rsidRPr="006F376D">
        <w:rPr>
          <w:b/>
          <w:lang w:val="en-US"/>
        </w:rPr>
        <w:tab/>
        <w:t>FUTURE DEVELOPMENTS</w:t>
      </w:r>
    </w:p>
    <w:p w:rsidR="00F44F78" w:rsidRPr="006F376D" w:rsidRDefault="00F44F78" w:rsidP="00F44F78">
      <w:pPr>
        <w:jc w:val="both"/>
        <w:rPr>
          <w:lang w:val="en-US"/>
        </w:rPr>
      </w:pPr>
    </w:p>
    <w:p w:rsidR="00F44F78" w:rsidRPr="006F376D" w:rsidRDefault="006F42DC" w:rsidP="00F44F78">
      <w:pPr>
        <w:jc w:val="both"/>
        <w:rPr>
          <w:rFonts w:cs="Arial"/>
          <w:lang w:val="en-US"/>
        </w:rPr>
      </w:pPr>
      <w:r w:rsidRPr="00F71C9A">
        <w:rPr>
          <w:lang w:val="en-US"/>
        </w:rPr>
        <w:t>None planned for immediate future</w:t>
      </w:r>
      <w:r w:rsidR="00595BF1">
        <w:rPr>
          <w:rFonts w:cs="Arial"/>
          <w:iCs/>
          <w:lang w:val="en-ZA"/>
        </w:rPr>
        <w:t xml:space="preserve">. </w:t>
      </w:r>
    </w:p>
    <w:p w:rsidR="00F44F78" w:rsidRPr="006F376D" w:rsidRDefault="00F44F78" w:rsidP="00F44F78">
      <w:pPr>
        <w:jc w:val="both"/>
        <w:rPr>
          <w:rFonts w:cs="Arial"/>
          <w:lang w:val="en-US"/>
        </w:rPr>
      </w:pPr>
    </w:p>
    <w:p w:rsidR="00F44F78" w:rsidRPr="006F376D" w:rsidRDefault="00F44F78" w:rsidP="00F44F78">
      <w:pPr>
        <w:jc w:val="both"/>
        <w:rPr>
          <w:lang w:val="en-US"/>
        </w:rPr>
      </w:pPr>
    </w:p>
    <w:p w:rsidR="00F44F78" w:rsidRPr="006F376D" w:rsidRDefault="00F44F78" w:rsidP="00F44F78">
      <w:pPr>
        <w:jc w:val="both"/>
        <w:rPr>
          <w:b/>
          <w:lang w:val="en-US"/>
        </w:rPr>
      </w:pPr>
      <w:r w:rsidRPr="006F376D">
        <w:rPr>
          <w:b/>
          <w:lang w:val="en-US"/>
        </w:rPr>
        <w:t>10.</w:t>
      </w:r>
      <w:r w:rsidRPr="006F376D">
        <w:rPr>
          <w:b/>
          <w:lang w:val="en-US"/>
        </w:rPr>
        <w:tab/>
        <w:t>USERS OF THE LRF</w:t>
      </w:r>
    </w:p>
    <w:p w:rsidR="00F44F78" w:rsidRPr="006F376D" w:rsidRDefault="00F44F78" w:rsidP="00F44F78">
      <w:pPr>
        <w:jc w:val="both"/>
        <w:rPr>
          <w:lang w:val="en-US"/>
        </w:rPr>
      </w:pPr>
    </w:p>
    <w:p w:rsidR="00F44F78" w:rsidRPr="006F376D" w:rsidRDefault="006F42DC" w:rsidP="00F44F78">
      <w:pPr>
        <w:jc w:val="both"/>
        <w:rPr>
          <w:lang w:val="en-US"/>
        </w:rPr>
      </w:pPr>
      <w:r w:rsidRPr="0089749E">
        <w:rPr>
          <w:lang w:val="en-US"/>
        </w:rPr>
        <w:t xml:space="preserve">Data and graphical display of the forecast is put on the web and is freely accessible by anyone.  GPC </w:t>
      </w:r>
      <w:r>
        <w:rPr>
          <w:lang w:val="en-US"/>
        </w:rPr>
        <w:t>Pretoria</w:t>
      </w:r>
      <w:r w:rsidRPr="0089749E">
        <w:rPr>
          <w:lang w:val="en-US"/>
        </w:rPr>
        <w:t xml:space="preserve"> also provides real-time forecasts to the LC-LRFMME</w:t>
      </w:r>
      <w:r>
        <w:rPr>
          <w:lang w:val="en-US"/>
        </w:rPr>
        <w:t>.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5B1949" w:rsidRPr="003B56C6" w:rsidRDefault="00B13845" w:rsidP="00B13845">
      <w:pPr>
        <w:jc w:val="center"/>
        <w:rPr>
          <w:rFonts w:cs="Arial"/>
          <w:lang w:val="en-US"/>
        </w:rPr>
      </w:pPr>
      <w:r w:rsidRPr="00FF73BC">
        <w:t>__________________</w:t>
      </w:r>
    </w:p>
    <w:sectPr w:rsidR="005B1949" w:rsidRPr="003B56C6" w:rsidSect="008137BD">
      <w:headerReference w:type="default" r:id="rId11"/>
      <w:head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38" w:rsidRDefault="005B3538">
      <w:r>
        <w:separator/>
      </w:r>
    </w:p>
  </w:endnote>
  <w:endnote w:type="continuationSeparator" w:id="0">
    <w:p w:rsidR="005B3538" w:rsidRDefault="005B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38" w:rsidRDefault="005B3538">
      <w:r>
        <w:separator/>
      </w:r>
    </w:p>
  </w:footnote>
  <w:footnote w:type="continuationSeparator" w:id="0">
    <w:p w:rsidR="005B3538" w:rsidRDefault="005B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Default="00B13845" w:rsidP="00CB0EAD">
    <w:pPr>
      <w:pStyle w:val="Header"/>
      <w:jc w:val="right"/>
    </w:pPr>
  </w:p>
  <w:p w:rsidR="00B13845" w:rsidRDefault="00B13845" w:rsidP="00CB0E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52"/>
    <w:multiLevelType w:val="hybridMultilevel"/>
    <w:tmpl w:val="72A24C2A"/>
    <w:lvl w:ilvl="0" w:tplc="3BCA487E">
      <w:start w:val="5"/>
      <w:numFmt w:val="bullet"/>
      <w:lvlText w:val="-"/>
      <w:lvlJc w:val="left"/>
      <w:pPr>
        <w:tabs>
          <w:tab w:val="num" w:pos="1655"/>
        </w:tabs>
        <w:ind w:left="1655" w:hanging="55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>
    <w:nsid w:val="09FD51E3"/>
    <w:multiLevelType w:val="hybridMultilevel"/>
    <w:tmpl w:val="4FA253A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876992"/>
    <w:multiLevelType w:val="hybridMultilevel"/>
    <w:tmpl w:val="CAF24E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1573215"/>
    <w:multiLevelType w:val="hybridMultilevel"/>
    <w:tmpl w:val="1B948716"/>
    <w:lvl w:ilvl="0" w:tplc="24D6771E">
      <w:start w:val="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F79A0"/>
    <w:multiLevelType w:val="hybridMultilevel"/>
    <w:tmpl w:val="8CB6C854"/>
    <w:lvl w:ilvl="0" w:tplc="4014D1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69238C5"/>
    <w:multiLevelType w:val="hybridMultilevel"/>
    <w:tmpl w:val="4F6C70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FA6B3C"/>
    <w:multiLevelType w:val="hybridMultilevel"/>
    <w:tmpl w:val="6A76AE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25F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56FA0"/>
    <w:multiLevelType w:val="hybridMultilevel"/>
    <w:tmpl w:val="4FEA39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F0D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A506B9E"/>
    <w:multiLevelType w:val="hybridMultilevel"/>
    <w:tmpl w:val="C8D2A3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9135E3"/>
    <w:multiLevelType w:val="hybridMultilevel"/>
    <w:tmpl w:val="084EF100"/>
    <w:lvl w:ilvl="0" w:tplc="4014D1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C3178"/>
    <w:multiLevelType w:val="hybridMultilevel"/>
    <w:tmpl w:val="1B5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42B5D"/>
    <w:multiLevelType w:val="hybridMultilevel"/>
    <w:tmpl w:val="8814C6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9A75BD"/>
    <w:multiLevelType w:val="hybridMultilevel"/>
    <w:tmpl w:val="ED6E1C54"/>
    <w:lvl w:ilvl="0" w:tplc="24D6771E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E6ED2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45E12"/>
    <w:multiLevelType w:val="multilevel"/>
    <w:tmpl w:val="385EEB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E"/>
    <w:rsid w:val="00005EAD"/>
    <w:rsid w:val="00035381"/>
    <w:rsid w:val="00091C0B"/>
    <w:rsid w:val="00096BEB"/>
    <w:rsid w:val="000C2181"/>
    <w:rsid w:val="000E101F"/>
    <w:rsid w:val="000E33FF"/>
    <w:rsid w:val="000F532A"/>
    <w:rsid w:val="000F5B9C"/>
    <w:rsid w:val="00123308"/>
    <w:rsid w:val="00147267"/>
    <w:rsid w:val="001520D7"/>
    <w:rsid w:val="00152210"/>
    <w:rsid w:val="00156040"/>
    <w:rsid w:val="00172B35"/>
    <w:rsid w:val="001B7E9E"/>
    <w:rsid w:val="001F2F8C"/>
    <w:rsid w:val="00226279"/>
    <w:rsid w:val="002367AE"/>
    <w:rsid w:val="002A6AB4"/>
    <w:rsid w:val="002D193E"/>
    <w:rsid w:val="002D345C"/>
    <w:rsid w:val="003630EF"/>
    <w:rsid w:val="00371B0A"/>
    <w:rsid w:val="00373D74"/>
    <w:rsid w:val="003869A0"/>
    <w:rsid w:val="00387792"/>
    <w:rsid w:val="003A113A"/>
    <w:rsid w:val="003A27B4"/>
    <w:rsid w:val="003A5DA5"/>
    <w:rsid w:val="003B56C6"/>
    <w:rsid w:val="003E4012"/>
    <w:rsid w:val="003F2080"/>
    <w:rsid w:val="0041476B"/>
    <w:rsid w:val="004225DF"/>
    <w:rsid w:val="00455291"/>
    <w:rsid w:val="004A2C18"/>
    <w:rsid w:val="004A2F46"/>
    <w:rsid w:val="004B14DC"/>
    <w:rsid w:val="004F24F2"/>
    <w:rsid w:val="004F3F45"/>
    <w:rsid w:val="00521757"/>
    <w:rsid w:val="00534727"/>
    <w:rsid w:val="00545D23"/>
    <w:rsid w:val="00546D4A"/>
    <w:rsid w:val="00555088"/>
    <w:rsid w:val="00593D16"/>
    <w:rsid w:val="00595BF1"/>
    <w:rsid w:val="005B1949"/>
    <w:rsid w:val="005B3538"/>
    <w:rsid w:val="005F2CCC"/>
    <w:rsid w:val="00604C71"/>
    <w:rsid w:val="00616C0A"/>
    <w:rsid w:val="0063333A"/>
    <w:rsid w:val="00654F8D"/>
    <w:rsid w:val="00656CFD"/>
    <w:rsid w:val="00674455"/>
    <w:rsid w:val="0067791F"/>
    <w:rsid w:val="00680349"/>
    <w:rsid w:val="00683DC1"/>
    <w:rsid w:val="006A6E22"/>
    <w:rsid w:val="006B71B0"/>
    <w:rsid w:val="006C53DA"/>
    <w:rsid w:val="006F42DC"/>
    <w:rsid w:val="00742DD9"/>
    <w:rsid w:val="007650C2"/>
    <w:rsid w:val="00770EE7"/>
    <w:rsid w:val="0078289D"/>
    <w:rsid w:val="00793916"/>
    <w:rsid w:val="007C125B"/>
    <w:rsid w:val="007D7328"/>
    <w:rsid w:val="007E12A3"/>
    <w:rsid w:val="008137BD"/>
    <w:rsid w:val="00823CF9"/>
    <w:rsid w:val="0083130A"/>
    <w:rsid w:val="00893550"/>
    <w:rsid w:val="008A14C1"/>
    <w:rsid w:val="008A20F1"/>
    <w:rsid w:val="008A5C16"/>
    <w:rsid w:val="008C734D"/>
    <w:rsid w:val="008E05A8"/>
    <w:rsid w:val="00904476"/>
    <w:rsid w:val="009132B6"/>
    <w:rsid w:val="0095669E"/>
    <w:rsid w:val="00994FEF"/>
    <w:rsid w:val="009E1BB6"/>
    <w:rsid w:val="00A06DE1"/>
    <w:rsid w:val="00A138FE"/>
    <w:rsid w:val="00A220E8"/>
    <w:rsid w:val="00A33C32"/>
    <w:rsid w:val="00AE3EE4"/>
    <w:rsid w:val="00AF4610"/>
    <w:rsid w:val="00B13845"/>
    <w:rsid w:val="00B20941"/>
    <w:rsid w:val="00B239B5"/>
    <w:rsid w:val="00B413B8"/>
    <w:rsid w:val="00B72B72"/>
    <w:rsid w:val="00B9070B"/>
    <w:rsid w:val="00BC33FE"/>
    <w:rsid w:val="00BD1D23"/>
    <w:rsid w:val="00BD49C3"/>
    <w:rsid w:val="00C50A59"/>
    <w:rsid w:val="00C74D96"/>
    <w:rsid w:val="00C7679D"/>
    <w:rsid w:val="00CB0EAD"/>
    <w:rsid w:val="00CE6A45"/>
    <w:rsid w:val="00D033CA"/>
    <w:rsid w:val="00D048CE"/>
    <w:rsid w:val="00D221CF"/>
    <w:rsid w:val="00D6151E"/>
    <w:rsid w:val="00D760B5"/>
    <w:rsid w:val="00D960AA"/>
    <w:rsid w:val="00DA1D32"/>
    <w:rsid w:val="00DB6616"/>
    <w:rsid w:val="00DE3B6A"/>
    <w:rsid w:val="00E21399"/>
    <w:rsid w:val="00E26E9F"/>
    <w:rsid w:val="00E50D14"/>
    <w:rsid w:val="00E937F0"/>
    <w:rsid w:val="00EA6AAB"/>
    <w:rsid w:val="00EC7FD3"/>
    <w:rsid w:val="00EE7477"/>
    <w:rsid w:val="00EF5263"/>
    <w:rsid w:val="00F257A9"/>
    <w:rsid w:val="00F2619F"/>
    <w:rsid w:val="00F44F78"/>
    <w:rsid w:val="00F86FAA"/>
    <w:rsid w:val="00F911A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BD"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rsid w:val="008137BD"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rsid w:val="008137BD"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rsid w:val="008137BD"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7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37BD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rsid w:val="008137BD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rsid w:val="008137BD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rsid w:val="008137BD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rsid w:val="008137BD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basedOn w:val="DefaultParagraphFont"/>
    <w:rsid w:val="008137BD"/>
    <w:rPr>
      <w:color w:val="0000FF"/>
      <w:u w:val="single"/>
    </w:rPr>
  </w:style>
  <w:style w:type="paragraph" w:styleId="BodyText2">
    <w:name w:val="Body Text 2"/>
    <w:basedOn w:val="Normal"/>
    <w:rsid w:val="008137BD"/>
    <w:rPr>
      <w:rFonts w:eastAsia="Times New Roman"/>
      <w:lang w:val="en-GB" w:eastAsia="en-US"/>
    </w:rPr>
  </w:style>
  <w:style w:type="paragraph" w:styleId="Title">
    <w:name w:val="Title"/>
    <w:basedOn w:val="Normal"/>
    <w:link w:val="TitleChar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4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44F78"/>
  </w:style>
  <w:style w:type="paragraph" w:styleId="ListParagraph">
    <w:name w:val="List Paragraph"/>
    <w:basedOn w:val="Normal"/>
    <w:uiPriority w:val="34"/>
    <w:qFormat/>
    <w:rsid w:val="00F44F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138FE"/>
    <w:rPr>
      <w:color w:val="800080" w:themeColor="followedHyperlink"/>
      <w:u w:val="single"/>
    </w:rPr>
  </w:style>
  <w:style w:type="character" w:customStyle="1" w:styleId="TitleChar">
    <w:name w:val="Title Char"/>
    <w:link w:val="Title"/>
    <w:rsid w:val="00A06DE1"/>
    <w:rPr>
      <w:rFonts w:ascii="Arial" w:eastAsia="Times New Roman" w:hAnsi="Arial"/>
      <w:b/>
      <w:bCs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BD"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rsid w:val="008137BD"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rsid w:val="008137BD"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rsid w:val="008137BD"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7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37BD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rsid w:val="008137BD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rsid w:val="008137BD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rsid w:val="008137BD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rsid w:val="008137BD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basedOn w:val="DefaultParagraphFont"/>
    <w:rsid w:val="008137BD"/>
    <w:rPr>
      <w:color w:val="0000FF"/>
      <w:u w:val="single"/>
    </w:rPr>
  </w:style>
  <w:style w:type="paragraph" w:styleId="BodyText2">
    <w:name w:val="Body Text 2"/>
    <w:basedOn w:val="Normal"/>
    <w:rsid w:val="008137BD"/>
    <w:rPr>
      <w:rFonts w:eastAsia="Times New Roman"/>
      <w:lang w:val="en-GB" w:eastAsia="en-US"/>
    </w:rPr>
  </w:style>
  <w:style w:type="paragraph" w:styleId="Title">
    <w:name w:val="Title"/>
    <w:basedOn w:val="Normal"/>
    <w:link w:val="TitleChar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4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44F78"/>
  </w:style>
  <w:style w:type="paragraph" w:styleId="ListParagraph">
    <w:name w:val="List Paragraph"/>
    <w:basedOn w:val="Normal"/>
    <w:uiPriority w:val="34"/>
    <w:qFormat/>
    <w:rsid w:val="00F44F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138FE"/>
    <w:rPr>
      <w:color w:val="800080" w:themeColor="followedHyperlink"/>
      <w:u w:val="single"/>
    </w:rPr>
  </w:style>
  <w:style w:type="character" w:customStyle="1" w:styleId="TitleChar">
    <w:name w:val="Title Char"/>
    <w:link w:val="Title"/>
    <w:rsid w:val="00A06DE1"/>
    <w:rPr>
      <w:rFonts w:ascii="Arial" w:eastAsia="Times New Roman" w:hAnsi="Arial"/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sa.co.za/home/season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tp://ftp.weathersa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thersa.co.za/home/seaso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CBS SWFDP-SG Feb 2010</vt:lpstr>
    </vt:vector>
  </TitlesOfParts>
  <Company>wmo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 SWFDP-SG Feb 2010</dc:title>
  <dc:creator>Soares A</dc:creator>
  <cp:lastModifiedBy>Pascale Gomez</cp:lastModifiedBy>
  <cp:revision>2</cp:revision>
  <cp:lastPrinted>2005-10-10T10:27:00Z</cp:lastPrinted>
  <dcterms:created xsi:type="dcterms:W3CDTF">2016-04-11T12:43:00Z</dcterms:created>
  <dcterms:modified xsi:type="dcterms:W3CDTF">2016-04-11T12:43:00Z</dcterms:modified>
</cp:coreProperties>
</file>