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567"/>
        <w:gridCol w:w="4218"/>
      </w:tblGrid>
      <w:tr w:rsidR="001E362A">
        <w:trPr>
          <w:trHeight w:val="3120"/>
        </w:trPr>
        <w:tc>
          <w:tcPr>
            <w:tcW w:w="5070" w:type="dxa"/>
            <w:tcBorders>
              <w:top w:val="nil"/>
              <w:left w:val="nil"/>
              <w:bottom w:val="nil"/>
              <w:right w:val="nil"/>
            </w:tcBorders>
            <w:shd w:val="clear" w:color="auto" w:fill="auto"/>
            <w:tcMar>
              <w:top w:w="80" w:type="dxa"/>
              <w:left w:w="80" w:type="dxa"/>
              <w:bottom w:w="80" w:type="dxa"/>
              <w:right w:w="80" w:type="dxa"/>
            </w:tcMar>
          </w:tcPr>
          <w:p w:rsidR="001E362A" w:rsidRPr="00B23E96" w:rsidRDefault="00D21212">
            <w:pPr>
              <w:keepNext/>
              <w:tabs>
                <w:tab w:val="left" w:pos="1134"/>
              </w:tabs>
              <w:jc w:val="center"/>
              <w:outlineLvl w:val="0"/>
              <w:rPr>
                <w:rFonts w:ascii="Verdana" w:eastAsia="Verdana" w:hAnsi="Verdana" w:cs="Verdana"/>
                <w:b/>
                <w:bCs/>
                <w:sz w:val="20"/>
                <w:szCs w:val="20"/>
                <w:lang w:val="en-US"/>
              </w:rPr>
            </w:pPr>
            <w:r>
              <w:rPr>
                <w:rFonts w:ascii="Verdana" w:hAnsi="Verdana"/>
                <w:b/>
                <w:bCs/>
                <w:sz w:val="20"/>
                <w:szCs w:val="20"/>
                <w:lang w:val="en-US"/>
              </w:rPr>
              <w:t>WORLD METEOROLOGICAL ORGANIZATION</w:t>
            </w:r>
          </w:p>
          <w:p w:rsidR="001E362A" w:rsidRDefault="001E362A">
            <w:pPr>
              <w:jc w:val="center"/>
              <w:rPr>
                <w:rFonts w:ascii="Verdana" w:eastAsia="Verdana" w:hAnsi="Verdana" w:cs="Verdana"/>
                <w:sz w:val="20"/>
                <w:szCs w:val="20"/>
                <w:lang w:val="en-US"/>
              </w:rPr>
            </w:pPr>
          </w:p>
          <w:p w:rsidR="001E362A" w:rsidRPr="00B23E96" w:rsidRDefault="00D21212">
            <w:pPr>
              <w:keepNext/>
              <w:keepLines/>
              <w:jc w:val="center"/>
              <w:rPr>
                <w:rFonts w:ascii="Verdana" w:eastAsia="Verdana" w:hAnsi="Verdana" w:cs="Verdana"/>
                <w:sz w:val="20"/>
                <w:szCs w:val="20"/>
                <w:lang w:val="en-US"/>
              </w:rPr>
            </w:pPr>
            <w:r>
              <w:rPr>
                <w:rFonts w:ascii="Verdana" w:hAnsi="Verdana"/>
                <w:sz w:val="20"/>
                <w:szCs w:val="20"/>
                <w:lang w:val="en-US"/>
              </w:rPr>
              <w:t>COMMISSION FOR BASIC SYSTEMS</w:t>
            </w:r>
            <w:r>
              <w:rPr>
                <w:rFonts w:ascii="Arial Unicode MS" w:eastAsia="Arial Unicode MS" w:hAnsi="Arial Unicode MS" w:cs="Arial Unicode MS"/>
                <w:sz w:val="20"/>
                <w:szCs w:val="20"/>
                <w:lang w:val="en-US"/>
              </w:rPr>
              <w:br/>
            </w:r>
            <w:r>
              <w:rPr>
                <w:rFonts w:ascii="Verdana" w:hAnsi="Verdana"/>
                <w:sz w:val="20"/>
                <w:szCs w:val="20"/>
                <w:lang w:val="en-US"/>
              </w:rPr>
              <w:t>OPAG on DPFS</w:t>
            </w:r>
          </w:p>
          <w:p w:rsidR="001E362A" w:rsidRDefault="001E362A">
            <w:pPr>
              <w:rPr>
                <w:rFonts w:ascii="Verdana" w:eastAsia="Verdana" w:hAnsi="Verdana" w:cs="Verdana"/>
                <w:sz w:val="20"/>
                <w:szCs w:val="20"/>
                <w:lang w:val="en-US"/>
              </w:rPr>
            </w:pPr>
          </w:p>
          <w:p w:rsidR="001E362A" w:rsidRPr="00B23E96" w:rsidRDefault="00D21212">
            <w:pPr>
              <w:tabs>
                <w:tab w:val="left" w:pos="1080"/>
              </w:tabs>
              <w:jc w:val="center"/>
              <w:rPr>
                <w:rFonts w:ascii="Verdana" w:eastAsia="Verdana" w:hAnsi="Verdana" w:cs="Verdana"/>
                <w:sz w:val="20"/>
                <w:szCs w:val="20"/>
                <w:lang w:val="en-US"/>
              </w:rPr>
            </w:pPr>
            <w:r>
              <w:rPr>
                <w:rFonts w:ascii="Verdana" w:hAnsi="Verdana"/>
                <w:b/>
                <w:bCs/>
                <w:sz w:val="20"/>
                <w:szCs w:val="20"/>
                <w:lang w:val="en-US"/>
              </w:rPr>
              <w:t>MEETING OF THE CBS (DPFS) EXPERT TEAM ON OPERATIONAL PREDICTIONS FORM SUB-SEASONAL TO LONGER-TIME SCALES (ET-OPSLS)</w:t>
            </w:r>
          </w:p>
          <w:p w:rsidR="001E362A" w:rsidRDefault="001E362A">
            <w:pPr>
              <w:tabs>
                <w:tab w:val="left" w:pos="425"/>
                <w:tab w:val="left" w:pos="2552"/>
                <w:tab w:val="left" w:pos="3969"/>
                <w:tab w:val="left" w:pos="5954"/>
              </w:tabs>
              <w:jc w:val="center"/>
              <w:rPr>
                <w:rFonts w:ascii="Verdana" w:eastAsia="Verdana" w:hAnsi="Verdana" w:cs="Verdana"/>
                <w:smallCaps/>
                <w:sz w:val="20"/>
                <w:szCs w:val="20"/>
                <w:lang w:val="en-US"/>
              </w:rPr>
            </w:pPr>
          </w:p>
          <w:p w:rsidR="001E362A" w:rsidRPr="00B23E96" w:rsidRDefault="00D21212">
            <w:pPr>
              <w:tabs>
                <w:tab w:val="left" w:pos="425"/>
                <w:tab w:val="left" w:pos="2552"/>
                <w:tab w:val="left" w:pos="3969"/>
                <w:tab w:val="left" w:pos="5954"/>
              </w:tabs>
              <w:jc w:val="center"/>
              <w:rPr>
                <w:lang w:val="en-US"/>
              </w:rPr>
            </w:pPr>
            <w:r>
              <w:rPr>
                <w:rFonts w:ascii="Verdana" w:hAnsi="Verdana"/>
                <w:caps/>
                <w:sz w:val="20"/>
                <w:szCs w:val="20"/>
                <w:lang w:val="en-US"/>
              </w:rPr>
              <w:t>BARCELONA, SPAIN, 2 AND 4 TO 6 JUNE 2018</w:t>
            </w:r>
          </w:p>
        </w:tc>
        <w:tc>
          <w:tcPr>
            <w:tcW w:w="567" w:type="dxa"/>
            <w:tcBorders>
              <w:top w:val="nil"/>
              <w:left w:val="nil"/>
              <w:bottom w:val="nil"/>
              <w:right w:val="nil"/>
            </w:tcBorders>
            <w:shd w:val="clear" w:color="auto" w:fill="auto"/>
            <w:tcMar>
              <w:top w:w="80" w:type="dxa"/>
              <w:left w:w="80" w:type="dxa"/>
              <w:bottom w:w="80" w:type="dxa"/>
              <w:right w:w="80" w:type="dxa"/>
            </w:tcMar>
          </w:tcPr>
          <w:p w:rsidR="001E362A" w:rsidRPr="00B23E96" w:rsidRDefault="001E362A">
            <w:pPr>
              <w:rPr>
                <w:lang w:val="en-US"/>
              </w:rPr>
            </w:pPr>
          </w:p>
        </w:tc>
        <w:tc>
          <w:tcPr>
            <w:tcW w:w="4218" w:type="dxa"/>
            <w:tcBorders>
              <w:top w:val="nil"/>
              <w:left w:val="nil"/>
              <w:bottom w:val="nil"/>
              <w:right w:val="nil"/>
            </w:tcBorders>
            <w:shd w:val="clear" w:color="auto" w:fill="auto"/>
            <w:tcMar>
              <w:top w:w="80" w:type="dxa"/>
              <w:left w:w="80" w:type="dxa"/>
              <w:bottom w:w="80" w:type="dxa"/>
              <w:right w:w="80" w:type="dxa"/>
            </w:tcMar>
          </w:tcPr>
          <w:p w:rsidR="001E362A" w:rsidRPr="00B23E96" w:rsidRDefault="00D21212" w:rsidP="00B23E96">
            <w:pPr>
              <w:rPr>
                <w:rFonts w:ascii="Verdana" w:eastAsia="Verdana" w:hAnsi="Verdana" w:cs="Verdana"/>
                <w:sz w:val="20"/>
                <w:szCs w:val="20"/>
                <w:lang w:val="fr-CH"/>
              </w:rPr>
            </w:pPr>
            <w:r w:rsidRPr="00B23E96">
              <w:rPr>
                <w:rFonts w:ascii="Verdana" w:hAnsi="Verdana"/>
                <w:sz w:val="20"/>
                <w:szCs w:val="20"/>
                <w:lang w:val="fr-CH"/>
              </w:rPr>
              <w:t xml:space="preserve">DPFS/ET-OPSLS/Doc. </w:t>
            </w:r>
            <w:r w:rsidR="00B23E96" w:rsidRPr="00B23E96">
              <w:rPr>
                <w:rFonts w:ascii="Verdana" w:hAnsi="Verdana"/>
                <w:sz w:val="20"/>
                <w:szCs w:val="20"/>
                <w:lang w:val="fr-CH"/>
              </w:rPr>
              <w:t>4</w:t>
            </w:r>
            <w:r w:rsidR="00B23E96">
              <w:rPr>
                <w:rFonts w:ascii="Verdana" w:hAnsi="Verdana"/>
                <w:sz w:val="20"/>
                <w:szCs w:val="20"/>
                <w:lang w:val="fr-CH"/>
              </w:rPr>
              <w:t>.5 and 5.4</w:t>
            </w:r>
          </w:p>
          <w:p w:rsidR="001E362A" w:rsidRPr="00B23E96" w:rsidRDefault="001E362A">
            <w:pPr>
              <w:rPr>
                <w:rFonts w:ascii="Verdana" w:eastAsia="Verdana" w:hAnsi="Verdana" w:cs="Verdana"/>
                <w:sz w:val="20"/>
                <w:szCs w:val="20"/>
                <w:lang w:val="fr-CH"/>
              </w:rPr>
            </w:pPr>
          </w:p>
          <w:p w:rsidR="001E362A" w:rsidRDefault="00D21212">
            <w:pPr>
              <w:rPr>
                <w:rFonts w:ascii="Verdana" w:eastAsia="Verdana" w:hAnsi="Verdana" w:cs="Verdana"/>
                <w:sz w:val="20"/>
                <w:szCs w:val="20"/>
              </w:rPr>
            </w:pPr>
            <w:r w:rsidRPr="00B23E96">
              <w:rPr>
                <w:rFonts w:ascii="Verdana" w:hAnsi="Verdana"/>
                <w:sz w:val="20"/>
                <w:szCs w:val="20"/>
                <w:lang w:val="fr-CH"/>
              </w:rPr>
              <w:t>(15.V.2018)</w:t>
            </w:r>
          </w:p>
          <w:p w:rsidR="001E362A" w:rsidRDefault="00D21212">
            <w:pPr>
              <w:rPr>
                <w:rFonts w:ascii="Verdana" w:eastAsia="Verdana" w:hAnsi="Verdana" w:cs="Verdana"/>
                <w:sz w:val="20"/>
                <w:szCs w:val="20"/>
              </w:rPr>
            </w:pPr>
            <w:r>
              <w:rPr>
                <w:rFonts w:ascii="Verdana" w:hAnsi="Verdana"/>
                <w:sz w:val="20"/>
                <w:szCs w:val="20"/>
                <w:lang w:val="en-US"/>
              </w:rPr>
              <w:t>_______</w:t>
            </w:r>
          </w:p>
          <w:p w:rsidR="001E362A" w:rsidRDefault="001E362A">
            <w:pPr>
              <w:rPr>
                <w:rFonts w:ascii="Verdana" w:eastAsia="Verdana" w:hAnsi="Verdana" w:cs="Verdana"/>
                <w:sz w:val="20"/>
                <w:szCs w:val="20"/>
                <w:lang w:val="en-US"/>
              </w:rPr>
            </w:pPr>
          </w:p>
          <w:p w:rsidR="001E362A" w:rsidRDefault="00D21212" w:rsidP="00B23E96">
            <w:pPr>
              <w:rPr>
                <w:rFonts w:ascii="Verdana" w:eastAsia="Verdana" w:hAnsi="Verdana" w:cs="Verdana"/>
                <w:sz w:val="20"/>
                <w:szCs w:val="20"/>
              </w:rPr>
            </w:pPr>
            <w:r>
              <w:rPr>
                <w:rFonts w:ascii="Verdana" w:hAnsi="Verdana"/>
                <w:sz w:val="20"/>
                <w:szCs w:val="20"/>
                <w:lang w:val="en-US"/>
              </w:rPr>
              <w:t xml:space="preserve">Agenda item : </w:t>
            </w:r>
            <w:r w:rsidR="00B23E96">
              <w:rPr>
                <w:rFonts w:ascii="Verdana" w:hAnsi="Verdana"/>
                <w:sz w:val="20"/>
                <w:szCs w:val="20"/>
                <w:lang w:val="en-US"/>
              </w:rPr>
              <w:t>4 &amp; 5</w:t>
            </w:r>
            <w:bookmarkStart w:id="0" w:name="_GoBack"/>
            <w:bookmarkEnd w:id="0"/>
          </w:p>
          <w:p w:rsidR="001E362A" w:rsidRDefault="001E362A">
            <w:pPr>
              <w:rPr>
                <w:rFonts w:ascii="Verdana" w:eastAsia="Verdana" w:hAnsi="Verdana" w:cs="Verdana"/>
                <w:sz w:val="20"/>
                <w:szCs w:val="20"/>
                <w:lang w:val="en-US"/>
              </w:rPr>
            </w:pPr>
          </w:p>
          <w:p w:rsidR="001E362A" w:rsidRDefault="001E362A">
            <w:pPr>
              <w:rPr>
                <w:rFonts w:ascii="Verdana" w:eastAsia="Verdana" w:hAnsi="Verdana" w:cs="Verdana"/>
                <w:sz w:val="20"/>
                <w:szCs w:val="20"/>
                <w:lang w:val="en-US"/>
              </w:rPr>
            </w:pPr>
          </w:p>
          <w:p w:rsidR="001E362A" w:rsidRDefault="001E362A">
            <w:pPr>
              <w:rPr>
                <w:rFonts w:ascii="Verdana" w:eastAsia="Verdana" w:hAnsi="Verdana" w:cs="Verdana"/>
                <w:sz w:val="20"/>
                <w:szCs w:val="20"/>
                <w:lang w:val="en-US"/>
              </w:rPr>
            </w:pPr>
          </w:p>
          <w:p w:rsidR="001E362A" w:rsidRDefault="00D21212">
            <w:r>
              <w:rPr>
                <w:rFonts w:ascii="Verdana" w:hAnsi="Verdana"/>
                <w:sz w:val="20"/>
                <w:szCs w:val="20"/>
                <w:lang w:val="en-US"/>
              </w:rPr>
              <w:t>ENGLISH ONLY</w:t>
            </w:r>
          </w:p>
        </w:tc>
      </w:tr>
    </w:tbl>
    <w:p w:rsidR="001E362A" w:rsidRDefault="001E362A">
      <w:pPr>
        <w:widowControl w:val="0"/>
      </w:pPr>
    </w:p>
    <w:p w:rsidR="001E362A" w:rsidRDefault="001E362A">
      <w:pPr>
        <w:pStyle w:val="BodyText3"/>
        <w:ind w:left="851" w:right="849"/>
        <w:jc w:val="center"/>
        <w:rPr>
          <w:rFonts w:ascii="Verdana" w:eastAsia="Verdana" w:hAnsi="Verdana" w:cs="Verdana"/>
          <w:b/>
          <w:bCs/>
          <w:sz w:val="20"/>
          <w:szCs w:val="20"/>
        </w:rPr>
      </w:pPr>
    </w:p>
    <w:p w:rsidR="001E362A" w:rsidRDefault="001E362A">
      <w:pPr>
        <w:pStyle w:val="BodyText3"/>
        <w:ind w:left="851" w:right="849"/>
        <w:jc w:val="center"/>
        <w:rPr>
          <w:rFonts w:ascii="Verdana" w:eastAsia="Verdana" w:hAnsi="Verdana" w:cs="Verdana"/>
          <w:b/>
          <w:bCs/>
          <w:sz w:val="20"/>
          <w:szCs w:val="20"/>
        </w:rPr>
      </w:pPr>
    </w:p>
    <w:p w:rsidR="001E362A" w:rsidRDefault="001E362A">
      <w:pPr>
        <w:pStyle w:val="BodyText3"/>
        <w:ind w:left="851" w:right="849"/>
        <w:jc w:val="center"/>
        <w:rPr>
          <w:rFonts w:ascii="Verdana" w:eastAsia="Verdana" w:hAnsi="Verdana" w:cs="Verdana"/>
          <w:b/>
          <w:bCs/>
          <w:sz w:val="20"/>
          <w:szCs w:val="20"/>
        </w:rPr>
      </w:pPr>
    </w:p>
    <w:p w:rsidR="001E362A" w:rsidRDefault="001E362A">
      <w:pPr>
        <w:pStyle w:val="BodyText3"/>
        <w:ind w:left="851" w:right="849"/>
        <w:jc w:val="center"/>
        <w:rPr>
          <w:rFonts w:ascii="Verdana" w:eastAsia="Verdana" w:hAnsi="Verdana" w:cs="Verdana"/>
          <w:b/>
          <w:bCs/>
          <w:sz w:val="20"/>
          <w:szCs w:val="20"/>
        </w:rPr>
      </w:pPr>
    </w:p>
    <w:p w:rsidR="001E362A" w:rsidRDefault="00D21212">
      <w:pPr>
        <w:keepNext/>
        <w:keepLines/>
        <w:ind w:left="851" w:right="849"/>
        <w:jc w:val="center"/>
        <w:rPr>
          <w:b/>
          <w:bCs/>
          <w:lang w:val="en-US"/>
        </w:rPr>
      </w:pPr>
      <w:r>
        <w:rPr>
          <w:b/>
          <w:bCs/>
          <w:lang w:val="en-US"/>
        </w:rPr>
        <w:t xml:space="preserve">REPORT OF SUB-TEAM 4: SCOPING/IMPLEMENTATION OF LONGER THAN SEASONAL FORECASTS </w:t>
      </w:r>
    </w:p>
    <w:p w:rsidR="001E362A" w:rsidRDefault="001E362A">
      <w:pPr>
        <w:keepNext/>
        <w:keepLines/>
        <w:ind w:left="851" w:right="849"/>
        <w:jc w:val="center"/>
        <w:rPr>
          <w:b/>
          <w:bCs/>
          <w:lang w:val="en-US"/>
        </w:rPr>
      </w:pPr>
    </w:p>
    <w:p w:rsidR="001E362A" w:rsidRDefault="00D21212">
      <w:pPr>
        <w:spacing w:line="360" w:lineRule="auto"/>
        <w:ind w:left="851" w:right="849"/>
        <w:jc w:val="center"/>
        <w:rPr>
          <w:i/>
          <w:iCs/>
          <w:lang w:val="en-US"/>
        </w:rPr>
      </w:pPr>
      <w:r>
        <w:rPr>
          <w:i/>
          <w:iCs/>
          <w:lang w:val="en-US"/>
        </w:rPr>
        <w:t>(Submitted by Jeff Knight/Richard Graham)</w:t>
      </w:r>
    </w:p>
    <w:p w:rsidR="001E362A" w:rsidRDefault="001E362A">
      <w:pPr>
        <w:rPr>
          <w:rFonts w:ascii="Verdana" w:eastAsia="Verdana" w:hAnsi="Verdana" w:cs="Verdana"/>
          <w:sz w:val="20"/>
          <w:szCs w:val="20"/>
          <w:lang w:val="en-US"/>
        </w:rPr>
      </w:pPr>
    </w:p>
    <w:p w:rsidR="001E362A" w:rsidRDefault="001E362A">
      <w:pPr>
        <w:rPr>
          <w:rFonts w:ascii="Verdana" w:eastAsia="Verdana" w:hAnsi="Verdana" w:cs="Verdana"/>
          <w:sz w:val="20"/>
          <w:szCs w:val="20"/>
          <w:lang w:val="en-US"/>
        </w:rPr>
      </w:pPr>
    </w:p>
    <w:p w:rsidR="001E362A" w:rsidRDefault="001E362A">
      <w:pPr>
        <w:rPr>
          <w:rFonts w:ascii="Verdana" w:eastAsia="Verdana" w:hAnsi="Verdana" w:cs="Verdana"/>
          <w:sz w:val="20"/>
          <w:szCs w:val="20"/>
          <w:lang w:val="en-US"/>
        </w:rPr>
      </w:pPr>
    </w:p>
    <w:p w:rsidR="001E362A" w:rsidRDefault="001E362A">
      <w:pPr>
        <w:rPr>
          <w:rFonts w:ascii="Verdana" w:eastAsia="Verdana" w:hAnsi="Verdana" w:cs="Verdana"/>
          <w:sz w:val="20"/>
          <w:szCs w:val="20"/>
          <w:lang w:val="en-US"/>
        </w:rPr>
      </w:pPr>
    </w:p>
    <w:p w:rsidR="001E362A" w:rsidRDefault="00D21212">
      <w:pPr>
        <w:pStyle w:val="Heading5"/>
        <w:jc w:val="center"/>
        <w:rPr>
          <w:rFonts w:ascii="Verdana" w:eastAsia="Verdana" w:hAnsi="Verdana" w:cs="Verdana"/>
          <w:i w:val="0"/>
          <w:iCs w:val="0"/>
          <w:sz w:val="20"/>
          <w:szCs w:val="20"/>
          <w:lang w:val="en-US"/>
        </w:rPr>
      </w:pPr>
      <w:r>
        <w:rPr>
          <w:rFonts w:ascii="Verdana" w:hAnsi="Verdana"/>
          <w:i w:val="0"/>
          <w:iCs w:val="0"/>
          <w:sz w:val="20"/>
          <w:szCs w:val="20"/>
          <w:lang w:val="en-US"/>
        </w:rPr>
        <w:t>Summary and purpose of document</w:t>
      </w:r>
    </w:p>
    <w:p w:rsidR="001E362A" w:rsidRDefault="001E362A">
      <w:pPr>
        <w:rPr>
          <w:rFonts w:ascii="Verdana" w:eastAsia="Verdana" w:hAnsi="Verdana" w:cs="Verdana"/>
          <w:sz w:val="20"/>
          <w:szCs w:val="20"/>
          <w:lang w:val="en-US"/>
        </w:rPr>
      </w:pPr>
    </w:p>
    <w:p w:rsidR="001E362A" w:rsidRDefault="001E362A">
      <w:pPr>
        <w:rPr>
          <w:rFonts w:ascii="Verdana" w:eastAsia="Verdana" w:hAnsi="Verdana" w:cs="Verdana"/>
          <w:sz w:val="20"/>
          <w:szCs w:val="20"/>
          <w:lang w:val="en-US"/>
        </w:rPr>
      </w:pPr>
    </w:p>
    <w:p w:rsidR="001E362A" w:rsidRDefault="001E362A">
      <w:pPr>
        <w:pBdr>
          <w:top w:val="single" w:sz="4" w:space="0" w:color="000000"/>
        </w:pBdr>
        <w:ind w:left="1418" w:right="1416"/>
        <w:jc w:val="both"/>
        <w:rPr>
          <w:rFonts w:ascii="Verdana" w:eastAsia="Verdana" w:hAnsi="Verdana" w:cs="Verdana"/>
          <w:b/>
          <w:bCs/>
          <w:sz w:val="20"/>
          <w:szCs w:val="20"/>
          <w:lang w:val="en-US"/>
        </w:rPr>
      </w:pPr>
    </w:p>
    <w:p w:rsidR="001E362A" w:rsidRDefault="00D21212">
      <w:pPr>
        <w:pStyle w:val="BodyText3"/>
        <w:tabs>
          <w:tab w:val="left" w:pos="-19188"/>
        </w:tabs>
        <w:ind w:left="1418" w:right="1416" w:firstLine="425"/>
      </w:pPr>
      <w:r>
        <w:t xml:space="preserve">This document reports on activities relevant to the sub-team, specifically efforts to develop and implement an operational framework for climate forecasts on annual to decadal timescales. </w:t>
      </w:r>
    </w:p>
    <w:p w:rsidR="001E362A" w:rsidRDefault="001E362A">
      <w:pPr>
        <w:pStyle w:val="BodyText3"/>
        <w:tabs>
          <w:tab w:val="left" w:pos="-19188"/>
        </w:tabs>
        <w:ind w:left="1418" w:right="1416" w:firstLine="425"/>
        <w:rPr>
          <w:rFonts w:ascii="Verdana" w:eastAsia="Verdana" w:hAnsi="Verdana" w:cs="Verdana"/>
          <w:sz w:val="20"/>
          <w:szCs w:val="20"/>
        </w:rPr>
      </w:pPr>
    </w:p>
    <w:p w:rsidR="001E362A" w:rsidRDefault="001E362A">
      <w:pPr>
        <w:pBdr>
          <w:bottom w:val="single" w:sz="4" w:space="0" w:color="000000"/>
        </w:pBdr>
        <w:ind w:left="1418" w:right="1416"/>
        <w:jc w:val="both"/>
        <w:rPr>
          <w:rFonts w:ascii="Verdana" w:eastAsia="Verdana" w:hAnsi="Verdana" w:cs="Verdana"/>
          <w:sz w:val="20"/>
          <w:szCs w:val="20"/>
          <w:lang w:val="en-US"/>
        </w:rPr>
      </w:pPr>
    </w:p>
    <w:p w:rsidR="001E362A" w:rsidRDefault="001E362A">
      <w:pPr>
        <w:pStyle w:val="BodyText3"/>
        <w:tabs>
          <w:tab w:val="left" w:pos="-19188"/>
        </w:tabs>
        <w:ind w:left="1418" w:right="1416"/>
        <w:rPr>
          <w:rFonts w:ascii="Verdana" w:eastAsia="Verdana" w:hAnsi="Verdana" w:cs="Verdana"/>
          <w:b/>
          <w:bCs/>
          <w:sz w:val="20"/>
          <w:szCs w:val="20"/>
        </w:rPr>
      </w:pPr>
    </w:p>
    <w:p w:rsidR="001E362A" w:rsidRDefault="001E362A">
      <w:pPr>
        <w:pStyle w:val="BodyText3"/>
        <w:tabs>
          <w:tab w:val="left" w:pos="-19188"/>
        </w:tabs>
        <w:ind w:left="1418" w:right="1416"/>
        <w:rPr>
          <w:rFonts w:ascii="Verdana" w:eastAsia="Verdana" w:hAnsi="Verdana" w:cs="Verdana"/>
          <w:b/>
          <w:bCs/>
          <w:sz w:val="20"/>
          <w:szCs w:val="20"/>
        </w:rPr>
      </w:pPr>
    </w:p>
    <w:p w:rsidR="001E362A" w:rsidRDefault="00D21212">
      <w:pPr>
        <w:pStyle w:val="Heading5"/>
        <w:jc w:val="center"/>
        <w:rPr>
          <w:rFonts w:ascii="Verdana" w:eastAsia="Verdana" w:hAnsi="Verdana" w:cs="Verdana"/>
          <w:i w:val="0"/>
          <w:iCs w:val="0"/>
          <w:sz w:val="20"/>
          <w:szCs w:val="20"/>
          <w:lang w:val="en-US"/>
        </w:rPr>
      </w:pPr>
      <w:r>
        <w:rPr>
          <w:rFonts w:ascii="Verdana" w:hAnsi="Verdana"/>
          <w:i w:val="0"/>
          <w:iCs w:val="0"/>
          <w:sz w:val="20"/>
          <w:szCs w:val="20"/>
          <w:lang w:val="en-US"/>
        </w:rPr>
        <w:t>Action Proposed</w:t>
      </w:r>
    </w:p>
    <w:p w:rsidR="001E362A" w:rsidRDefault="001E362A">
      <w:pPr>
        <w:rPr>
          <w:rFonts w:ascii="Verdana" w:eastAsia="Verdana" w:hAnsi="Verdana" w:cs="Verdana"/>
          <w:sz w:val="20"/>
          <w:szCs w:val="20"/>
          <w:lang w:val="en-US"/>
        </w:rPr>
      </w:pPr>
    </w:p>
    <w:p w:rsidR="001E362A" w:rsidRDefault="00D21212">
      <w:pPr>
        <w:rPr>
          <w:rFonts w:ascii="Verdana" w:eastAsia="Verdana" w:hAnsi="Verdana" w:cs="Verdana"/>
          <w:lang w:val="en-US"/>
        </w:rPr>
      </w:pPr>
      <w:r>
        <w:rPr>
          <w:rFonts w:ascii="Verdana" w:hAnsi="Verdana"/>
          <w:sz w:val="20"/>
          <w:szCs w:val="20"/>
          <w:lang w:val="en-US"/>
        </w:rPr>
        <w:t>The meeting is invited to discuss the document and consider the recommendation that ST4 be discontinued now that designation</w:t>
      </w:r>
      <w:r w:rsidR="003F1619">
        <w:rPr>
          <w:rFonts w:ascii="Verdana" w:hAnsi="Verdana"/>
          <w:sz w:val="20"/>
          <w:szCs w:val="20"/>
          <w:lang w:val="en-US"/>
        </w:rPr>
        <w:t>s</w:t>
      </w:r>
      <w:r>
        <w:rPr>
          <w:rFonts w:ascii="Verdana" w:hAnsi="Verdana"/>
          <w:sz w:val="20"/>
          <w:szCs w:val="20"/>
          <w:lang w:val="en-US"/>
        </w:rPr>
        <w:t xml:space="preserve"> of LC-ADCP and GPC-ADCP are reaching completion.</w:t>
      </w:r>
    </w:p>
    <w:p w:rsidR="001E362A" w:rsidRDefault="001E362A">
      <w:pPr>
        <w:jc w:val="center"/>
        <w:rPr>
          <w:rFonts w:ascii="Verdana" w:eastAsia="Verdana" w:hAnsi="Verdana" w:cs="Verdana"/>
          <w:sz w:val="20"/>
          <w:szCs w:val="20"/>
          <w:lang w:val="en-US"/>
        </w:rPr>
      </w:pPr>
    </w:p>
    <w:p w:rsidR="001E362A" w:rsidRDefault="001E362A">
      <w:pPr>
        <w:jc w:val="center"/>
        <w:rPr>
          <w:rFonts w:ascii="Verdana" w:eastAsia="Verdana" w:hAnsi="Verdana" w:cs="Verdana"/>
          <w:sz w:val="20"/>
          <w:szCs w:val="20"/>
          <w:lang w:val="en-US"/>
        </w:rPr>
      </w:pPr>
    </w:p>
    <w:p w:rsidR="001E362A" w:rsidRDefault="001E362A">
      <w:pPr>
        <w:jc w:val="center"/>
        <w:rPr>
          <w:rFonts w:ascii="Verdana" w:eastAsia="Verdana" w:hAnsi="Verdana" w:cs="Verdana"/>
          <w:sz w:val="20"/>
          <w:szCs w:val="20"/>
          <w:lang w:val="en-US"/>
        </w:rPr>
      </w:pPr>
    </w:p>
    <w:p w:rsidR="001E362A" w:rsidRDefault="00D21212">
      <w:pPr>
        <w:tabs>
          <w:tab w:val="left" w:pos="1440"/>
        </w:tabs>
        <w:rPr>
          <w:rFonts w:ascii="Verdana" w:eastAsia="Verdana" w:hAnsi="Verdana" w:cs="Verdana"/>
          <w:sz w:val="20"/>
          <w:szCs w:val="20"/>
          <w:lang w:val="en-US"/>
        </w:rPr>
      </w:pPr>
      <w:r>
        <w:rPr>
          <w:rFonts w:ascii="Verdana" w:hAnsi="Verdana"/>
          <w:b/>
          <w:bCs/>
          <w:sz w:val="20"/>
          <w:szCs w:val="20"/>
          <w:lang w:val="en-US"/>
        </w:rPr>
        <w:t>Annex(es):</w:t>
      </w:r>
      <w:r>
        <w:rPr>
          <w:rFonts w:ascii="Verdana" w:eastAsia="Verdana" w:hAnsi="Verdana" w:cs="Verdana"/>
          <w:sz w:val="20"/>
          <w:szCs w:val="20"/>
          <w:lang w:val="en-US"/>
        </w:rPr>
        <w:tab/>
        <w:t xml:space="preserve">- </w:t>
      </w:r>
    </w:p>
    <w:p w:rsidR="001E362A" w:rsidRDefault="001E362A">
      <w:pPr>
        <w:tabs>
          <w:tab w:val="left" w:pos="1440"/>
        </w:tabs>
        <w:ind w:left="1800"/>
        <w:rPr>
          <w:rFonts w:ascii="Verdana" w:eastAsia="Verdana" w:hAnsi="Verdana" w:cs="Verdana"/>
          <w:sz w:val="20"/>
          <w:szCs w:val="20"/>
          <w:lang w:val="en-US"/>
        </w:rPr>
      </w:pPr>
    </w:p>
    <w:p w:rsidR="001E362A" w:rsidRDefault="001E362A">
      <w:pPr>
        <w:tabs>
          <w:tab w:val="left" w:pos="1440"/>
        </w:tabs>
        <w:rPr>
          <w:rFonts w:ascii="Verdana" w:eastAsia="Verdana" w:hAnsi="Verdana" w:cs="Verdana"/>
          <w:sz w:val="20"/>
          <w:szCs w:val="20"/>
          <w:lang w:val="en-US"/>
        </w:rPr>
      </w:pPr>
    </w:p>
    <w:p w:rsidR="001E362A" w:rsidRDefault="001E362A">
      <w:pPr>
        <w:tabs>
          <w:tab w:val="left" w:pos="1440"/>
        </w:tabs>
        <w:rPr>
          <w:rFonts w:ascii="Verdana" w:eastAsia="Verdana" w:hAnsi="Verdana" w:cs="Verdana"/>
          <w:sz w:val="20"/>
          <w:szCs w:val="20"/>
          <w:lang w:val="en-US"/>
        </w:rPr>
      </w:pPr>
    </w:p>
    <w:p w:rsidR="006470E9" w:rsidRDefault="006470E9">
      <w:pPr>
        <w:tabs>
          <w:tab w:val="left" w:pos="1440"/>
        </w:tabs>
        <w:rPr>
          <w:rFonts w:ascii="Verdana" w:hAnsi="Verdana"/>
          <w:b/>
          <w:bCs/>
          <w:sz w:val="20"/>
          <w:szCs w:val="20"/>
          <w:lang w:val="en-US"/>
        </w:rPr>
      </w:pPr>
      <w:r>
        <w:rPr>
          <w:rFonts w:ascii="Verdana" w:hAnsi="Verdana"/>
          <w:b/>
          <w:bCs/>
          <w:sz w:val="20"/>
          <w:szCs w:val="20"/>
          <w:lang w:val="en-US"/>
        </w:rPr>
        <w:t xml:space="preserve">Reference(s): </w:t>
      </w:r>
    </w:p>
    <w:p w:rsidR="006470E9" w:rsidRDefault="006470E9">
      <w:pPr>
        <w:tabs>
          <w:tab w:val="left" w:pos="1440"/>
        </w:tabs>
        <w:rPr>
          <w:rFonts w:ascii="Verdana" w:hAnsi="Verdana"/>
          <w:b/>
          <w:bCs/>
          <w:sz w:val="20"/>
          <w:szCs w:val="20"/>
          <w:lang w:val="en-US"/>
        </w:rPr>
      </w:pPr>
    </w:p>
    <w:p w:rsidR="001E362A" w:rsidRPr="006470E9" w:rsidRDefault="006470E9">
      <w:pPr>
        <w:tabs>
          <w:tab w:val="left" w:pos="1440"/>
        </w:tabs>
        <w:rPr>
          <w:rFonts w:ascii="Verdana" w:eastAsia="Verdana" w:hAnsi="Verdana" w:cs="Verdana"/>
          <w:sz w:val="20"/>
          <w:szCs w:val="20"/>
          <w:lang w:val="en-US"/>
        </w:rPr>
        <w:sectPr w:rsidR="001E362A" w:rsidRPr="006470E9">
          <w:headerReference w:type="default" r:id="rId8"/>
          <w:pgSz w:w="11900" w:h="16840"/>
          <w:pgMar w:top="1134" w:right="1134" w:bottom="1134" w:left="1134" w:header="567" w:footer="1134" w:gutter="0"/>
          <w:pgNumType w:start="1"/>
          <w:cols w:space="720"/>
          <w:titlePg/>
        </w:sectPr>
      </w:pPr>
      <w:r>
        <w:rPr>
          <w:rFonts w:ascii="Verdana" w:hAnsi="Verdana"/>
          <w:sz w:val="20"/>
          <w:szCs w:val="20"/>
          <w:lang w:val="en-US"/>
        </w:rPr>
        <w:t xml:space="preserve">GDPFS </w:t>
      </w:r>
      <w:r w:rsidRPr="00B23E96">
        <w:rPr>
          <w:lang w:val="en-US"/>
        </w:rPr>
        <w:t xml:space="preserve">Manual : </w:t>
      </w:r>
      <w:r w:rsidRPr="006470E9">
        <w:rPr>
          <w:lang w:val="en-US"/>
        </w:rPr>
        <w:t>https</w:t>
      </w:r>
      <w:r w:rsidRPr="006470E9">
        <w:rPr>
          <w:rFonts w:ascii="Verdana" w:hAnsi="Verdana"/>
          <w:sz w:val="20"/>
          <w:szCs w:val="20"/>
          <w:lang w:val="en-US"/>
        </w:rPr>
        <w:t>://library.wmo.int/opac/doc_num.php?explnum_id=4246</w:t>
      </w:r>
    </w:p>
    <w:p w:rsidR="001E362A" w:rsidRDefault="001E362A">
      <w:pPr>
        <w:jc w:val="center"/>
        <w:rPr>
          <w:rFonts w:ascii="Verdana" w:eastAsia="Verdana" w:hAnsi="Verdana" w:cs="Verdana"/>
          <w:sz w:val="20"/>
          <w:szCs w:val="20"/>
          <w:lang w:val="en-US"/>
        </w:rPr>
      </w:pPr>
    </w:p>
    <w:p w:rsidR="001E362A" w:rsidRDefault="001E362A">
      <w:pPr>
        <w:rPr>
          <w:rFonts w:ascii="Verdana" w:eastAsia="Verdana" w:hAnsi="Verdana" w:cs="Verdana"/>
          <w:sz w:val="20"/>
          <w:szCs w:val="20"/>
          <w:lang w:val="en-US"/>
        </w:rPr>
      </w:pPr>
    </w:p>
    <w:p w:rsidR="001E362A" w:rsidRDefault="001E362A">
      <w:pPr>
        <w:rPr>
          <w:rFonts w:ascii="Verdana" w:eastAsia="Verdana" w:hAnsi="Verdana" w:cs="Verdana"/>
          <w:sz w:val="20"/>
          <w:szCs w:val="20"/>
          <w:lang w:val="en-US"/>
        </w:rPr>
      </w:pPr>
    </w:p>
    <w:p w:rsidR="001E362A" w:rsidRDefault="00D21212">
      <w:pPr>
        <w:jc w:val="center"/>
        <w:rPr>
          <w:rFonts w:ascii="Verdana" w:eastAsia="Verdana" w:hAnsi="Verdana" w:cs="Verdana"/>
          <w:b/>
          <w:bCs/>
          <w:sz w:val="20"/>
          <w:szCs w:val="20"/>
          <w:lang w:val="en-US"/>
        </w:rPr>
      </w:pPr>
      <w:r>
        <w:rPr>
          <w:rFonts w:ascii="Verdana" w:hAnsi="Verdana"/>
          <w:b/>
          <w:bCs/>
          <w:sz w:val="20"/>
          <w:szCs w:val="20"/>
          <w:lang w:val="en-US"/>
        </w:rPr>
        <w:t>SCOPING/IMPLEMENTATION OF LONGER THAN SEASONAL FORECASTS</w:t>
      </w:r>
      <w:r>
        <w:rPr>
          <w:b/>
          <w:bCs/>
          <w:lang w:val="en-US"/>
        </w:rPr>
        <w:t xml:space="preserve"> </w:t>
      </w:r>
    </w:p>
    <w:p w:rsidR="001E362A" w:rsidRDefault="001E362A">
      <w:pPr>
        <w:jc w:val="center"/>
        <w:rPr>
          <w:rFonts w:ascii="Verdana" w:eastAsia="Verdana" w:hAnsi="Verdana" w:cs="Verdana"/>
          <w:b/>
          <w:bCs/>
          <w:sz w:val="20"/>
          <w:szCs w:val="20"/>
          <w:lang w:val="en-US"/>
        </w:rPr>
      </w:pPr>
    </w:p>
    <w:p w:rsidR="001E362A" w:rsidRDefault="001E362A">
      <w:pPr>
        <w:rPr>
          <w:rFonts w:ascii="Verdana" w:eastAsia="Verdana" w:hAnsi="Verdana" w:cs="Verdana"/>
          <w:b/>
          <w:bCs/>
          <w:sz w:val="20"/>
          <w:szCs w:val="20"/>
          <w:lang w:val="en-US"/>
        </w:rPr>
      </w:pPr>
    </w:p>
    <w:p w:rsidR="001E362A" w:rsidRPr="003F1619" w:rsidRDefault="00D21212">
      <w:pPr>
        <w:numPr>
          <w:ilvl w:val="0"/>
          <w:numId w:val="2"/>
        </w:numPr>
        <w:rPr>
          <w:rFonts w:ascii="Verdana" w:hAnsi="Verdana"/>
          <w:sz w:val="20"/>
          <w:szCs w:val="20"/>
          <w:lang w:val="en-US"/>
        </w:rPr>
      </w:pPr>
      <w:r w:rsidRPr="003F1619">
        <w:rPr>
          <w:rFonts w:ascii="Verdana" w:hAnsi="Verdana"/>
          <w:sz w:val="20"/>
          <w:szCs w:val="20"/>
          <w:lang w:val="en-US"/>
        </w:rPr>
        <w:t>The sub-team has overseen very good progress towards its goal of establishing an operational WMO framework for prediction on annual to decadal timescales, to mirror the existing structures for long-term prediction on seasonal timescales. In summary, this framework has been officially adopted and designated centres are currently being selected.</w:t>
      </w:r>
    </w:p>
    <w:p w:rsidR="001E362A" w:rsidRPr="003F1619" w:rsidRDefault="001E362A">
      <w:pPr>
        <w:rPr>
          <w:rFonts w:ascii="Verdana" w:eastAsia="Verdana" w:hAnsi="Verdana" w:cs="Verdana"/>
          <w:sz w:val="20"/>
          <w:szCs w:val="20"/>
          <w:lang w:val="en-US"/>
        </w:rPr>
      </w:pPr>
    </w:p>
    <w:p w:rsidR="001E362A" w:rsidRPr="003F1619" w:rsidRDefault="00D21212">
      <w:pPr>
        <w:numPr>
          <w:ilvl w:val="0"/>
          <w:numId w:val="2"/>
        </w:numPr>
        <w:rPr>
          <w:rFonts w:ascii="Verdana" w:hAnsi="Verdana"/>
          <w:sz w:val="20"/>
          <w:szCs w:val="20"/>
          <w:lang w:val="en-US"/>
        </w:rPr>
      </w:pPr>
      <w:r w:rsidRPr="003F1619">
        <w:rPr>
          <w:rFonts w:ascii="Verdana" w:hAnsi="Verdana"/>
          <w:sz w:val="20"/>
          <w:szCs w:val="20"/>
          <w:lang w:val="en-US"/>
        </w:rPr>
        <w:t xml:space="preserve">Events since the 2016 Beijing meeting of the Expert Team are as follows.    </w:t>
      </w:r>
    </w:p>
    <w:p w:rsidR="001E362A" w:rsidRPr="003F1619" w:rsidRDefault="001E362A">
      <w:pPr>
        <w:rPr>
          <w:rFonts w:ascii="Verdana" w:eastAsia="Verdana" w:hAnsi="Verdana" w:cs="Verdana"/>
          <w:sz w:val="20"/>
          <w:szCs w:val="20"/>
          <w:lang w:val="en-US"/>
        </w:rPr>
      </w:pPr>
    </w:p>
    <w:p w:rsidR="001E362A" w:rsidRPr="003F1619" w:rsidRDefault="00D21212">
      <w:pPr>
        <w:numPr>
          <w:ilvl w:val="0"/>
          <w:numId w:val="3"/>
        </w:numPr>
        <w:rPr>
          <w:rFonts w:ascii="Verdana" w:hAnsi="Verdana"/>
          <w:sz w:val="20"/>
          <w:szCs w:val="20"/>
          <w:lang w:val="en-US"/>
        </w:rPr>
      </w:pPr>
      <w:r w:rsidRPr="003F1619">
        <w:rPr>
          <w:rFonts w:ascii="Verdana" w:hAnsi="Verdana"/>
          <w:sz w:val="20"/>
          <w:szCs w:val="20"/>
          <w:lang w:val="en-US"/>
        </w:rPr>
        <w:t>An amendment to the GDPFS Manual was tabled at EC-69 (May 17) to include recognition of a Lead Centre for Near Term Climate Prediction (LC-NTCP) and Global Producing Centres for Near Term Climate Prediction (GPC-NTCP). The proposed amendment detailed the roles and responsibilities for each of the LC-NTCP and GPC-NTCP, including the process by which centres can obtain these designations.</w:t>
      </w:r>
    </w:p>
    <w:p w:rsidR="001E362A" w:rsidRPr="003F1619" w:rsidRDefault="001E362A">
      <w:pPr>
        <w:rPr>
          <w:rFonts w:ascii="Verdana" w:eastAsia="Verdana" w:hAnsi="Verdana" w:cs="Verdana"/>
          <w:sz w:val="20"/>
          <w:szCs w:val="20"/>
          <w:lang w:val="en-US"/>
        </w:rPr>
      </w:pPr>
    </w:p>
    <w:p w:rsidR="001E362A" w:rsidRPr="003F1619" w:rsidRDefault="00D21212">
      <w:pPr>
        <w:numPr>
          <w:ilvl w:val="0"/>
          <w:numId w:val="3"/>
        </w:numPr>
        <w:rPr>
          <w:rFonts w:ascii="Verdana" w:hAnsi="Verdana"/>
          <w:sz w:val="20"/>
          <w:szCs w:val="20"/>
          <w:lang w:val="en-US"/>
        </w:rPr>
      </w:pPr>
      <w:r w:rsidRPr="003F1619">
        <w:rPr>
          <w:rFonts w:ascii="Verdana" w:hAnsi="Verdana"/>
          <w:sz w:val="20"/>
          <w:szCs w:val="20"/>
          <w:lang w:val="en-US"/>
        </w:rPr>
        <w:t>EC-69 confirmed these amendments on the condition that the name of the activity - Near Term Climate Prediction (NTCP) - be changed due to potential confusion when this terminology was translated from English into other UN official languages. A change of terminology to Annual to Decadal Climate Prediction (ADCP) was agreed by IPET-OPSLS and adopted in the latest edition of the GDPFS Manual as an editorial amendment after EC-69. The terminology ADCP replaces NTCP in all contexts, resulting in LC-ADCP and GPC-ADCP to refer to designated participants.</w:t>
      </w:r>
    </w:p>
    <w:p w:rsidR="001E362A" w:rsidRPr="003F1619" w:rsidRDefault="001E362A">
      <w:pPr>
        <w:rPr>
          <w:rFonts w:ascii="Verdana" w:eastAsia="Verdana" w:hAnsi="Verdana" w:cs="Verdana"/>
          <w:sz w:val="20"/>
          <w:szCs w:val="20"/>
          <w:lang w:val="en-US"/>
        </w:rPr>
      </w:pPr>
    </w:p>
    <w:p w:rsidR="001E362A" w:rsidRPr="003F1619" w:rsidRDefault="00D21212">
      <w:pPr>
        <w:numPr>
          <w:ilvl w:val="0"/>
          <w:numId w:val="3"/>
        </w:numPr>
        <w:rPr>
          <w:rFonts w:ascii="Verdana" w:hAnsi="Verdana"/>
          <w:sz w:val="20"/>
          <w:szCs w:val="20"/>
          <w:lang w:val="en-US"/>
        </w:rPr>
      </w:pPr>
      <w:r w:rsidRPr="003F1619">
        <w:rPr>
          <w:rFonts w:ascii="Verdana" w:hAnsi="Verdana"/>
          <w:sz w:val="20"/>
          <w:szCs w:val="20"/>
          <w:lang w:val="en-US"/>
        </w:rPr>
        <w:t>A resolution was tabled at EC-69 for the designatio</w:t>
      </w:r>
      <w:r w:rsidR="00DE5261">
        <w:rPr>
          <w:rFonts w:ascii="Verdana" w:hAnsi="Verdana"/>
          <w:sz w:val="20"/>
          <w:szCs w:val="20"/>
          <w:lang w:val="en-US"/>
        </w:rPr>
        <w:t>n of the Met Office (the UK NMHS</w:t>
      </w:r>
      <w:r w:rsidRPr="003F1619">
        <w:rPr>
          <w:rFonts w:ascii="Verdana" w:hAnsi="Verdana"/>
          <w:sz w:val="20"/>
          <w:szCs w:val="20"/>
          <w:lang w:val="en-US"/>
        </w:rPr>
        <w:t>) as LC-NTCP (now referred to as LC-ADCP). This was adopted.</w:t>
      </w:r>
      <w:r w:rsidR="003F1619" w:rsidRPr="003F1619">
        <w:rPr>
          <w:rFonts w:ascii="Verdana" w:hAnsi="Verdana"/>
          <w:sz w:val="20"/>
          <w:szCs w:val="20"/>
          <w:lang w:val="en-US"/>
        </w:rPr>
        <w:t xml:space="preserve"> The Met Office had demonstrated the capability to carry out the defined roles and functions through operation of an informal exchange and display of decadal forecasts for a number of years. </w:t>
      </w:r>
      <w:r w:rsidR="003F1619">
        <w:rPr>
          <w:rFonts w:ascii="Verdana" w:hAnsi="Verdana"/>
          <w:sz w:val="20"/>
          <w:szCs w:val="20"/>
          <w:lang w:val="en-US"/>
        </w:rPr>
        <w:t>It was felt premature (at that time), however, to consider designation of G</w:t>
      </w:r>
      <w:r w:rsidR="006470E9">
        <w:rPr>
          <w:rFonts w:ascii="Verdana" w:hAnsi="Verdana"/>
          <w:sz w:val="20"/>
          <w:szCs w:val="20"/>
          <w:lang w:val="en-US"/>
        </w:rPr>
        <w:t xml:space="preserve">PC-ADCP alongside </w:t>
      </w:r>
      <w:r w:rsidR="003F1619">
        <w:rPr>
          <w:rFonts w:ascii="Verdana" w:hAnsi="Verdana"/>
          <w:sz w:val="20"/>
          <w:szCs w:val="20"/>
          <w:lang w:val="en-US"/>
        </w:rPr>
        <w:t>the definition of</w:t>
      </w:r>
      <w:r w:rsidR="006470E9">
        <w:rPr>
          <w:rFonts w:ascii="Verdana" w:hAnsi="Verdana"/>
          <w:sz w:val="20"/>
          <w:szCs w:val="20"/>
          <w:lang w:val="en-US"/>
        </w:rPr>
        <w:t xml:space="preserve"> roles and functions.</w:t>
      </w:r>
      <w:r w:rsidR="003F1619">
        <w:rPr>
          <w:rFonts w:ascii="Verdana" w:hAnsi="Verdana"/>
          <w:sz w:val="20"/>
          <w:szCs w:val="20"/>
          <w:lang w:val="en-US"/>
        </w:rPr>
        <w:t xml:space="preserve">   </w:t>
      </w:r>
      <w:r w:rsidR="003F1619" w:rsidRPr="003F1619">
        <w:rPr>
          <w:rFonts w:ascii="Verdana" w:hAnsi="Verdana"/>
          <w:sz w:val="20"/>
          <w:szCs w:val="20"/>
          <w:lang w:val="en-US"/>
        </w:rPr>
        <w:t xml:space="preserve"> </w:t>
      </w:r>
      <w:r w:rsidRPr="003F1619">
        <w:rPr>
          <w:rFonts w:ascii="Verdana" w:hAnsi="Verdana"/>
          <w:sz w:val="20"/>
          <w:szCs w:val="20"/>
          <w:lang w:val="en-US"/>
        </w:rPr>
        <w:t xml:space="preserve"> </w:t>
      </w:r>
    </w:p>
    <w:p w:rsidR="001E362A" w:rsidRPr="003F1619" w:rsidRDefault="001E362A">
      <w:pPr>
        <w:rPr>
          <w:rFonts w:ascii="Verdana" w:eastAsia="Verdana" w:hAnsi="Verdana" w:cs="Verdana"/>
          <w:sz w:val="20"/>
          <w:szCs w:val="20"/>
          <w:lang w:val="en-US"/>
        </w:rPr>
      </w:pPr>
    </w:p>
    <w:p w:rsidR="001E362A" w:rsidRPr="00594C05" w:rsidRDefault="006470E9" w:rsidP="00594C05">
      <w:pPr>
        <w:numPr>
          <w:ilvl w:val="0"/>
          <w:numId w:val="3"/>
        </w:numPr>
        <w:rPr>
          <w:rFonts w:ascii="Verdana" w:hAnsi="Verdana"/>
          <w:sz w:val="20"/>
          <w:szCs w:val="20"/>
          <w:lang w:val="en-US"/>
        </w:rPr>
      </w:pPr>
      <w:r>
        <w:rPr>
          <w:rFonts w:ascii="Verdana" w:hAnsi="Verdana"/>
          <w:sz w:val="20"/>
          <w:szCs w:val="20"/>
          <w:lang w:val="en-US"/>
        </w:rPr>
        <w:t>The new edition of the GDPFS M</w:t>
      </w:r>
      <w:r w:rsidR="00D21212" w:rsidRPr="003F1619">
        <w:rPr>
          <w:rFonts w:ascii="Verdana" w:hAnsi="Verdana"/>
          <w:sz w:val="20"/>
          <w:szCs w:val="20"/>
          <w:lang w:val="en-US"/>
        </w:rPr>
        <w:t xml:space="preserve">anual was </w:t>
      </w:r>
      <w:r>
        <w:rPr>
          <w:rFonts w:ascii="Verdana" w:hAnsi="Verdana"/>
          <w:sz w:val="20"/>
          <w:szCs w:val="20"/>
          <w:lang w:val="en-US"/>
        </w:rPr>
        <w:t>published in late 2017 (see references for link)</w:t>
      </w:r>
      <w:r w:rsidR="00D21212" w:rsidRPr="003F1619">
        <w:rPr>
          <w:rFonts w:ascii="Verdana" w:hAnsi="Verdana"/>
          <w:sz w:val="20"/>
          <w:szCs w:val="20"/>
          <w:lang w:val="en-US"/>
        </w:rPr>
        <w:t>. The manual states that it is a function of</w:t>
      </w:r>
      <w:r w:rsidR="00DE5261">
        <w:rPr>
          <w:rFonts w:ascii="Verdana" w:hAnsi="Verdana"/>
          <w:sz w:val="20"/>
          <w:szCs w:val="20"/>
          <w:lang w:val="en-US"/>
        </w:rPr>
        <w:t xml:space="preserve"> the LC-ADCP (the Met Office</w:t>
      </w:r>
      <w:r w:rsidR="00D21212" w:rsidRPr="003F1619">
        <w:rPr>
          <w:rFonts w:ascii="Verdana" w:hAnsi="Verdana"/>
          <w:sz w:val="20"/>
          <w:szCs w:val="20"/>
          <w:lang w:val="en-US"/>
        </w:rPr>
        <w:t xml:space="preserve">) to </w:t>
      </w:r>
      <w:r>
        <w:rPr>
          <w:rFonts w:ascii="Verdana" w:hAnsi="Verdana"/>
          <w:sz w:val="20"/>
          <w:szCs w:val="20"/>
          <w:lang w:val="en-US"/>
        </w:rPr>
        <w:t xml:space="preserve">oversee the </w:t>
      </w:r>
      <w:r w:rsidR="00D21212" w:rsidRPr="003F1619">
        <w:rPr>
          <w:rFonts w:ascii="Verdana" w:hAnsi="Verdana"/>
          <w:sz w:val="20"/>
          <w:szCs w:val="20"/>
          <w:lang w:val="en-US"/>
        </w:rPr>
        <w:t>select</w:t>
      </w:r>
      <w:r>
        <w:rPr>
          <w:rFonts w:ascii="Verdana" w:hAnsi="Verdana"/>
          <w:sz w:val="20"/>
          <w:szCs w:val="20"/>
          <w:lang w:val="en-US"/>
        </w:rPr>
        <w:t>ion of</w:t>
      </w:r>
      <w:r w:rsidR="00D21212" w:rsidRPr="003F1619">
        <w:rPr>
          <w:rFonts w:ascii="Verdana" w:hAnsi="Verdana"/>
          <w:sz w:val="20"/>
          <w:szCs w:val="20"/>
          <w:lang w:val="en-US"/>
        </w:rPr>
        <w:t xml:space="preserve"> GPC-ADCP</w:t>
      </w:r>
      <w:r>
        <w:rPr>
          <w:rFonts w:ascii="Verdana" w:hAnsi="Verdana"/>
          <w:sz w:val="20"/>
          <w:szCs w:val="20"/>
          <w:lang w:val="en-US"/>
        </w:rPr>
        <w:t xml:space="preserve"> </w:t>
      </w:r>
      <w:r w:rsidR="00594C05">
        <w:rPr>
          <w:rFonts w:ascii="Verdana" w:hAnsi="Verdana"/>
          <w:sz w:val="20"/>
          <w:szCs w:val="20"/>
          <w:lang w:val="en-US"/>
        </w:rPr>
        <w:t xml:space="preserve">with the approval of IPET-OPSLS. </w:t>
      </w:r>
      <w:r w:rsidR="00D21212" w:rsidRPr="00594C05">
        <w:rPr>
          <w:rFonts w:ascii="Verdana" w:hAnsi="Verdana"/>
          <w:sz w:val="20"/>
          <w:szCs w:val="20"/>
          <w:lang w:val="en-US"/>
        </w:rPr>
        <w:t xml:space="preserve">LC-ADCP is responsible for assessing whether candidate centres demonstrate the capability to meet the requirements of a GPC-ADCP as specified in the manual. Preliminary applications for GPC-ADCP were considered for endorsement by IPET-OPSLS in 2016, and endorsement was recommended in all cases, pending demonstration by the centres of full compliance with the manual in terms of verification information.   </w:t>
      </w:r>
    </w:p>
    <w:p w:rsidR="001E362A" w:rsidRPr="003F1619" w:rsidRDefault="001E362A">
      <w:pPr>
        <w:rPr>
          <w:rFonts w:ascii="Verdana" w:eastAsia="Verdana" w:hAnsi="Verdana" w:cs="Verdana"/>
          <w:sz w:val="20"/>
          <w:szCs w:val="20"/>
          <w:lang w:val="en-US"/>
        </w:rPr>
      </w:pPr>
    </w:p>
    <w:p w:rsidR="001E362A" w:rsidRDefault="00D21212">
      <w:pPr>
        <w:numPr>
          <w:ilvl w:val="0"/>
          <w:numId w:val="3"/>
        </w:numPr>
        <w:rPr>
          <w:rFonts w:ascii="Verdana" w:hAnsi="Verdana"/>
          <w:sz w:val="20"/>
          <w:szCs w:val="20"/>
          <w:lang w:val="en-US"/>
        </w:rPr>
      </w:pPr>
      <w:r w:rsidRPr="003F1619">
        <w:rPr>
          <w:rFonts w:ascii="Verdana" w:hAnsi="Verdana"/>
          <w:sz w:val="20"/>
          <w:szCs w:val="20"/>
          <w:lang w:val="en-US"/>
        </w:rPr>
        <w:t>LC-ADCP requested full applications for GPC-ADCP status from centres in Spring 2018. So far, full applications for GPC-ADPC designation have been received from the same centres as examined by IPET-OPSLS in 2016 including the LC-ADCP</w:t>
      </w:r>
      <w:r w:rsidR="00AE2F33">
        <w:rPr>
          <w:rFonts w:ascii="Verdana" w:hAnsi="Verdana"/>
          <w:sz w:val="20"/>
          <w:szCs w:val="20"/>
          <w:lang w:val="en-US"/>
        </w:rPr>
        <w:t>, specifically Barcelona, Canada, Offenbach and Exeter</w:t>
      </w:r>
      <w:r w:rsidRPr="003F1619">
        <w:rPr>
          <w:rFonts w:ascii="Verdana" w:hAnsi="Verdana"/>
          <w:sz w:val="20"/>
          <w:szCs w:val="20"/>
          <w:lang w:val="en-US"/>
        </w:rPr>
        <w:t>. Having considered these applications, LC-ADCP recommends each of these for endorsement by IPET-OPSLS, as previous non-compliances have been remedied. Endors</w:t>
      </w:r>
      <w:r w:rsidR="00DE5261">
        <w:rPr>
          <w:rFonts w:ascii="Verdana" w:hAnsi="Verdana"/>
          <w:sz w:val="20"/>
          <w:szCs w:val="20"/>
          <w:lang w:val="en-US"/>
        </w:rPr>
        <w:t xml:space="preserve">ement by IPET-OPSLS will permit CBS to recommend EC </w:t>
      </w:r>
      <w:r w:rsidRPr="003F1619">
        <w:rPr>
          <w:rFonts w:ascii="Verdana" w:hAnsi="Verdana"/>
          <w:sz w:val="20"/>
          <w:szCs w:val="20"/>
          <w:lang w:val="en-US"/>
        </w:rPr>
        <w:t>designate</w:t>
      </w:r>
      <w:r w:rsidR="00DE5261">
        <w:rPr>
          <w:rFonts w:ascii="Verdana" w:hAnsi="Verdana"/>
          <w:sz w:val="20"/>
          <w:szCs w:val="20"/>
          <w:lang w:val="en-US"/>
        </w:rPr>
        <w:t>s</w:t>
      </w:r>
      <w:r w:rsidRPr="003F1619">
        <w:rPr>
          <w:rFonts w:ascii="Verdana" w:hAnsi="Verdana"/>
          <w:sz w:val="20"/>
          <w:szCs w:val="20"/>
          <w:lang w:val="en-US"/>
        </w:rPr>
        <w:t xml:space="preserve"> the centres as GPC-ADCP.</w:t>
      </w:r>
    </w:p>
    <w:p w:rsidR="00AE2F33" w:rsidRDefault="00AE2F33" w:rsidP="00AE2F33">
      <w:pPr>
        <w:pStyle w:val="ListParagraph"/>
        <w:rPr>
          <w:rFonts w:ascii="Verdana" w:hAnsi="Verdana"/>
          <w:sz w:val="20"/>
          <w:szCs w:val="20"/>
          <w:lang w:val="en-US"/>
        </w:rPr>
      </w:pPr>
    </w:p>
    <w:p w:rsidR="00AE2F33" w:rsidRPr="003F1619" w:rsidRDefault="00AE2F33">
      <w:pPr>
        <w:numPr>
          <w:ilvl w:val="0"/>
          <w:numId w:val="3"/>
        </w:numPr>
        <w:rPr>
          <w:rFonts w:ascii="Verdana" w:hAnsi="Verdana"/>
          <w:sz w:val="20"/>
          <w:szCs w:val="20"/>
          <w:lang w:val="en-US"/>
        </w:rPr>
      </w:pPr>
      <w:r>
        <w:rPr>
          <w:rFonts w:ascii="Verdana" w:hAnsi="Verdana"/>
          <w:sz w:val="20"/>
          <w:szCs w:val="20"/>
          <w:lang w:val="en-US"/>
        </w:rPr>
        <w:t xml:space="preserve">The Met Office has made some initial progress in developing the necessary infrastructure for LC-ADCP. Use of dedicated storage at the UK Centre for Environmental Data Analysis (CEDA) has been negotiated to store prediction data from contributing centres. This arrangement has the benefit of providing a stable and well-curated data environment looking years ahead. In addition, first steps have been taken </w:t>
      </w:r>
      <w:r w:rsidR="00DE5261">
        <w:rPr>
          <w:rFonts w:ascii="Verdana" w:hAnsi="Verdana"/>
          <w:sz w:val="20"/>
          <w:szCs w:val="20"/>
          <w:lang w:val="en-US"/>
        </w:rPr>
        <w:t xml:space="preserve">towards developing a website to display individual and multi-model forecasts. Work to finalise these aspects will be complete by December 2018, in time to receive the first forecast data in early 2019.   </w:t>
      </w:r>
      <w:r>
        <w:rPr>
          <w:rFonts w:ascii="Verdana" w:hAnsi="Verdana"/>
          <w:sz w:val="20"/>
          <w:szCs w:val="20"/>
          <w:lang w:val="en-US"/>
        </w:rPr>
        <w:t xml:space="preserve"> </w:t>
      </w:r>
    </w:p>
    <w:p w:rsidR="001E362A" w:rsidRPr="003F1619" w:rsidRDefault="001E362A">
      <w:pPr>
        <w:rPr>
          <w:rFonts w:ascii="Verdana" w:eastAsia="Verdana" w:hAnsi="Verdana" w:cs="Verdana"/>
          <w:sz w:val="20"/>
          <w:szCs w:val="20"/>
          <w:lang w:val="en-US"/>
        </w:rPr>
      </w:pPr>
    </w:p>
    <w:p w:rsidR="001E362A" w:rsidRPr="003F1619" w:rsidRDefault="00D21212">
      <w:pPr>
        <w:numPr>
          <w:ilvl w:val="0"/>
          <w:numId w:val="3"/>
        </w:numPr>
        <w:rPr>
          <w:rFonts w:ascii="Verdana" w:hAnsi="Verdana"/>
          <w:sz w:val="20"/>
          <w:szCs w:val="20"/>
          <w:lang w:val="en-US"/>
        </w:rPr>
      </w:pPr>
      <w:r w:rsidRPr="003F1619">
        <w:rPr>
          <w:rFonts w:ascii="Verdana" w:hAnsi="Verdana"/>
          <w:sz w:val="20"/>
          <w:szCs w:val="20"/>
          <w:lang w:val="en-US"/>
        </w:rPr>
        <w:t xml:space="preserve">With the designation of the LC-ADCP complete and efforts towards the designation of GPC-ADCP well advanced, it is timely to consider the future requirement for ST4. ST4 has been responsible for scoping and then implementation of the operational framework for ADCP (as it has become known). Now this has been established, routine administration of ADCP is the responsibility of LC-ADCP, with oversight from IPET-OPSLS. It is not clear that the task of overseeing the LC-ADCP is sufficiently large to need a specific sub-team. It is proposed, therefore, that this activity is suitable for consideration by IPET-OPSLS in plenary, and that the sub-team be discontinued.                  </w:t>
      </w:r>
    </w:p>
    <w:sectPr w:rsidR="001E362A" w:rsidRPr="003F1619">
      <w:headerReference w:type="default" r:id="rId9"/>
      <w:footerReference w:type="default" r:id="rId10"/>
      <w:headerReference w:type="first" r:id="rId11"/>
      <w:footerReference w:type="first" r:id="rId12"/>
      <w:pgSz w:w="11900" w:h="16840"/>
      <w:pgMar w:top="1134" w:right="1134" w:bottom="1134" w:left="1134"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6A" w:rsidRDefault="00D21212">
      <w:r>
        <w:separator/>
      </w:r>
    </w:p>
  </w:endnote>
  <w:endnote w:type="continuationSeparator" w:id="0">
    <w:p w:rsidR="001A766A" w:rsidRDefault="00D2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2A" w:rsidRDefault="001E362A">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2A" w:rsidRDefault="001E362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6A" w:rsidRDefault="00D21212">
      <w:r>
        <w:separator/>
      </w:r>
    </w:p>
  </w:footnote>
  <w:footnote w:type="continuationSeparator" w:id="0">
    <w:p w:rsidR="001A766A" w:rsidRDefault="00D2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2A" w:rsidRPr="00B23E96" w:rsidRDefault="00D21212">
    <w:pPr>
      <w:pStyle w:val="Header"/>
      <w:jc w:val="right"/>
      <w:rPr>
        <w:lang w:val="en-US"/>
      </w:rPr>
    </w:pPr>
    <w:r>
      <w:rPr>
        <w:lang w:val="pt-PT"/>
      </w:rPr>
      <w:t xml:space="preserve">SG-SWFDP /Doc. n(m), p. </w:t>
    </w:r>
    <w:r>
      <w:rPr>
        <w:lang w:val="pt-PT"/>
      </w:rPr>
      <w:fldChar w:fldCharType="begin"/>
    </w:r>
    <w:r>
      <w:rPr>
        <w:lang w:val="pt-PT"/>
      </w:rPr>
      <w:instrText xml:space="preserve"> PAGE </w:instrText>
    </w:r>
    <w:r>
      <w:rPr>
        <w:lang w:val="pt-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2A" w:rsidRDefault="00B23E96" w:rsidP="00B23E96">
    <w:pPr>
      <w:pStyle w:val="Header"/>
      <w:jc w:val="right"/>
    </w:pPr>
    <w:r>
      <w:rPr>
        <w:rFonts w:ascii="Verdana" w:hAnsi="Verdana"/>
        <w:sz w:val="20"/>
        <w:szCs w:val="20"/>
      </w:rPr>
      <w:t>DPFS/ET-OPSLS/Doc. 4.5</w:t>
    </w:r>
    <w:r>
      <w:rPr>
        <w:rFonts w:ascii="Verdana" w:hAnsi="Verdana"/>
        <w:sz w:val="20"/>
        <w:szCs w:val="20"/>
      </w:rPr>
      <w:t>,</w:t>
    </w:r>
    <w:r w:rsidR="00D21212">
      <w:t xml:space="preserve"> p. </w:t>
    </w:r>
    <w:r w:rsidR="00D21212">
      <w:fldChar w:fldCharType="begin"/>
    </w:r>
    <w:r w:rsidR="00D21212">
      <w:instrText xml:space="preserve"> PAGE </w:instrText>
    </w:r>
    <w:r w:rsidR="00D21212">
      <w:fldChar w:fldCharType="separate"/>
    </w:r>
    <w:r>
      <w:rPr>
        <w:noProof/>
      </w:rPr>
      <w:t>3</w:t>
    </w:r>
    <w:r w:rsidR="00D2121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2A" w:rsidRDefault="00D21212" w:rsidP="00B23E96">
    <w:pPr>
      <w:jc w:val="right"/>
    </w:pPr>
    <w:r>
      <w:rPr>
        <w:rFonts w:ascii="Verdana" w:hAnsi="Verdana"/>
        <w:sz w:val="20"/>
        <w:szCs w:val="20"/>
      </w:rPr>
      <w:t xml:space="preserve">DPFS/ET-OPSLS/Doc. </w:t>
    </w:r>
    <w:r w:rsidR="00B23E96">
      <w:rPr>
        <w:rFonts w:ascii="Verdana" w:hAnsi="Verdana"/>
        <w:sz w:val="20"/>
        <w:szCs w:val="20"/>
      </w:rPr>
      <w:t>4.5</w:t>
    </w:r>
    <w:r>
      <w:rPr>
        <w:rFonts w:ascii="Verdana" w:hAnsi="Verdana"/>
        <w:sz w:val="20"/>
        <w:szCs w:val="20"/>
      </w:rPr>
      <w:t xml:space="preserve">, p. </w:t>
    </w:r>
    <w:r>
      <w:rPr>
        <w:rFonts w:ascii="Verdana" w:eastAsia="Verdana" w:hAnsi="Verdana" w:cs="Verdana"/>
        <w:sz w:val="20"/>
        <w:szCs w:val="20"/>
      </w:rPr>
      <w:fldChar w:fldCharType="begin"/>
    </w:r>
    <w:r>
      <w:rPr>
        <w:rFonts w:ascii="Verdana" w:eastAsia="Verdana" w:hAnsi="Verdana" w:cs="Verdana"/>
        <w:sz w:val="20"/>
        <w:szCs w:val="20"/>
      </w:rPr>
      <w:instrText xml:space="preserve"> PAGE </w:instrText>
    </w:r>
    <w:r>
      <w:rPr>
        <w:rFonts w:ascii="Verdana" w:eastAsia="Verdana" w:hAnsi="Verdana" w:cs="Verdana"/>
        <w:sz w:val="20"/>
        <w:szCs w:val="20"/>
      </w:rPr>
      <w:fldChar w:fldCharType="separate"/>
    </w:r>
    <w:r w:rsidR="00B23E96">
      <w:rPr>
        <w:rFonts w:ascii="Verdana" w:eastAsia="Verdana" w:hAnsi="Verdana" w:cs="Verdana"/>
        <w:noProof/>
        <w:sz w:val="20"/>
        <w:szCs w:val="20"/>
      </w:rPr>
      <w:t>2</w:t>
    </w:r>
    <w:r>
      <w:rPr>
        <w:rFonts w:ascii="Verdana" w:eastAsia="Verdana" w:hAnsi="Verdana" w:cs="Verdana"/>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C60C0"/>
    <w:multiLevelType w:val="hybridMultilevel"/>
    <w:tmpl w:val="F072F766"/>
    <w:styleLink w:val="Numbered"/>
    <w:lvl w:ilvl="0" w:tplc="A5E6D4E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9FC0650">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79146442">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8DD4765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1832A2EC">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C026E70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BC0A568A">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3D3802D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1F86C446">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9F60622"/>
    <w:multiLevelType w:val="hybridMultilevel"/>
    <w:tmpl w:val="F072F766"/>
    <w:numStyleLink w:val="Numbered"/>
  </w:abstractNum>
  <w:num w:numId="1">
    <w:abstractNumId w:val="0"/>
  </w:num>
  <w:num w:numId="2">
    <w:abstractNumId w:val="1"/>
  </w:num>
  <w:num w:numId="3">
    <w:abstractNumId w:val="1"/>
    <w:lvlOverride w:ilvl="0">
      <w:lvl w:ilvl="0" w:tplc="F9DC300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08439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A8B64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EAB47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569D7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3289B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9243FA">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AE263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5CD18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2A"/>
    <w:rsid w:val="001A766A"/>
    <w:rsid w:val="001E362A"/>
    <w:rsid w:val="003F1619"/>
    <w:rsid w:val="00594C05"/>
    <w:rsid w:val="006470E9"/>
    <w:rsid w:val="00AE2F33"/>
    <w:rsid w:val="00B23E96"/>
    <w:rsid w:val="00C910B6"/>
    <w:rsid w:val="00D21212"/>
    <w:rsid w:val="00DB6067"/>
    <w:rsid w:val="00DE52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sz w:val="22"/>
      <w:szCs w:val="22"/>
      <w:u w:color="000000"/>
      <w:lang w:val="fr-FR"/>
    </w:rPr>
  </w:style>
  <w:style w:type="paragraph" w:styleId="Heading5">
    <w:name w:val="heading 5"/>
    <w:next w:val="Normal"/>
    <w:pPr>
      <w:spacing w:before="240" w:after="60"/>
      <w:outlineLvl w:val="4"/>
    </w:pPr>
    <w:rPr>
      <w:rFonts w:ascii="Arial" w:hAnsi="Arial" w:cs="Arial Unicode MS"/>
      <w:b/>
      <w:bCs/>
      <w:i/>
      <w:iCs/>
      <w:color w:val="000000"/>
      <w:sz w:val="26"/>
      <w:szCs w:val="26"/>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2"/>
      <w:szCs w:val="22"/>
      <w:u w:color="000000"/>
      <w:lang w:val="fr-FR"/>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BodyText3">
    <w:name w:val="Body Text 3"/>
    <w:pPr>
      <w:keepNext/>
      <w:keepLines/>
      <w:jc w:val="both"/>
    </w:pPr>
    <w:rPr>
      <w:rFonts w:ascii="Arial" w:eastAsia="Arial" w:hAnsi="Arial" w:cs="Arial"/>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6470E9"/>
    <w:pPr>
      <w:ind w:left="720"/>
      <w:contextualSpacing/>
    </w:pPr>
  </w:style>
  <w:style w:type="paragraph" w:styleId="Footer">
    <w:name w:val="footer"/>
    <w:basedOn w:val="Normal"/>
    <w:link w:val="FooterChar"/>
    <w:uiPriority w:val="99"/>
    <w:unhideWhenUsed/>
    <w:rsid w:val="00B23E96"/>
    <w:pPr>
      <w:tabs>
        <w:tab w:val="center" w:pos="4680"/>
        <w:tab w:val="right" w:pos="9360"/>
      </w:tabs>
    </w:pPr>
  </w:style>
  <w:style w:type="character" w:customStyle="1" w:styleId="FooterChar">
    <w:name w:val="Footer Char"/>
    <w:basedOn w:val="DefaultParagraphFont"/>
    <w:link w:val="Footer"/>
    <w:uiPriority w:val="99"/>
    <w:rsid w:val="00B23E96"/>
    <w:rPr>
      <w:rFonts w:ascii="Arial" w:eastAsia="Arial" w:hAnsi="Arial" w:cs="Arial"/>
      <w:color w:val="000000"/>
      <w:sz w:val="22"/>
      <w:szCs w:val="22"/>
      <w:u w:color="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sz w:val="22"/>
      <w:szCs w:val="22"/>
      <w:u w:color="000000"/>
      <w:lang w:val="fr-FR"/>
    </w:rPr>
  </w:style>
  <w:style w:type="paragraph" w:styleId="Heading5">
    <w:name w:val="heading 5"/>
    <w:next w:val="Normal"/>
    <w:pPr>
      <w:spacing w:before="240" w:after="60"/>
      <w:outlineLvl w:val="4"/>
    </w:pPr>
    <w:rPr>
      <w:rFonts w:ascii="Arial" w:hAnsi="Arial" w:cs="Arial Unicode MS"/>
      <w:b/>
      <w:bCs/>
      <w:i/>
      <w:iCs/>
      <w:color w:val="000000"/>
      <w:sz w:val="26"/>
      <w:szCs w:val="26"/>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2"/>
      <w:szCs w:val="22"/>
      <w:u w:color="000000"/>
      <w:lang w:val="fr-FR"/>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BodyText3">
    <w:name w:val="Body Text 3"/>
    <w:pPr>
      <w:keepNext/>
      <w:keepLines/>
      <w:jc w:val="both"/>
    </w:pPr>
    <w:rPr>
      <w:rFonts w:ascii="Arial" w:eastAsia="Arial" w:hAnsi="Arial" w:cs="Arial"/>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6470E9"/>
    <w:pPr>
      <w:ind w:left="720"/>
      <w:contextualSpacing/>
    </w:pPr>
  </w:style>
  <w:style w:type="paragraph" w:styleId="Footer">
    <w:name w:val="footer"/>
    <w:basedOn w:val="Normal"/>
    <w:link w:val="FooterChar"/>
    <w:uiPriority w:val="99"/>
    <w:unhideWhenUsed/>
    <w:rsid w:val="00B23E96"/>
    <w:pPr>
      <w:tabs>
        <w:tab w:val="center" w:pos="4680"/>
        <w:tab w:val="right" w:pos="9360"/>
      </w:tabs>
    </w:pPr>
  </w:style>
  <w:style w:type="character" w:customStyle="1" w:styleId="FooterChar">
    <w:name w:val="Footer Char"/>
    <w:basedOn w:val="DefaultParagraphFont"/>
    <w:link w:val="Footer"/>
    <w:uiPriority w:val="99"/>
    <w:rsid w:val="00B23E96"/>
    <w:rPr>
      <w:rFonts w:ascii="Arial" w:eastAsia="Arial" w:hAnsi="Arial" w:cs="Arial"/>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Gomez</dc:creator>
  <cp:lastModifiedBy>Pascale Gomez</cp:lastModifiedBy>
  <cp:revision>2</cp:revision>
  <dcterms:created xsi:type="dcterms:W3CDTF">2018-05-28T09:52:00Z</dcterms:created>
  <dcterms:modified xsi:type="dcterms:W3CDTF">2018-05-28T09:52:00Z</dcterms:modified>
</cp:coreProperties>
</file>