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6C4984">
        <w:tc>
          <w:tcPr>
            <w:tcW w:w="5070" w:type="dxa"/>
          </w:tcPr>
          <w:p w:rsidR="00EC7FD3" w:rsidRPr="00C10CBB" w:rsidRDefault="00EC7FD3" w:rsidP="00AA4585">
            <w:pPr>
              <w:pStyle w:val="Heading1"/>
              <w:rPr>
                <w:color w:val="000000"/>
              </w:rPr>
            </w:pPr>
            <w:r w:rsidRPr="00C10CBB">
              <w:rPr>
                <w:color w:val="000000"/>
              </w:rPr>
              <w:t>WORLD METEOROLOGICAL ORGANIZATION</w:t>
            </w:r>
          </w:p>
          <w:p w:rsidR="00EC7FD3" w:rsidRPr="00C10CBB" w:rsidRDefault="00EC7FD3" w:rsidP="00AA4585">
            <w:pPr>
              <w:pStyle w:val="Heading1"/>
              <w:rPr>
                <w:color w:val="000000"/>
              </w:rPr>
            </w:pPr>
          </w:p>
          <w:p w:rsidR="00EC7FD3" w:rsidRPr="00C10CBB" w:rsidRDefault="00EC7FD3" w:rsidP="00AA4585">
            <w:pPr>
              <w:pStyle w:val="Heading1"/>
              <w:rPr>
                <w:color w:val="000000"/>
              </w:rPr>
            </w:pPr>
          </w:p>
          <w:p w:rsidR="00EC7FD3" w:rsidRPr="00C10CBB" w:rsidRDefault="00EC7FD3" w:rsidP="00AA4585">
            <w:pPr>
              <w:pStyle w:val="Heading1"/>
              <w:rPr>
                <w:color w:val="000000"/>
              </w:rPr>
            </w:pPr>
            <w:r w:rsidRPr="00C10CBB">
              <w:rPr>
                <w:color w:val="000000"/>
              </w:rPr>
              <w:t>COMMISSION FOR BASIC SYSTEMS</w:t>
            </w:r>
            <w:r w:rsidRPr="00C10CBB">
              <w:rPr>
                <w:color w:val="000000"/>
              </w:rPr>
              <w:br/>
              <w:t>OPAG on DPFS</w:t>
            </w:r>
          </w:p>
          <w:p w:rsidR="00EC7FD3" w:rsidRPr="00C10CBB" w:rsidRDefault="00EC7FD3" w:rsidP="00AA4585">
            <w:pPr>
              <w:pStyle w:val="Heading1"/>
              <w:rPr>
                <w:color w:val="000000"/>
              </w:rPr>
            </w:pPr>
          </w:p>
          <w:p w:rsidR="00B6267F" w:rsidRPr="00B21BFB" w:rsidRDefault="00B6267F" w:rsidP="00AA4585">
            <w:pPr>
              <w:pStyle w:val="Title"/>
              <w:spacing w:line="0" w:lineRule="atLeast"/>
              <w:rPr>
                <w:rFonts w:cs="Arial"/>
                <w:caps/>
              </w:rPr>
            </w:pPr>
            <w:r w:rsidRPr="00B21BFB">
              <w:rPr>
                <w:rFonts w:cs="Arial"/>
                <w:caps/>
              </w:rPr>
              <w:t xml:space="preserve">Meeting of the </w:t>
            </w:r>
            <w:r w:rsidR="00E01777">
              <w:rPr>
                <w:rFonts w:cs="Arial"/>
                <w:caps/>
              </w:rPr>
              <w:t xml:space="preserve">cbs/ccl inter-programme </w:t>
            </w:r>
            <w:r w:rsidRPr="00B21BFB">
              <w:rPr>
                <w:rFonts w:cs="Arial"/>
                <w:caps/>
              </w:rPr>
              <w:t>Expert Team on Operational Prediction from</w:t>
            </w:r>
          </w:p>
          <w:p w:rsidR="00B6267F" w:rsidRPr="00B21BFB" w:rsidRDefault="00B6267F" w:rsidP="00AA4585">
            <w:pPr>
              <w:pStyle w:val="Title"/>
              <w:spacing w:line="0" w:lineRule="atLeast"/>
              <w:rPr>
                <w:rFonts w:cs="Arial"/>
                <w:caps/>
                <w:lang w:eastAsia="zh-CN"/>
              </w:rPr>
            </w:pPr>
            <w:r w:rsidRPr="00B21BFB">
              <w:rPr>
                <w:rFonts w:cs="Arial"/>
                <w:caps/>
              </w:rPr>
              <w:t>Sub-seasonal to Longer-time Scales</w:t>
            </w:r>
          </w:p>
          <w:p w:rsidR="00EC7FD3" w:rsidRPr="00B6267F" w:rsidRDefault="00EC7FD3" w:rsidP="00AA4585">
            <w:pPr>
              <w:pStyle w:val="BodyTextIndent"/>
              <w:spacing w:after="0"/>
              <w:jc w:val="center"/>
              <w:rPr>
                <w:snapToGrid w:val="0"/>
                <w:color w:val="000000"/>
                <w:lang w:val="en-GB"/>
              </w:rPr>
            </w:pPr>
          </w:p>
          <w:p w:rsidR="00EC7FD3" w:rsidRPr="00C10CBB" w:rsidRDefault="001C40E4" w:rsidP="00AA4585">
            <w:pPr>
              <w:pStyle w:val="BodyTextIndent"/>
              <w:spacing w:after="0"/>
              <w:jc w:val="center"/>
              <w:rPr>
                <w:snapToGrid w:val="0"/>
                <w:color w:val="000000"/>
              </w:rPr>
            </w:pPr>
            <w:r>
              <w:rPr>
                <w:snapToGrid w:val="0"/>
                <w:color w:val="000000"/>
              </w:rPr>
              <w:t>B</w:t>
            </w:r>
            <w:r w:rsidR="00314F9D">
              <w:rPr>
                <w:snapToGrid w:val="0"/>
                <w:color w:val="000000"/>
              </w:rPr>
              <w:t>arcelona, Spain</w:t>
            </w:r>
            <w:r>
              <w:rPr>
                <w:snapToGrid w:val="0"/>
                <w:color w:val="000000"/>
              </w:rPr>
              <w:t xml:space="preserve">, </w:t>
            </w:r>
            <w:r w:rsidR="00314F9D">
              <w:rPr>
                <w:snapToGrid w:val="0"/>
                <w:color w:val="000000"/>
              </w:rPr>
              <w:t xml:space="preserve">2-6 </w:t>
            </w:r>
            <w:proofErr w:type="spellStart"/>
            <w:r w:rsidR="00314F9D">
              <w:rPr>
                <w:snapToGrid w:val="0"/>
                <w:color w:val="000000"/>
              </w:rPr>
              <w:t>June</w:t>
            </w:r>
            <w:proofErr w:type="spellEnd"/>
            <w:r w:rsidR="00314F9D">
              <w:rPr>
                <w:snapToGrid w:val="0"/>
                <w:color w:val="000000"/>
              </w:rPr>
              <w:t xml:space="preserve"> 2018</w:t>
            </w:r>
          </w:p>
          <w:p w:rsidR="00EC7FD3" w:rsidRPr="00C10CBB" w:rsidRDefault="00EC7FD3" w:rsidP="00AA4585">
            <w:pPr>
              <w:pStyle w:val="BodyTextIndent"/>
              <w:spacing w:after="0"/>
              <w:jc w:val="center"/>
              <w:rPr>
                <w:bCs/>
                <w:caps/>
              </w:rPr>
            </w:pPr>
          </w:p>
        </w:tc>
        <w:tc>
          <w:tcPr>
            <w:tcW w:w="567" w:type="dxa"/>
          </w:tcPr>
          <w:p w:rsidR="00EC7FD3" w:rsidRPr="00C10CBB" w:rsidRDefault="00EC7FD3" w:rsidP="00873580">
            <w:pPr>
              <w:jc w:val="both"/>
              <w:rPr>
                <w:color w:val="000000"/>
              </w:rPr>
            </w:pPr>
          </w:p>
        </w:tc>
        <w:tc>
          <w:tcPr>
            <w:tcW w:w="4218" w:type="dxa"/>
          </w:tcPr>
          <w:p w:rsidR="00EC7FD3" w:rsidRPr="004A5C05" w:rsidRDefault="00EC7FD3" w:rsidP="00873580">
            <w:pPr>
              <w:jc w:val="both"/>
              <w:rPr>
                <w:color w:val="000000"/>
                <w:lang w:val="en-US"/>
              </w:rPr>
            </w:pPr>
            <w:r w:rsidRPr="004A5C05">
              <w:rPr>
                <w:color w:val="000000"/>
                <w:lang w:val="en-US"/>
              </w:rPr>
              <w:t>CBS-DPFS/</w:t>
            </w:r>
            <w:r w:rsidR="00314F9D" w:rsidRPr="004A5C05">
              <w:rPr>
                <w:color w:val="000000"/>
                <w:lang w:val="en-US"/>
              </w:rPr>
              <w:t>IPET</w:t>
            </w:r>
            <w:r w:rsidRPr="004A5C05">
              <w:rPr>
                <w:color w:val="000000"/>
                <w:lang w:val="en-US"/>
              </w:rPr>
              <w:t>-</w:t>
            </w:r>
            <w:r w:rsidR="00B6267F" w:rsidRPr="004A5C05">
              <w:rPr>
                <w:color w:val="000000"/>
                <w:lang w:val="en-US"/>
              </w:rPr>
              <w:t>OPSLS</w:t>
            </w:r>
            <w:r w:rsidRPr="004A5C05">
              <w:rPr>
                <w:color w:val="000000"/>
                <w:lang w:val="en-US"/>
              </w:rPr>
              <w:t xml:space="preserve"> /Doc. </w:t>
            </w:r>
            <w:r w:rsidR="004A5C05">
              <w:rPr>
                <w:color w:val="000000"/>
                <w:lang w:val="en-US"/>
              </w:rPr>
              <w:t>4</w:t>
            </w:r>
            <w:r w:rsidRPr="004A5C05">
              <w:rPr>
                <w:color w:val="000000"/>
                <w:lang w:val="en-US"/>
              </w:rPr>
              <w:t>.</w:t>
            </w:r>
            <w:r w:rsidR="004A5C05">
              <w:rPr>
                <w:color w:val="000000"/>
                <w:lang w:val="en-US"/>
              </w:rPr>
              <w:t>6</w:t>
            </w:r>
          </w:p>
          <w:p w:rsidR="00EC7FD3" w:rsidRPr="004A5C05" w:rsidRDefault="00EC7FD3" w:rsidP="00873580">
            <w:pPr>
              <w:jc w:val="both"/>
              <w:rPr>
                <w:color w:val="000000"/>
                <w:lang w:val="en-US"/>
              </w:rPr>
            </w:pPr>
          </w:p>
          <w:p w:rsidR="00EC7FD3" w:rsidRPr="00EC7FD3" w:rsidRDefault="00EC7FD3" w:rsidP="00873580">
            <w:pPr>
              <w:jc w:val="both"/>
              <w:rPr>
                <w:color w:val="000000"/>
                <w:lang w:val="en-US"/>
              </w:rPr>
            </w:pPr>
            <w:r w:rsidRPr="00EC7FD3">
              <w:rPr>
                <w:color w:val="000000"/>
                <w:lang w:val="en-US"/>
              </w:rPr>
              <w:t>(</w:t>
            </w:r>
            <w:r w:rsidR="0043651A">
              <w:rPr>
                <w:color w:val="000000"/>
                <w:lang w:val="en-US"/>
              </w:rPr>
              <w:t>31</w:t>
            </w:r>
            <w:r w:rsidRPr="00EC7FD3">
              <w:rPr>
                <w:color w:val="000000"/>
                <w:lang w:val="en-US"/>
              </w:rPr>
              <w:t>.</w:t>
            </w:r>
            <w:r w:rsidR="00173C09">
              <w:rPr>
                <w:color w:val="000000"/>
                <w:lang w:val="en-US"/>
              </w:rPr>
              <w:t>05</w:t>
            </w:r>
            <w:r w:rsidRPr="00EC7FD3">
              <w:rPr>
                <w:color w:val="000000"/>
                <w:lang w:val="en-US"/>
              </w:rPr>
              <w:t>.201</w:t>
            </w:r>
            <w:r w:rsidR="00173C09">
              <w:rPr>
                <w:color w:val="000000"/>
                <w:lang w:val="en-US"/>
              </w:rPr>
              <w:t>8</w:t>
            </w:r>
            <w:r w:rsidRPr="00EC7FD3">
              <w:rPr>
                <w:color w:val="000000"/>
                <w:lang w:val="en-US"/>
              </w:rPr>
              <w:t>)</w:t>
            </w:r>
          </w:p>
          <w:p w:rsidR="00EC7FD3" w:rsidRPr="00EC7FD3" w:rsidRDefault="00EC7FD3" w:rsidP="00873580">
            <w:pPr>
              <w:jc w:val="both"/>
              <w:rPr>
                <w:color w:val="000000"/>
                <w:lang w:val="en-US"/>
              </w:rPr>
            </w:pPr>
            <w:r w:rsidRPr="00EC7FD3">
              <w:rPr>
                <w:color w:val="000000"/>
                <w:lang w:val="en-US"/>
              </w:rPr>
              <w:t>_______</w:t>
            </w:r>
          </w:p>
          <w:p w:rsidR="00EC7FD3" w:rsidRPr="00EC7FD3" w:rsidRDefault="00EC7FD3" w:rsidP="00873580">
            <w:pPr>
              <w:jc w:val="both"/>
              <w:rPr>
                <w:color w:val="000000"/>
                <w:lang w:val="en-US"/>
              </w:rPr>
            </w:pPr>
          </w:p>
          <w:p w:rsidR="00EC7FD3" w:rsidRPr="00EC7FD3" w:rsidRDefault="00EC7FD3" w:rsidP="00873580">
            <w:pPr>
              <w:jc w:val="both"/>
              <w:rPr>
                <w:color w:val="000000"/>
                <w:lang w:val="en-US"/>
              </w:rPr>
            </w:pPr>
            <w:r w:rsidRPr="00EC7FD3">
              <w:rPr>
                <w:color w:val="000000"/>
                <w:lang w:val="en-US"/>
              </w:rPr>
              <w:t xml:space="preserve">Agenda item : </w:t>
            </w:r>
            <w:r w:rsidR="004A5C05">
              <w:rPr>
                <w:color w:val="000000"/>
                <w:lang w:val="en-US"/>
              </w:rPr>
              <w:t>4</w:t>
            </w:r>
            <w:r>
              <w:rPr>
                <w:color w:val="000000"/>
                <w:lang w:val="en-US"/>
              </w:rPr>
              <w:t>.</w:t>
            </w:r>
            <w:r w:rsidR="004A5C05">
              <w:rPr>
                <w:color w:val="000000"/>
                <w:lang w:val="en-US"/>
              </w:rPr>
              <w:t>6</w:t>
            </w:r>
          </w:p>
          <w:p w:rsidR="00EC7FD3" w:rsidRPr="00EC7FD3" w:rsidRDefault="00EC7FD3" w:rsidP="00873580">
            <w:pPr>
              <w:jc w:val="both"/>
              <w:rPr>
                <w:color w:val="000000"/>
                <w:lang w:val="en-US"/>
              </w:rPr>
            </w:pPr>
          </w:p>
          <w:p w:rsidR="00EC7FD3" w:rsidRPr="00EC7FD3" w:rsidRDefault="00EC7FD3" w:rsidP="00873580">
            <w:pPr>
              <w:jc w:val="both"/>
              <w:rPr>
                <w:color w:val="000000"/>
                <w:lang w:val="en-US"/>
              </w:rPr>
            </w:pPr>
          </w:p>
          <w:p w:rsidR="00EC7FD3" w:rsidRPr="00EC7FD3" w:rsidRDefault="00EC7FD3" w:rsidP="00873580">
            <w:pPr>
              <w:jc w:val="both"/>
              <w:rPr>
                <w:color w:val="000000"/>
                <w:lang w:val="en-US"/>
              </w:rPr>
            </w:pPr>
          </w:p>
          <w:p w:rsidR="00EC7FD3" w:rsidRPr="00EC7FD3" w:rsidRDefault="00EC7FD3" w:rsidP="00873580">
            <w:pPr>
              <w:jc w:val="both"/>
              <w:rPr>
                <w:color w:val="000000"/>
                <w:lang w:val="en-US"/>
              </w:rPr>
            </w:pPr>
          </w:p>
          <w:p w:rsidR="00EC7FD3" w:rsidRPr="00EC7FD3" w:rsidRDefault="00EC7FD3" w:rsidP="00873580">
            <w:pPr>
              <w:jc w:val="both"/>
              <w:rPr>
                <w:color w:val="000000"/>
                <w:lang w:val="en-US"/>
              </w:rPr>
            </w:pPr>
            <w:r w:rsidRPr="00EC7FD3">
              <w:rPr>
                <w:color w:val="000000"/>
                <w:lang w:val="en-US"/>
              </w:rPr>
              <w:t>ENGLISH ONLY</w:t>
            </w:r>
          </w:p>
        </w:tc>
      </w:tr>
    </w:tbl>
    <w:p w:rsidR="00EC7FD3" w:rsidRDefault="00EC7FD3" w:rsidP="00873580">
      <w:pPr>
        <w:pStyle w:val="BodyText3"/>
        <w:ind w:left="851" w:right="849"/>
        <w:rPr>
          <w:b/>
        </w:rPr>
      </w:pPr>
    </w:p>
    <w:p w:rsidR="00B6267F" w:rsidRDefault="00B6267F" w:rsidP="00873580">
      <w:pPr>
        <w:pStyle w:val="BodyText3"/>
        <w:ind w:left="851" w:right="849"/>
        <w:rPr>
          <w:b/>
        </w:rPr>
      </w:pPr>
    </w:p>
    <w:p w:rsidR="00B6267F" w:rsidRDefault="00B6267F" w:rsidP="00873580">
      <w:pPr>
        <w:pStyle w:val="BodyText3"/>
        <w:ind w:left="851" w:right="849"/>
        <w:rPr>
          <w:b/>
        </w:rPr>
      </w:pPr>
    </w:p>
    <w:p w:rsidR="00BD1D23" w:rsidRDefault="00D342B6" w:rsidP="006C4984">
      <w:pPr>
        <w:pStyle w:val="BodyText3"/>
        <w:ind w:left="851" w:right="849"/>
        <w:jc w:val="center"/>
        <w:rPr>
          <w:b/>
        </w:rPr>
      </w:pPr>
      <w:r>
        <w:rPr>
          <w:b/>
        </w:rPr>
        <w:t>STATUS OF GSCU</w:t>
      </w:r>
    </w:p>
    <w:p w:rsidR="00FB62A5" w:rsidRPr="003B56C6" w:rsidRDefault="00FB62A5" w:rsidP="006C4984">
      <w:pPr>
        <w:pStyle w:val="BodyText3"/>
        <w:ind w:left="851" w:right="849"/>
        <w:jc w:val="center"/>
        <w:rPr>
          <w:b/>
        </w:rPr>
      </w:pPr>
    </w:p>
    <w:p w:rsidR="00BD1D23" w:rsidRPr="003B56C6" w:rsidRDefault="00BD1D23" w:rsidP="006C4984">
      <w:pPr>
        <w:pStyle w:val="Title"/>
        <w:spacing w:line="360" w:lineRule="auto"/>
        <w:ind w:left="851" w:right="849"/>
        <w:rPr>
          <w:rFonts w:cs="Arial"/>
          <w:b w:val="0"/>
          <w:i/>
        </w:rPr>
      </w:pPr>
      <w:r w:rsidRPr="003B56C6">
        <w:rPr>
          <w:rFonts w:cs="Arial"/>
          <w:b w:val="0"/>
          <w:i/>
        </w:rPr>
        <w:t xml:space="preserve">(Submitted by </w:t>
      </w:r>
      <w:proofErr w:type="spellStart"/>
      <w:r w:rsidR="00870D99">
        <w:rPr>
          <w:rFonts w:cs="Arial"/>
          <w:b w:val="0"/>
          <w:i/>
        </w:rPr>
        <w:t>Rupa</w:t>
      </w:r>
      <w:proofErr w:type="spellEnd"/>
      <w:r w:rsidR="00870D99">
        <w:rPr>
          <w:rFonts w:cs="Arial"/>
          <w:b w:val="0"/>
          <w:i/>
        </w:rPr>
        <w:t xml:space="preserve"> Kumar </w:t>
      </w:r>
      <w:proofErr w:type="spellStart"/>
      <w:r w:rsidR="00870D99">
        <w:rPr>
          <w:rFonts w:cs="Arial"/>
          <w:b w:val="0"/>
          <w:i/>
        </w:rPr>
        <w:t>Kolli</w:t>
      </w:r>
      <w:proofErr w:type="spellEnd"/>
      <w:r w:rsidR="00CA58F9">
        <w:rPr>
          <w:rFonts w:cs="Arial"/>
          <w:b w:val="0"/>
          <w:i/>
        </w:rPr>
        <w:t xml:space="preserve"> and Atsushi </w:t>
      </w:r>
      <w:proofErr w:type="spellStart"/>
      <w:r w:rsidR="00CA58F9">
        <w:rPr>
          <w:rFonts w:cs="Arial"/>
          <w:b w:val="0"/>
          <w:i/>
        </w:rPr>
        <w:t>Goto</w:t>
      </w:r>
      <w:proofErr w:type="spellEnd"/>
      <w:r w:rsidR="00FB62A5" w:rsidRPr="00FB62A5">
        <w:rPr>
          <w:rFonts w:cs="Arial"/>
          <w:b w:val="0"/>
          <w:i/>
        </w:rPr>
        <w:t xml:space="preserve">, </w:t>
      </w:r>
      <w:r w:rsidR="00870D99">
        <w:rPr>
          <w:rFonts w:cs="Arial"/>
          <w:b w:val="0"/>
          <w:i/>
        </w:rPr>
        <w:t>WMO Secretariat</w:t>
      </w:r>
      <w:r w:rsidRPr="003B56C6">
        <w:rPr>
          <w:rFonts w:cs="Arial"/>
          <w:b w:val="0"/>
          <w:i/>
        </w:rPr>
        <w:t>)</w:t>
      </w:r>
    </w:p>
    <w:p w:rsidR="00BD1D23" w:rsidRPr="004A5C05" w:rsidRDefault="00BD1D23" w:rsidP="00873580">
      <w:pPr>
        <w:ind w:right="-1"/>
        <w:jc w:val="both"/>
        <w:rPr>
          <w:rFonts w:cs="Arial"/>
          <w:lang w:val="en-US"/>
        </w:rPr>
      </w:pPr>
    </w:p>
    <w:p w:rsidR="00BD1D23" w:rsidRPr="004A5C05" w:rsidRDefault="00BD1D23" w:rsidP="00873580">
      <w:pPr>
        <w:ind w:right="-1"/>
        <w:jc w:val="both"/>
        <w:rPr>
          <w:rFonts w:cs="Arial"/>
          <w:lang w:val="en-US"/>
        </w:rPr>
      </w:pPr>
    </w:p>
    <w:p w:rsidR="00BD1D23" w:rsidRPr="004A5C05" w:rsidRDefault="00BD1D23" w:rsidP="00873580">
      <w:pPr>
        <w:ind w:right="-1"/>
        <w:jc w:val="both"/>
        <w:rPr>
          <w:rFonts w:cs="Arial"/>
          <w:lang w:val="en-US"/>
        </w:rPr>
      </w:pPr>
    </w:p>
    <w:p w:rsidR="00BD1D23" w:rsidRPr="004A5C05" w:rsidRDefault="00BD1D23" w:rsidP="00873580">
      <w:pPr>
        <w:ind w:right="-1"/>
        <w:jc w:val="both"/>
        <w:rPr>
          <w:rFonts w:cs="Arial"/>
          <w:lang w:val="en-US"/>
        </w:rPr>
      </w:pPr>
    </w:p>
    <w:p w:rsidR="00BD1D23" w:rsidRPr="003B56C6" w:rsidRDefault="00BD1D23" w:rsidP="006C4984">
      <w:pPr>
        <w:pStyle w:val="Heading5"/>
        <w:jc w:val="center"/>
        <w:rPr>
          <w:rFonts w:cs="Arial"/>
          <w:i w:val="0"/>
          <w:sz w:val="22"/>
          <w:szCs w:val="22"/>
          <w:lang w:val="en-US"/>
        </w:rPr>
      </w:pPr>
      <w:r w:rsidRPr="003B56C6">
        <w:rPr>
          <w:rFonts w:cs="Arial"/>
          <w:i w:val="0"/>
          <w:sz w:val="22"/>
          <w:szCs w:val="22"/>
          <w:lang w:val="en-US"/>
        </w:rPr>
        <w:t>Summary and purpose of document</w:t>
      </w:r>
    </w:p>
    <w:p w:rsidR="00BD1D23" w:rsidRPr="003B56C6" w:rsidRDefault="00BD1D23" w:rsidP="00873580">
      <w:pPr>
        <w:jc w:val="both"/>
        <w:rPr>
          <w:rFonts w:cs="Arial"/>
          <w:lang w:val="en-US"/>
        </w:rPr>
      </w:pPr>
    </w:p>
    <w:p w:rsidR="00BD1D23" w:rsidRPr="003B56C6" w:rsidRDefault="00BD1D23" w:rsidP="00873580">
      <w:pPr>
        <w:jc w:val="both"/>
        <w:rPr>
          <w:rFonts w:cs="Arial"/>
          <w:lang w:val="en-US"/>
        </w:rPr>
      </w:pPr>
    </w:p>
    <w:p w:rsidR="00BD1D23" w:rsidRPr="003B56C6" w:rsidRDefault="00BD1D23" w:rsidP="00873580">
      <w:pPr>
        <w:pBdr>
          <w:top w:val="single" w:sz="4" w:space="1" w:color="auto"/>
        </w:pBdr>
        <w:ind w:left="1418" w:right="1416"/>
        <w:jc w:val="both"/>
        <w:rPr>
          <w:rFonts w:cs="Arial"/>
          <w:b/>
          <w:lang w:val="en-US"/>
        </w:rPr>
      </w:pPr>
    </w:p>
    <w:p w:rsidR="00BD1D23" w:rsidRPr="003B56C6" w:rsidRDefault="00FB62A5" w:rsidP="00873580">
      <w:pPr>
        <w:pStyle w:val="BodyText3"/>
        <w:tabs>
          <w:tab w:val="left" w:pos="9214"/>
        </w:tabs>
        <w:ind w:left="1418" w:right="1416"/>
      </w:pPr>
      <w:r w:rsidRPr="00FB62A5">
        <w:t xml:space="preserve">The document provides </w:t>
      </w:r>
      <w:r w:rsidR="00B56B53">
        <w:t>an</w:t>
      </w:r>
      <w:r w:rsidR="00D45DF9">
        <w:t xml:space="preserve"> overview of the trial phase of the WMO Global Seasonal Climate Update (GSCU) </w:t>
      </w:r>
      <w:r w:rsidR="00AB2313">
        <w:t xml:space="preserve">done since </w:t>
      </w:r>
      <w:r w:rsidR="00CD29D9">
        <w:t>2015</w:t>
      </w:r>
      <w:r w:rsidR="00081360">
        <w:t xml:space="preserve">, including </w:t>
      </w:r>
      <w:r w:rsidR="00EA5E26">
        <w:t>comments and sugges</w:t>
      </w:r>
      <w:r w:rsidR="00C503FA">
        <w:t>tions provided from relevant exp</w:t>
      </w:r>
      <w:r w:rsidR="00EA5E26">
        <w:t xml:space="preserve">erts during this phase. </w:t>
      </w:r>
    </w:p>
    <w:p w:rsidR="00BD1D23" w:rsidRPr="003B56C6" w:rsidRDefault="00BD1D23" w:rsidP="00873580">
      <w:pPr>
        <w:pBdr>
          <w:bottom w:val="single" w:sz="4" w:space="1" w:color="auto"/>
        </w:pBdr>
        <w:ind w:left="1418" w:right="1416"/>
        <w:jc w:val="both"/>
        <w:rPr>
          <w:rFonts w:cs="Arial"/>
          <w:lang w:val="en-US"/>
        </w:rPr>
      </w:pPr>
    </w:p>
    <w:p w:rsidR="00BD1D23" w:rsidRPr="003B56C6" w:rsidRDefault="00BD1D23" w:rsidP="00873580">
      <w:pPr>
        <w:pStyle w:val="BodyText3"/>
        <w:tabs>
          <w:tab w:val="left" w:pos="9214"/>
        </w:tabs>
        <w:ind w:left="1418" w:right="1416"/>
        <w:rPr>
          <w:b/>
        </w:rPr>
      </w:pPr>
    </w:p>
    <w:p w:rsidR="00BD1D23" w:rsidRPr="003B56C6" w:rsidRDefault="00BD1D23" w:rsidP="00873580">
      <w:pPr>
        <w:pStyle w:val="BodyText3"/>
        <w:tabs>
          <w:tab w:val="left" w:pos="9214"/>
        </w:tabs>
        <w:ind w:left="1418" w:right="1416"/>
        <w:rPr>
          <w:b/>
        </w:rPr>
      </w:pPr>
    </w:p>
    <w:p w:rsidR="00BD1D23" w:rsidRPr="003B56C6" w:rsidRDefault="00BD1D23" w:rsidP="006C4984">
      <w:pPr>
        <w:pStyle w:val="Heading5"/>
        <w:jc w:val="center"/>
        <w:rPr>
          <w:rFonts w:cs="Arial"/>
          <w:i w:val="0"/>
          <w:sz w:val="22"/>
          <w:szCs w:val="22"/>
          <w:lang w:val="en-US"/>
        </w:rPr>
      </w:pPr>
      <w:r w:rsidRPr="003B56C6">
        <w:rPr>
          <w:rFonts w:cs="Arial"/>
          <w:i w:val="0"/>
          <w:sz w:val="22"/>
          <w:szCs w:val="22"/>
          <w:lang w:val="en-US"/>
        </w:rPr>
        <w:t>Action Proposed</w:t>
      </w:r>
    </w:p>
    <w:p w:rsidR="00BD1D23" w:rsidRPr="003B56C6" w:rsidRDefault="00BD1D23" w:rsidP="00873580">
      <w:pPr>
        <w:jc w:val="both"/>
        <w:rPr>
          <w:rFonts w:cs="Arial"/>
          <w:lang w:val="en-US"/>
        </w:rPr>
      </w:pPr>
    </w:p>
    <w:p w:rsidR="00BD1D23" w:rsidRPr="003B56C6" w:rsidRDefault="00BD1D23" w:rsidP="00873580">
      <w:pPr>
        <w:jc w:val="both"/>
        <w:rPr>
          <w:rFonts w:cs="Arial"/>
          <w:lang w:val="en-US"/>
        </w:rPr>
      </w:pPr>
      <w:r w:rsidRPr="003B56C6">
        <w:rPr>
          <w:rFonts w:cs="Arial"/>
          <w:lang w:val="en-US"/>
        </w:rPr>
        <w:t>The meeting is invited to</w:t>
      </w:r>
      <w:r w:rsidR="00FB62A5">
        <w:rPr>
          <w:rFonts w:cs="Arial"/>
          <w:lang w:val="en-US"/>
        </w:rPr>
        <w:t xml:space="preserve"> </w:t>
      </w:r>
      <w:r w:rsidR="00FB62A5" w:rsidRPr="004A5C05">
        <w:rPr>
          <w:lang w:val="en-US"/>
        </w:rPr>
        <w:t xml:space="preserve">note the </w:t>
      </w:r>
      <w:r w:rsidR="00222EE0">
        <w:rPr>
          <w:lang w:val="en-US"/>
        </w:rPr>
        <w:t xml:space="preserve">current status of the GSCU and also invited to </w:t>
      </w:r>
      <w:r w:rsidR="00226851">
        <w:rPr>
          <w:lang w:val="en-US"/>
        </w:rPr>
        <w:t>provide guidance on</w:t>
      </w:r>
      <w:r w:rsidR="00222EE0">
        <w:rPr>
          <w:lang w:val="en-US"/>
        </w:rPr>
        <w:t xml:space="preserve"> address</w:t>
      </w:r>
      <w:r w:rsidR="00226851">
        <w:rPr>
          <w:lang w:val="en-US"/>
        </w:rPr>
        <w:t>ing</w:t>
      </w:r>
      <w:r w:rsidR="00222EE0">
        <w:rPr>
          <w:lang w:val="en-US"/>
        </w:rPr>
        <w:t xml:space="preserve"> some challenges that were pointed out through the trial phase</w:t>
      </w:r>
      <w:r w:rsidR="00CA58F9">
        <w:rPr>
          <w:lang w:val="en-US"/>
        </w:rPr>
        <w:t>, guide operational implementation of GSCU</w:t>
      </w:r>
      <w:r w:rsidR="00074787">
        <w:rPr>
          <w:lang w:val="en-US"/>
        </w:rPr>
        <w:t xml:space="preserve"> and to support development of the user guide of the GSCU</w:t>
      </w:r>
      <w:r w:rsidR="00222EE0">
        <w:rPr>
          <w:lang w:val="en-US"/>
        </w:rPr>
        <w:t xml:space="preserve">. </w:t>
      </w:r>
    </w:p>
    <w:p w:rsidR="00147267" w:rsidRPr="003B56C6" w:rsidRDefault="00147267" w:rsidP="00873580">
      <w:pPr>
        <w:jc w:val="both"/>
        <w:rPr>
          <w:rFonts w:cs="Arial"/>
          <w:lang w:val="en-US"/>
        </w:rPr>
      </w:pPr>
    </w:p>
    <w:p w:rsidR="00BD1D23" w:rsidRPr="003B56C6" w:rsidRDefault="00BD1D23" w:rsidP="00873580">
      <w:pPr>
        <w:jc w:val="both"/>
        <w:rPr>
          <w:rFonts w:cs="Arial"/>
          <w:lang w:val="en-US"/>
        </w:rPr>
      </w:pPr>
    </w:p>
    <w:p w:rsidR="00123308" w:rsidRPr="003B56C6" w:rsidRDefault="00123308" w:rsidP="00873580">
      <w:pPr>
        <w:jc w:val="both"/>
        <w:rPr>
          <w:rFonts w:cs="Arial"/>
          <w:lang w:val="en-US"/>
        </w:rPr>
      </w:pPr>
    </w:p>
    <w:p w:rsidR="00123308" w:rsidRPr="003B56C6" w:rsidRDefault="00123308" w:rsidP="00873580">
      <w:pPr>
        <w:tabs>
          <w:tab w:val="left" w:pos="1440"/>
        </w:tabs>
        <w:jc w:val="both"/>
        <w:rPr>
          <w:rFonts w:cs="Arial"/>
          <w:lang w:val="en-US"/>
        </w:rPr>
      </w:pPr>
      <w:r w:rsidRPr="003B56C6">
        <w:rPr>
          <w:rFonts w:cs="Arial"/>
          <w:b/>
          <w:lang w:val="en-US"/>
        </w:rPr>
        <w:t>Annex(</w:t>
      </w:r>
      <w:proofErr w:type="spellStart"/>
      <w:r w:rsidRPr="003B56C6">
        <w:rPr>
          <w:rFonts w:cs="Arial"/>
          <w:b/>
          <w:lang w:val="en-US"/>
        </w:rPr>
        <w:t>es</w:t>
      </w:r>
      <w:proofErr w:type="spellEnd"/>
      <w:r w:rsidRPr="003B56C6">
        <w:rPr>
          <w:rFonts w:cs="Arial"/>
          <w:b/>
          <w:lang w:val="en-US"/>
        </w:rPr>
        <w:t>):</w:t>
      </w:r>
      <w:r w:rsidR="004334D1">
        <w:rPr>
          <w:rFonts w:cs="Arial"/>
          <w:lang w:val="en-US"/>
        </w:rPr>
        <w:tab/>
        <w:t xml:space="preserve">- </w:t>
      </w:r>
      <w:r w:rsidR="00615650">
        <w:rPr>
          <w:rFonts w:cs="Arial"/>
          <w:lang w:val="en-US"/>
        </w:rPr>
        <w:t xml:space="preserve">The summary of </w:t>
      </w:r>
      <w:r w:rsidR="00615650" w:rsidRPr="00615650">
        <w:rPr>
          <w:rFonts w:cs="Arial"/>
          <w:lang w:val="en-US"/>
        </w:rPr>
        <w:t>the peer review in 2015</w:t>
      </w:r>
    </w:p>
    <w:p w:rsidR="00123308" w:rsidRPr="003B56C6" w:rsidRDefault="00123308" w:rsidP="00873580">
      <w:pPr>
        <w:tabs>
          <w:tab w:val="left" w:pos="1440"/>
        </w:tabs>
        <w:ind w:left="1800"/>
        <w:jc w:val="both"/>
        <w:rPr>
          <w:rFonts w:cs="Arial"/>
          <w:lang w:val="en-US"/>
        </w:rPr>
      </w:pPr>
    </w:p>
    <w:p w:rsidR="00123308" w:rsidRPr="003B56C6" w:rsidRDefault="00123308" w:rsidP="00873580">
      <w:pPr>
        <w:tabs>
          <w:tab w:val="left" w:pos="1440"/>
        </w:tabs>
        <w:jc w:val="both"/>
        <w:rPr>
          <w:rFonts w:cs="Arial"/>
          <w:lang w:val="en-US"/>
        </w:rPr>
      </w:pPr>
    </w:p>
    <w:p w:rsidR="004A0C12" w:rsidRDefault="00123308" w:rsidP="00873580">
      <w:pPr>
        <w:tabs>
          <w:tab w:val="left" w:pos="1440"/>
        </w:tabs>
        <w:jc w:val="both"/>
        <w:rPr>
          <w:rFonts w:cs="Arial"/>
          <w:lang w:val="en-US"/>
        </w:rPr>
      </w:pPr>
      <w:r w:rsidRPr="003B56C6">
        <w:rPr>
          <w:rFonts w:cs="Arial"/>
          <w:b/>
          <w:lang w:val="en-US"/>
        </w:rPr>
        <w:t>Reference(s):</w:t>
      </w:r>
      <w:r w:rsidRPr="003B56C6">
        <w:rPr>
          <w:rFonts w:cs="Arial"/>
          <w:lang w:val="en-US"/>
        </w:rPr>
        <w:tab/>
      </w:r>
      <w:r w:rsidR="000C4244">
        <w:rPr>
          <w:rFonts w:cs="Arial"/>
          <w:lang w:val="en-US"/>
        </w:rPr>
        <w:t xml:space="preserve"> </w:t>
      </w:r>
    </w:p>
    <w:p w:rsidR="004426DF" w:rsidRPr="004A0C12" w:rsidRDefault="004A0C12" w:rsidP="004A0C12">
      <w:pPr>
        <w:pStyle w:val="ListParagraph"/>
        <w:numPr>
          <w:ilvl w:val="0"/>
          <w:numId w:val="27"/>
        </w:numPr>
        <w:tabs>
          <w:tab w:val="left" w:pos="1440"/>
        </w:tabs>
        <w:jc w:val="both"/>
        <w:rPr>
          <w:rFonts w:cs="Arial"/>
          <w:lang w:val="en-US"/>
        </w:rPr>
      </w:pPr>
      <w:r w:rsidRPr="004A0C12">
        <w:rPr>
          <w:rFonts w:cs="Arial"/>
          <w:lang w:val="en-US"/>
        </w:rPr>
        <w:t>Decision 28 (EC-68) on Operational Implementation of a Global Seasonal Climate Update</w:t>
      </w:r>
    </w:p>
    <w:p w:rsidR="004A0C12" w:rsidRPr="004A0C12" w:rsidRDefault="004A0C12" w:rsidP="004A0C12">
      <w:pPr>
        <w:pStyle w:val="ListParagraph"/>
        <w:numPr>
          <w:ilvl w:val="0"/>
          <w:numId w:val="27"/>
        </w:numPr>
        <w:tabs>
          <w:tab w:val="left" w:pos="1440"/>
        </w:tabs>
        <w:jc w:val="both"/>
        <w:rPr>
          <w:rFonts w:cs="Arial"/>
          <w:lang w:val="en-US"/>
        </w:rPr>
      </w:pPr>
      <w:r w:rsidRPr="004A0C12">
        <w:rPr>
          <w:rFonts w:cs="Arial"/>
          <w:lang w:val="en-US"/>
        </w:rPr>
        <w:t>Decision 10 (EC-69) on Climate Services Information System Products to Support United Nations System Planning and WMO Members on Seasonal to Inter-Annual Timescales</w:t>
      </w:r>
    </w:p>
    <w:p w:rsidR="00123308" w:rsidRPr="004A0C12" w:rsidRDefault="004A0C12" w:rsidP="004A0C12">
      <w:pPr>
        <w:pStyle w:val="ListParagraph"/>
        <w:numPr>
          <w:ilvl w:val="0"/>
          <w:numId w:val="27"/>
        </w:numPr>
        <w:tabs>
          <w:tab w:val="left" w:pos="1440"/>
        </w:tabs>
        <w:jc w:val="both"/>
        <w:rPr>
          <w:rFonts w:cs="Arial"/>
          <w:lang w:val="en-US"/>
        </w:rPr>
      </w:pPr>
      <w:r w:rsidRPr="004A0C12">
        <w:rPr>
          <w:rFonts w:cs="Arial"/>
          <w:lang w:val="en-US"/>
        </w:rPr>
        <w:t>Recommendation 5.2/2 (CCl-17) on Global Seasonal Climate Update Operationalization</w:t>
      </w:r>
    </w:p>
    <w:p w:rsidR="00BD1D23" w:rsidRPr="003B56C6" w:rsidRDefault="00BD1D23" w:rsidP="00873580">
      <w:pPr>
        <w:tabs>
          <w:tab w:val="left" w:pos="1440"/>
        </w:tabs>
        <w:jc w:val="both"/>
        <w:rPr>
          <w:rFonts w:cs="Arial"/>
          <w:lang w:val="en-US"/>
        </w:rPr>
        <w:sectPr w:rsidR="00BD1D23" w:rsidRPr="003B56C6"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CE7858" w:rsidRPr="00223B43" w:rsidRDefault="007801D8" w:rsidP="006C4984">
      <w:pPr>
        <w:jc w:val="center"/>
        <w:rPr>
          <w:rFonts w:cs="Arial"/>
          <w:b/>
          <w:lang w:val="en-US"/>
        </w:rPr>
      </w:pPr>
      <w:r>
        <w:rPr>
          <w:rFonts w:cs="Arial"/>
          <w:b/>
          <w:lang w:val="en-US"/>
        </w:rPr>
        <w:lastRenderedPageBreak/>
        <w:t>STATUS</w:t>
      </w:r>
      <w:bookmarkStart w:id="0" w:name="_GoBack"/>
      <w:bookmarkEnd w:id="0"/>
      <w:r>
        <w:rPr>
          <w:rFonts w:cs="Arial"/>
          <w:b/>
          <w:lang w:val="en-US"/>
        </w:rPr>
        <w:t xml:space="preserve"> OF GSCU</w:t>
      </w:r>
    </w:p>
    <w:p w:rsidR="00CE7858" w:rsidRPr="00B13845" w:rsidRDefault="00CE7858" w:rsidP="00873580">
      <w:pPr>
        <w:jc w:val="both"/>
        <w:rPr>
          <w:i/>
          <w:sz w:val="24"/>
          <w:szCs w:val="24"/>
          <w:lang w:val="en-US"/>
        </w:rPr>
      </w:pPr>
    </w:p>
    <w:p w:rsidR="00B13845" w:rsidRPr="00B13845" w:rsidRDefault="00B13845" w:rsidP="00873580">
      <w:pPr>
        <w:jc w:val="both"/>
        <w:rPr>
          <w:lang w:val="en-US"/>
        </w:rPr>
      </w:pPr>
    </w:p>
    <w:p w:rsidR="00B13845" w:rsidRPr="00B13845" w:rsidRDefault="00B13845" w:rsidP="00873580">
      <w:pPr>
        <w:jc w:val="both"/>
        <w:rPr>
          <w:b/>
          <w:lang w:val="en-US"/>
        </w:rPr>
      </w:pPr>
      <w:r w:rsidRPr="00B13845">
        <w:rPr>
          <w:b/>
          <w:lang w:val="en-US"/>
        </w:rPr>
        <w:t>1.</w:t>
      </w:r>
      <w:r w:rsidRPr="00B13845">
        <w:rPr>
          <w:b/>
          <w:lang w:val="en-US"/>
        </w:rPr>
        <w:tab/>
      </w:r>
      <w:r w:rsidR="007A333E" w:rsidRPr="007A333E">
        <w:rPr>
          <w:b/>
          <w:lang w:val="en-US"/>
        </w:rPr>
        <w:t>Introduction</w:t>
      </w:r>
    </w:p>
    <w:p w:rsidR="00B13845" w:rsidRPr="00B13845" w:rsidRDefault="00B13845" w:rsidP="00873580">
      <w:pPr>
        <w:jc w:val="both"/>
        <w:rPr>
          <w:lang w:val="en-US"/>
        </w:rPr>
      </w:pPr>
    </w:p>
    <w:p w:rsidR="00E15308" w:rsidRDefault="00E15308" w:rsidP="00873580">
      <w:pPr>
        <w:jc w:val="both"/>
        <w:rPr>
          <w:lang w:val="en-US"/>
        </w:rPr>
      </w:pPr>
      <w:r>
        <w:rPr>
          <w:lang w:val="en-US"/>
        </w:rPr>
        <w:t>T</w:t>
      </w:r>
      <w:r w:rsidRPr="00E15308">
        <w:rPr>
          <w:lang w:val="en-US"/>
        </w:rPr>
        <w:t>he World Meteorological Organization (WMO), through its Commission for Climatology (</w:t>
      </w:r>
      <w:proofErr w:type="spellStart"/>
      <w:r w:rsidRPr="00E15308">
        <w:rPr>
          <w:lang w:val="en-US"/>
        </w:rPr>
        <w:t>CCl</w:t>
      </w:r>
      <w:proofErr w:type="spellEnd"/>
      <w:r w:rsidRPr="00E15308">
        <w:rPr>
          <w:lang w:val="en-US"/>
        </w:rPr>
        <w:t xml:space="preserve">), has progressed with the trial phase of the Global Seasonal Climate Updates (GSCU) and the </w:t>
      </w:r>
      <w:proofErr w:type="spellStart"/>
      <w:r w:rsidR="00CA58F9" w:rsidRPr="00E15308">
        <w:rPr>
          <w:lang w:val="en-US"/>
        </w:rPr>
        <w:t>CCl</w:t>
      </w:r>
      <w:proofErr w:type="spellEnd"/>
      <w:r w:rsidR="00CA58F9" w:rsidRPr="00CA58F9">
        <w:rPr>
          <w:lang w:val="en-US"/>
        </w:rPr>
        <w:t xml:space="preserve"> </w:t>
      </w:r>
      <w:r w:rsidR="00CA58F9" w:rsidRPr="00E15308">
        <w:rPr>
          <w:lang w:val="en-US"/>
        </w:rPr>
        <w:t>Task Team on GSCU (TT-GSCU)</w:t>
      </w:r>
      <w:r w:rsidR="00CA58F9">
        <w:rPr>
          <w:lang w:val="en-US"/>
        </w:rPr>
        <w:t>,</w:t>
      </w:r>
      <w:r w:rsidR="00CA58F9" w:rsidRPr="00E15308">
        <w:rPr>
          <w:lang w:val="en-US"/>
        </w:rPr>
        <w:t xml:space="preserve"> in close collaboration with a </w:t>
      </w:r>
      <w:r w:rsidRPr="00E15308">
        <w:rPr>
          <w:lang w:val="en-US"/>
        </w:rPr>
        <w:t>Commission for Basic Systems (CBS)-</w:t>
      </w:r>
      <w:proofErr w:type="spellStart"/>
      <w:r w:rsidRPr="00E15308">
        <w:rPr>
          <w:lang w:val="en-US"/>
        </w:rPr>
        <w:t>CCl</w:t>
      </w:r>
      <w:proofErr w:type="spellEnd"/>
      <w:r w:rsidRPr="00E15308">
        <w:rPr>
          <w:lang w:val="en-US"/>
        </w:rPr>
        <w:t xml:space="preserve"> Inter-</w:t>
      </w:r>
      <w:proofErr w:type="spellStart"/>
      <w:r w:rsidRPr="00E15308">
        <w:rPr>
          <w:lang w:val="en-US"/>
        </w:rPr>
        <w:t>Programme</w:t>
      </w:r>
      <w:proofErr w:type="spellEnd"/>
      <w:r w:rsidRPr="00E15308">
        <w:rPr>
          <w:lang w:val="en-US"/>
        </w:rPr>
        <w:t xml:space="preserve"> Expert Team on Operational Prediction from Sub-seasonal to Longer-time Scales (IPET-OPSLS),   has produced a number of updates</w:t>
      </w:r>
      <w:r w:rsidR="00CA58F9">
        <w:rPr>
          <w:lang w:val="en-US"/>
        </w:rPr>
        <w:t xml:space="preserve"> in near-real time </w:t>
      </w:r>
      <w:r w:rsidRPr="00E15308">
        <w:rPr>
          <w:lang w:val="en-US"/>
        </w:rPr>
        <w:t xml:space="preserve"> to evaluate the content as well as operational requirements</w:t>
      </w:r>
      <w:r w:rsidR="003D3990">
        <w:rPr>
          <w:lang w:val="en-US"/>
        </w:rPr>
        <w:t xml:space="preserve"> since 2015</w:t>
      </w:r>
      <w:r w:rsidRPr="00E15308">
        <w:rPr>
          <w:lang w:val="en-US"/>
        </w:rPr>
        <w:t xml:space="preserve">. </w:t>
      </w:r>
    </w:p>
    <w:p w:rsidR="00E15308" w:rsidRPr="00E15308" w:rsidRDefault="00E15308" w:rsidP="00873580">
      <w:pPr>
        <w:jc w:val="both"/>
        <w:rPr>
          <w:lang w:val="en-US"/>
        </w:rPr>
      </w:pPr>
    </w:p>
    <w:p w:rsidR="00E15308" w:rsidRPr="00E15308" w:rsidRDefault="00E15308" w:rsidP="00873580">
      <w:pPr>
        <w:jc w:val="both"/>
        <w:rPr>
          <w:lang w:val="en-US"/>
        </w:rPr>
      </w:pPr>
      <w:r w:rsidRPr="00E15308">
        <w:rPr>
          <w:lang w:val="en-US"/>
        </w:rPr>
        <w:t xml:space="preserve">The WMO Executive Council, at its Sixty Ninth Session (Geneva, May 2018), decided to strengthen the consolidated and effective provision and utilization of GSCU to be made available on regular basis as products of the Climate Service Information System (CSIS) to the relevant, regional and national entities, including those of the United Nations system, for their reference and planning, as part of the implementation of the Global Framework for Climate Services (GFCS). </w:t>
      </w:r>
    </w:p>
    <w:p w:rsidR="003E6793" w:rsidRDefault="003E6793" w:rsidP="00873580">
      <w:pPr>
        <w:jc w:val="both"/>
        <w:rPr>
          <w:lang w:val="en-US"/>
        </w:rPr>
      </w:pPr>
    </w:p>
    <w:p w:rsidR="00E15308" w:rsidRDefault="00E15308" w:rsidP="00D07254">
      <w:pPr>
        <w:jc w:val="both"/>
        <w:rPr>
          <w:lang w:val="en-US"/>
        </w:rPr>
      </w:pPr>
      <w:r w:rsidRPr="00E15308">
        <w:rPr>
          <w:lang w:val="en-US"/>
        </w:rPr>
        <w:t xml:space="preserve">Furthermore, </w:t>
      </w:r>
      <w:proofErr w:type="spellStart"/>
      <w:r w:rsidRPr="00E15308">
        <w:rPr>
          <w:lang w:val="en-US"/>
        </w:rPr>
        <w:t>CCl</w:t>
      </w:r>
      <w:proofErr w:type="spellEnd"/>
      <w:r w:rsidRPr="00E15308">
        <w:rPr>
          <w:lang w:val="en-US"/>
        </w:rPr>
        <w:t xml:space="preserve">, at its Seventeenth Session (Geneva, April 2018), decided to refine and finalize the content, production and delivery process of the Update and invited </w:t>
      </w:r>
      <w:r w:rsidR="00A10A92">
        <w:rPr>
          <w:lang w:val="en-US"/>
        </w:rPr>
        <w:t>t</w:t>
      </w:r>
      <w:r w:rsidRPr="00E15308">
        <w:rPr>
          <w:lang w:val="en-US"/>
        </w:rPr>
        <w:t>he</w:t>
      </w:r>
      <w:r w:rsidR="00A369E0">
        <w:rPr>
          <w:lang w:val="en-US"/>
        </w:rPr>
        <w:t xml:space="preserve"> WMO Lead Centre for Long-Range </w:t>
      </w:r>
      <w:r w:rsidRPr="00E15308">
        <w:rPr>
          <w:lang w:val="en-US"/>
        </w:rPr>
        <w:t xml:space="preserve">Forecast Multi-Model Ensemble (LC-LRFMME) jointly coordinated by </w:t>
      </w:r>
      <w:r w:rsidR="00D07254">
        <w:rPr>
          <w:lang w:val="en-US"/>
        </w:rPr>
        <w:t xml:space="preserve">the </w:t>
      </w:r>
      <w:r w:rsidR="00D07254" w:rsidRPr="00D07254">
        <w:rPr>
          <w:lang w:val="en-US"/>
        </w:rPr>
        <w:t>National Oceanographic and Atmospheric Administra</w:t>
      </w:r>
      <w:r w:rsidR="00D07254">
        <w:rPr>
          <w:lang w:val="en-US"/>
        </w:rPr>
        <w:t>t</w:t>
      </w:r>
      <w:r w:rsidR="00D07254" w:rsidRPr="00D07254">
        <w:rPr>
          <w:lang w:val="en-US"/>
        </w:rPr>
        <w:t>ion (NOAA)</w:t>
      </w:r>
      <w:r w:rsidRPr="00E15308">
        <w:rPr>
          <w:lang w:val="en-US"/>
        </w:rPr>
        <w:t xml:space="preserve"> and Korea Meteorological Administration (KMA) to integrate GSCU production and dissemination into the LC-LRFMME operational schedule, and ensure timely provision of all relevant products and supplementary information to be included therein, and provide a mechanism for collecting and considering feedback from GSCU users. </w:t>
      </w:r>
    </w:p>
    <w:p w:rsidR="00E15308" w:rsidRDefault="00E15308" w:rsidP="00873580">
      <w:pPr>
        <w:jc w:val="both"/>
        <w:rPr>
          <w:lang w:val="en-US"/>
        </w:rPr>
      </w:pPr>
    </w:p>
    <w:p w:rsidR="000E72C8" w:rsidRDefault="000E72C8" w:rsidP="00873580">
      <w:pPr>
        <w:jc w:val="both"/>
        <w:rPr>
          <w:lang w:val="en-US"/>
        </w:rPr>
      </w:pPr>
    </w:p>
    <w:p w:rsidR="000E72C8" w:rsidRPr="00B13845" w:rsidRDefault="000E72C8" w:rsidP="00873580">
      <w:pPr>
        <w:jc w:val="both"/>
        <w:rPr>
          <w:b/>
          <w:lang w:val="en-US"/>
        </w:rPr>
      </w:pPr>
      <w:r>
        <w:rPr>
          <w:b/>
          <w:lang w:val="en-US"/>
        </w:rPr>
        <w:t>2</w:t>
      </w:r>
      <w:r w:rsidRPr="00B13845">
        <w:rPr>
          <w:b/>
          <w:lang w:val="en-US"/>
        </w:rPr>
        <w:t>.</w:t>
      </w:r>
      <w:r w:rsidRPr="00B13845">
        <w:rPr>
          <w:b/>
          <w:lang w:val="en-US"/>
        </w:rPr>
        <w:tab/>
      </w:r>
      <w:r w:rsidR="001B0632">
        <w:rPr>
          <w:b/>
          <w:lang w:val="en-US"/>
        </w:rPr>
        <w:t>Summary of reviews during the trial phase</w:t>
      </w:r>
    </w:p>
    <w:p w:rsidR="000E72C8" w:rsidRPr="00B13845" w:rsidRDefault="000E72C8" w:rsidP="00873580">
      <w:pPr>
        <w:jc w:val="both"/>
        <w:rPr>
          <w:lang w:val="en-US"/>
        </w:rPr>
      </w:pPr>
    </w:p>
    <w:p w:rsidR="00166615" w:rsidRDefault="00F302AF" w:rsidP="00827DF8">
      <w:pPr>
        <w:jc w:val="both"/>
        <w:rPr>
          <w:lang w:val="en-US"/>
        </w:rPr>
      </w:pPr>
      <w:r>
        <w:rPr>
          <w:lang w:val="en-US"/>
        </w:rPr>
        <w:t>Through the trial phase of the GSCU, relevant experts have</w:t>
      </w:r>
      <w:r w:rsidR="007D0C05">
        <w:rPr>
          <w:lang w:val="en-US"/>
        </w:rPr>
        <w:t xml:space="preserve"> reviewed the trial version of the GSCU and </w:t>
      </w:r>
      <w:r>
        <w:rPr>
          <w:lang w:val="en-US"/>
        </w:rPr>
        <w:t xml:space="preserve">provide </w:t>
      </w:r>
      <w:r w:rsidR="00E61B68">
        <w:rPr>
          <w:lang w:val="en-US"/>
        </w:rPr>
        <w:t xml:space="preserve">a lot of </w:t>
      </w:r>
      <w:r w:rsidR="00BB2907">
        <w:rPr>
          <w:lang w:val="en-US"/>
        </w:rPr>
        <w:t xml:space="preserve">their comments and suggestions to improve the </w:t>
      </w:r>
      <w:r w:rsidR="00BB2907" w:rsidRPr="00E15308">
        <w:rPr>
          <w:lang w:val="en-US"/>
        </w:rPr>
        <w:t xml:space="preserve">content </w:t>
      </w:r>
      <w:r w:rsidR="00BB2907">
        <w:rPr>
          <w:lang w:val="en-US"/>
        </w:rPr>
        <w:t xml:space="preserve">of the GSCU </w:t>
      </w:r>
      <w:r w:rsidR="00BB2907" w:rsidRPr="00E15308">
        <w:rPr>
          <w:lang w:val="en-US"/>
        </w:rPr>
        <w:t>as well as operational requirements</w:t>
      </w:r>
      <w:r w:rsidR="00BB2907">
        <w:rPr>
          <w:lang w:val="en-US"/>
        </w:rPr>
        <w:t xml:space="preserve">. </w:t>
      </w:r>
      <w:r w:rsidR="00B23EA3">
        <w:rPr>
          <w:lang w:val="en-US"/>
        </w:rPr>
        <w:t xml:space="preserve">The peer review done in summer 2015 is </w:t>
      </w:r>
      <w:r w:rsidR="00515606">
        <w:rPr>
          <w:lang w:val="en-US"/>
        </w:rPr>
        <w:t xml:space="preserve">also </w:t>
      </w:r>
      <w:r w:rsidR="005E6E9F">
        <w:rPr>
          <w:lang w:val="en-US"/>
        </w:rPr>
        <w:t>included</w:t>
      </w:r>
      <w:r w:rsidR="00515606">
        <w:rPr>
          <w:lang w:val="en-US"/>
        </w:rPr>
        <w:t xml:space="preserve"> in this process</w:t>
      </w:r>
      <w:r w:rsidR="009B38D2">
        <w:rPr>
          <w:lang w:val="en-US"/>
        </w:rPr>
        <w:t>, in which members of ET-OPSLS, ET-RCCs, TT-RCOFs, TT-GSCU</w:t>
      </w:r>
      <w:r w:rsidR="00827DF8">
        <w:rPr>
          <w:lang w:val="en-US"/>
        </w:rPr>
        <w:t xml:space="preserve">, </w:t>
      </w:r>
      <w:r w:rsidR="001B679A">
        <w:rPr>
          <w:lang w:val="en-US"/>
        </w:rPr>
        <w:t xml:space="preserve">RCC/RCOF coordinators </w:t>
      </w:r>
      <w:r w:rsidR="00827DF8">
        <w:rPr>
          <w:lang w:val="en-US"/>
        </w:rPr>
        <w:t xml:space="preserve">and </w:t>
      </w:r>
      <w:proofErr w:type="spellStart"/>
      <w:r w:rsidR="00827DF8">
        <w:rPr>
          <w:lang w:val="en-US"/>
        </w:rPr>
        <w:t>CCl</w:t>
      </w:r>
      <w:proofErr w:type="spellEnd"/>
      <w:r w:rsidR="00827DF8">
        <w:rPr>
          <w:lang w:val="en-US"/>
        </w:rPr>
        <w:t xml:space="preserve"> Management Group </w:t>
      </w:r>
      <w:r w:rsidR="001B679A">
        <w:rPr>
          <w:lang w:val="en-US"/>
        </w:rPr>
        <w:t>have participated</w:t>
      </w:r>
      <w:r w:rsidR="005E6E9F">
        <w:rPr>
          <w:lang w:val="en-US"/>
        </w:rPr>
        <w:t xml:space="preserve">. </w:t>
      </w:r>
    </w:p>
    <w:p w:rsidR="007D0C05" w:rsidRDefault="007D0C05" w:rsidP="00873580">
      <w:pPr>
        <w:jc w:val="both"/>
        <w:rPr>
          <w:lang w:val="en-US"/>
        </w:rPr>
      </w:pPr>
    </w:p>
    <w:p w:rsidR="001A4F2C" w:rsidRDefault="001974E0" w:rsidP="00873580">
      <w:pPr>
        <w:jc w:val="both"/>
        <w:rPr>
          <w:lang w:val="en-US"/>
        </w:rPr>
      </w:pPr>
      <w:r>
        <w:rPr>
          <w:lang w:val="en-US"/>
        </w:rPr>
        <w:t xml:space="preserve">Through the trial phase, </w:t>
      </w:r>
      <w:r w:rsidR="00D41344" w:rsidRPr="00D41344">
        <w:rPr>
          <w:lang w:val="en-US"/>
        </w:rPr>
        <w:t xml:space="preserve">many </w:t>
      </w:r>
      <w:r w:rsidR="00372D88">
        <w:rPr>
          <w:lang w:val="en-US"/>
        </w:rPr>
        <w:t>experts</w:t>
      </w:r>
      <w:r w:rsidR="00D41344" w:rsidRPr="00D41344">
        <w:rPr>
          <w:lang w:val="en-US"/>
        </w:rPr>
        <w:t xml:space="preserve"> showed their positive expectation to the GSCU which could support</w:t>
      </w:r>
      <w:r w:rsidR="001D0700">
        <w:rPr>
          <w:lang w:val="en-US"/>
        </w:rPr>
        <w:t>ed</w:t>
      </w:r>
      <w:r w:rsidR="00D41344" w:rsidRPr="00D41344">
        <w:rPr>
          <w:lang w:val="en-US"/>
        </w:rPr>
        <w:t xml:space="preserve"> climate monitoring and seasonal </w:t>
      </w:r>
      <w:r w:rsidR="00DE71B4">
        <w:rPr>
          <w:lang w:val="en-US"/>
        </w:rPr>
        <w:t>forecast in NMHSs, RCC and RCOF.</w:t>
      </w:r>
      <w:r w:rsidR="00D41344">
        <w:rPr>
          <w:lang w:val="en-US"/>
        </w:rPr>
        <w:t xml:space="preserve"> </w:t>
      </w:r>
      <w:r w:rsidR="00C1584E" w:rsidRPr="00C1584E">
        <w:rPr>
          <w:lang w:val="en-US"/>
        </w:rPr>
        <w:t xml:space="preserve">Most of </w:t>
      </w:r>
      <w:r w:rsidR="001D0700">
        <w:rPr>
          <w:lang w:val="en-US"/>
        </w:rPr>
        <w:t>experts</w:t>
      </w:r>
      <w:r w:rsidR="00C1584E" w:rsidRPr="00C1584E">
        <w:rPr>
          <w:lang w:val="en-US"/>
        </w:rPr>
        <w:t xml:space="preserve"> </w:t>
      </w:r>
      <w:r w:rsidR="001D0700">
        <w:rPr>
          <w:lang w:val="en-US"/>
        </w:rPr>
        <w:t xml:space="preserve">also </w:t>
      </w:r>
      <w:r w:rsidR="00C1584E" w:rsidRPr="00C1584E">
        <w:rPr>
          <w:lang w:val="en-US"/>
        </w:rPr>
        <w:t>supported the proposed schedule, namely four-time issuance a year and targeting forthcoming seasons (DJF, MAM, JJA and SON).</w:t>
      </w:r>
      <w:r w:rsidR="00C1584E">
        <w:rPr>
          <w:lang w:val="en-US"/>
        </w:rPr>
        <w:t xml:space="preserve"> </w:t>
      </w:r>
      <w:r w:rsidR="00117A41" w:rsidRPr="00117A41">
        <w:rPr>
          <w:lang w:val="en-US"/>
        </w:rPr>
        <w:t xml:space="preserve">Though the optimal lead-time for the GSCU differs between </w:t>
      </w:r>
      <w:r w:rsidR="00117A41">
        <w:rPr>
          <w:lang w:val="en-US"/>
        </w:rPr>
        <w:t>experts and longer lead time is preferable if there is sufficient predictive skill</w:t>
      </w:r>
      <w:r w:rsidR="00117A41" w:rsidRPr="00117A41">
        <w:rPr>
          <w:lang w:val="en-US"/>
        </w:rPr>
        <w:t>, one-month is the majority.</w:t>
      </w:r>
      <w:r w:rsidR="00027B2D">
        <w:rPr>
          <w:lang w:val="en-US"/>
        </w:rPr>
        <w:t xml:space="preserve"> </w:t>
      </w:r>
      <w:r w:rsidR="001A4F2C" w:rsidRPr="001A4F2C">
        <w:rPr>
          <w:lang w:val="en-US"/>
        </w:rPr>
        <w:t xml:space="preserve">The reviewers supported the idea that GSCU cover the recently observed global climate conditions, particularly climate extremes. </w:t>
      </w:r>
    </w:p>
    <w:p w:rsidR="001E535F" w:rsidRDefault="001E535F" w:rsidP="00873580">
      <w:pPr>
        <w:jc w:val="both"/>
        <w:rPr>
          <w:lang w:val="en-US"/>
        </w:rPr>
      </w:pPr>
    </w:p>
    <w:p w:rsidR="0025607C" w:rsidRDefault="00C13EB8" w:rsidP="00873580">
      <w:pPr>
        <w:jc w:val="both"/>
        <w:rPr>
          <w:lang w:val="en-US"/>
        </w:rPr>
      </w:pPr>
      <w:r>
        <w:rPr>
          <w:lang w:val="en-US"/>
        </w:rPr>
        <w:t xml:space="preserve">Together with above positive estimation, experts have expressed their concerns and pointed out </w:t>
      </w:r>
      <w:r w:rsidR="0029352D">
        <w:rPr>
          <w:lang w:val="en-US"/>
        </w:rPr>
        <w:t xml:space="preserve">some </w:t>
      </w:r>
      <w:r>
        <w:rPr>
          <w:lang w:val="en-US"/>
        </w:rPr>
        <w:t>challenges to be addressed</w:t>
      </w:r>
      <w:r w:rsidR="000D63C6">
        <w:rPr>
          <w:lang w:val="en-US"/>
        </w:rPr>
        <w:t xml:space="preserve"> toward the operationalization of GSCU</w:t>
      </w:r>
      <w:r w:rsidR="007F6B9B">
        <w:rPr>
          <w:lang w:val="en-US"/>
        </w:rPr>
        <w:t xml:space="preserve"> as below</w:t>
      </w:r>
      <w:r w:rsidR="000D63C6">
        <w:rPr>
          <w:lang w:val="en-US"/>
        </w:rPr>
        <w:t xml:space="preserve">. </w:t>
      </w:r>
    </w:p>
    <w:p w:rsidR="008B3771" w:rsidRDefault="00D10557" w:rsidP="00873580">
      <w:pPr>
        <w:numPr>
          <w:ilvl w:val="0"/>
          <w:numId w:val="17"/>
        </w:numPr>
        <w:jc w:val="both"/>
        <w:rPr>
          <w:lang w:val="en-US"/>
        </w:rPr>
      </w:pPr>
      <w:r w:rsidRPr="00D10557">
        <w:rPr>
          <w:lang w:val="en-US"/>
        </w:rPr>
        <w:t xml:space="preserve">Possible </w:t>
      </w:r>
      <w:r w:rsidR="002E2301">
        <w:rPr>
          <w:lang w:val="en-US"/>
        </w:rPr>
        <w:t xml:space="preserve">inconsistency </w:t>
      </w:r>
      <w:r w:rsidRPr="00D10557">
        <w:rPr>
          <w:lang w:val="en-US"/>
        </w:rPr>
        <w:t>between the GSCU and national/regional level information</w:t>
      </w:r>
    </w:p>
    <w:p w:rsidR="00582180" w:rsidRDefault="00020E5F" w:rsidP="00444BBD">
      <w:pPr>
        <w:numPr>
          <w:ilvl w:val="1"/>
          <w:numId w:val="17"/>
        </w:numPr>
        <w:jc w:val="both"/>
        <w:rPr>
          <w:lang w:val="en-US"/>
        </w:rPr>
      </w:pPr>
      <w:r w:rsidRPr="00020E5F">
        <w:rPr>
          <w:lang w:val="en-US"/>
        </w:rPr>
        <w:t xml:space="preserve">For </w:t>
      </w:r>
      <w:r w:rsidR="002E2301">
        <w:rPr>
          <w:lang w:val="en-US"/>
        </w:rPr>
        <w:t>many</w:t>
      </w:r>
      <w:r w:rsidR="002E2301" w:rsidRPr="00020E5F">
        <w:rPr>
          <w:lang w:val="en-US"/>
        </w:rPr>
        <w:t xml:space="preserve"> </w:t>
      </w:r>
      <w:r>
        <w:rPr>
          <w:lang w:val="en-US"/>
        </w:rPr>
        <w:t>experts</w:t>
      </w:r>
      <w:r w:rsidRPr="00020E5F">
        <w:rPr>
          <w:lang w:val="en-US"/>
        </w:rPr>
        <w:t xml:space="preserve">, </w:t>
      </w:r>
      <w:r w:rsidR="002E2301">
        <w:rPr>
          <w:lang w:val="en-US"/>
        </w:rPr>
        <w:t>inconsistency</w:t>
      </w:r>
      <w:r w:rsidRPr="00020E5F">
        <w:rPr>
          <w:lang w:val="en-US"/>
        </w:rPr>
        <w:t xml:space="preserve"> between the GSCU and national and regional level information is of concern</w:t>
      </w:r>
      <w:r w:rsidR="009D43AE">
        <w:rPr>
          <w:lang w:val="en-US"/>
        </w:rPr>
        <w:t>,</w:t>
      </w:r>
      <w:r w:rsidRPr="00020E5F">
        <w:rPr>
          <w:lang w:val="en-US"/>
        </w:rPr>
        <w:t xml:space="preserve"> </w:t>
      </w:r>
      <w:r w:rsidR="009D43AE">
        <w:rPr>
          <w:lang w:val="en-US"/>
        </w:rPr>
        <w:t xml:space="preserve">as it might </w:t>
      </w:r>
      <w:r w:rsidRPr="00020E5F">
        <w:rPr>
          <w:lang w:val="en-US"/>
        </w:rPr>
        <w:t xml:space="preserve">cause some confusion </w:t>
      </w:r>
      <w:r w:rsidR="009D43AE">
        <w:rPr>
          <w:lang w:val="en-US"/>
        </w:rPr>
        <w:t>among the</w:t>
      </w:r>
      <w:r w:rsidR="009D43AE" w:rsidRPr="00020E5F">
        <w:rPr>
          <w:lang w:val="en-US"/>
        </w:rPr>
        <w:t xml:space="preserve"> </w:t>
      </w:r>
      <w:r w:rsidRPr="00020E5F">
        <w:rPr>
          <w:lang w:val="en-US"/>
        </w:rPr>
        <w:t>users.</w:t>
      </w:r>
      <w:r w:rsidR="00444BBD">
        <w:rPr>
          <w:lang w:val="en-US"/>
        </w:rPr>
        <w:t xml:space="preserve"> </w:t>
      </w:r>
      <w:r w:rsidR="009D43AE">
        <w:rPr>
          <w:lang w:val="en-US"/>
        </w:rPr>
        <w:t>An additional</w:t>
      </w:r>
      <w:r w:rsidR="00444BBD" w:rsidRPr="00444BBD">
        <w:rPr>
          <w:lang w:val="en-US"/>
        </w:rPr>
        <w:t xml:space="preserve"> concern </w:t>
      </w:r>
      <w:r w:rsidR="009D43AE">
        <w:rPr>
          <w:lang w:val="en-US"/>
        </w:rPr>
        <w:t xml:space="preserve">is </w:t>
      </w:r>
      <w:r w:rsidR="00444BBD" w:rsidRPr="00444BBD">
        <w:rPr>
          <w:lang w:val="en-US"/>
        </w:rPr>
        <w:t xml:space="preserve">that </w:t>
      </w:r>
      <w:r w:rsidR="009D43AE">
        <w:rPr>
          <w:lang w:val="en-US"/>
        </w:rPr>
        <w:t xml:space="preserve">the </w:t>
      </w:r>
      <w:r w:rsidR="00444BBD" w:rsidRPr="00444BBD">
        <w:rPr>
          <w:lang w:val="en-US"/>
        </w:rPr>
        <w:t>regional scale description</w:t>
      </w:r>
      <w:r w:rsidR="009D43AE">
        <w:rPr>
          <w:lang w:val="en-US"/>
        </w:rPr>
        <w:t>s</w:t>
      </w:r>
      <w:r w:rsidR="00444BBD" w:rsidRPr="00444BBD">
        <w:rPr>
          <w:lang w:val="en-US"/>
        </w:rPr>
        <w:t xml:space="preserve"> in the GSCU might </w:t>
      </w:r>
      <w:r w:rsidR="009D43AE">
        <w:rPr>
          <w:lang w:val="en-US"/>
        </w:rPr>
        <w:t>also overlap</w:t>
      </w:r>
      <w:r w:rsidR="00444BBD" w:rsidRPr="00444BBD">
        <w:rPr>
          <w:lang w:val="en-US"/>
        </w:rPr>
        <w:t xml:space="preserve"> RCC functions.</w:t>
      </w:r>
    </w:p>
    <w:p w:rsidR="00D10557" w:rsidRDefault="009C6AEA" w:rsidP="00873580">
      <w:pPr>
        <w:numPr>
          <w:ilvl w:val="0"/>
          <w:numId w:val="17"/>
        </w:numPr>
        <w:jc w:val="both"/>
        <w:rPr>
          <w:lang w:val="en-US"/>
        </w:rPr>
      </w:pPr>
      <w:r>
        <w:rPr>
          <w:lang w:val="en-US"/>
        </w:rPr>
        <w:t>Need for a uniform</w:t>
      </w:r>
      <w:r w:rsidR="00D10557" w:rsidRPr="00D10557">
        <w:rPr>
          <w:lang w:val="en-US"/>
        </w:rPr>
        <w:t xml:space="preserve"> baseline period f</w:t>
      </w:r>
      <w:r>
        <w:rPr>
          <w:lang w:val="en-US"/>
        </w:rPr>
        <w:t>or</w:t>
      </w:r>
      <w:r w:rsidR="00D10557" w:rsidRPr="00D10557">
        <w:rPr>
          <w:lang w:val="en-US"/>
        </w:rPr>
        <w:t xml:space="preserve"> figures in the GSCU</w:t>
      </w:r>
    </w:p>
    <w:p w:rsidR="00827DF8" w:rsidRDefault="00750DA8" w:rsidP="007C189B">
      <w:pPr>
        <w:numPr>
          <w:ilvl w:val="1"/>
          <w:numId w:val="17"/>
        </w:numPr>
        <w:jc w:val="both"/>
        <w:rPr>
          <w:lang w:val="en-US"/>
        </w:rPr>
      </w:pPr>
      <w:r>
        <w:rPr>
          <w:lang w:val="en-US"/>
        </w:rPr>
        <w:t xml:space="preserve">The baseline period used in the GSCU differs from one figure/table to another. </w:t>
      </w:r>
      <w:r w:rsidR="003B4AA5">
        <w:rPr>
          <w:lang w:val="en-US"/>
        </w:rPr>
        <w:t>This could prevent an appropriate interpretation and cause unnecessary confusion.</w:t>
      </w:r>
      <w:r w:rsidR="007C189B">
        <w:rPr>
          <w:lang w:val="en-US"/>
        </w:rPr>
        <w:t xml:space="preserve"> </w:t>
      </w:r>
    </w:p>
    <w:p w:rsidR="004B34E1" w:rsidRDefault="004B34E1" w:rsidP="00873580">
      <w:pPr>
        <w:numPr>
          <w:ilvl w:val="0"/>
          <w:numId w:val="17"/>
        </w:numPr>
        <w:jc w:val="both"/>
        <w:rPr>
          <w:lang w:val="en-US"/>
        </w:rPr>
      </w:pPr>
      <w:r w:rsidRPr="004B34E1">
        <w:rPr>
          <w:lang w:val="en-US"/>
        </w:rPr>
        <w:t>The period covered in the observation section (description)</w:t>
      </w:r>
    </w:p>
    <w:p w:rsidR="00327E4C" w:rsidRDefault="005A2395" w:rsidP="005A2395">
      <w:pPr>
        <w:numPr>
          <w:ilvl w:val="1"/>
          <w:numId w:val="17"/>
        </w:numPr>
        <w:jc w:val="both"/>
        <w:rPr>
          <w:lang w:val="en-US"/>
        </w:rPr>
      </w:pPr>
      <w:r w:rsidRPr="005A2395">
        <w:rPr>
          <w:lang w:val="en-US"/>
        </w:rPr>
        <w:lastRenderedPageBreak/>
        <w:t xml:space="preserve">It should be noted that the period covered in the observation section (description) does not correspond to the </w:t>
      </w:r>
      <w:r w:rsidR="009C6AEA">
        <w:rPr>
          <w:lang w:val="en-US"/>
        </w:rPr>
        <w:t xml:space="preserve">standard </w:t>
      </w:r>
      <w:r w:rsidRPr="005A2395">
        <w:rPr>
          <w:lang w:val="en-US"/>
        </w:rPr>
        <w:t>season</w:t>
      </w:r>
      <w:r w:rsidR="009C6AEA">
        <w:rPr>
          <w:lang w:val="en-US"/>
        </w:rPr>
        <w:t>s</w:t>
      </w:r>
      <w:r w:rsidRPr="005A2395">
        <w:rPr>
          <w:lang w:val="en-US"/>
        </w:rPr>
        <w:t xml:space="preserve"> on which the GSCU focuses.</w:t>
      </w:r>
      <w:r>
        <w:rPr>
          <w:lang w:val="en-US"/>
        </w:rPr>
        <w:t xml:space="preserve"> </w:t>
      </w:r>
      <w:r w:rsidR="009C6AEA">
        <w:rPr>
          <w:lang w:val="en-US"/>
        </w:rPr>
        <w:t>This is a known problem recognized by the TT-GSCU, due to the non-availability of information for the current month in which GSCU is prepared.</w:t>
      </w:r>
    </w:p>
    <w:p w:rsidR="00D10557" w:rsidRDefault="00D10557" w:rsidP="00873580">
      <w:pPr>
        <w:numPr>
          <w:ilvl w:val="0"/>
          <w:numId w:val="17"/>
        </w:numPr>
        <w:jc w:val="both"/>
        <w:rPr>
          <w:lang w:val="en-US"/>
        </w:rPr>
      </w:pPr>
      <w:r w:rsidRPr="00D10557">
        <w:rPr>
          <w:lang w:val="en-US"/>
        </w:rPr>
        <w:t>Schedule, lead-time and distribution process</w:t>
      </w:r>
    </w:p>
    <w:p w:rsidR="006F2DA2" w:rsidRDefault="000B266C" w:rsidP="000B266C">
      <w:pPr>
        <w:numPr>
          <w:ilvl w:val="1"/>
          <w:numId w:val="17"/>
        </w:numPr>
        <w:jc w:val="both"/>
        <w:rPr>
          <w:lang w:val="en-US"/>
        </w:rPr>
      </w:pPr>
      <w:r w:rsidRPr="000B266C">
        <w:rPr>
          <w:lang w:val="en-US"/>
        </w:rPr>
        <w:t xml:space="preserve">Generally longer lead-time results in lower predictive skills. IPET-OPSLS and LC-LRFMME </w:t>
      </w:r>
      <w:r w:rsidR="009C6AEA">
        <w:rPr>
          <w:lang w:val="en-US"/>
        </w:rPr>
        <w:t>are</w:t>
      </w:r>
      <w:r w:rsidRPr="000B266C">
        <w:rPr>
          <w:lang w:val="en-US"/>
        </w:rPr>
        <w:t xml:space="preserve"> invited to </w:t>
      </w:r>
      <w:r w:rsidR="009C6AEA">
        <w:rPr>
          <w:lang w:val="en-US"/>
        </w:rPr>
        <w:t>guide on striking a balance between meeting the requirements of longer lead time and useful predictive skills.</w:t>
      </w:r>
    </w:p>
    <w:p w:rsidR="00425C05" w:rsidRDefault="00425C05" w:rsidP="00873580">
      <w:pPr>
        <w:numPr>
          <w:ilvl w:val="0"/>
          <w:numId w:val="17"/>
        </w:numPr>
        <w:jc w:val="both"/>
        <w:rPr>
          <w:lang w:val="en-US"/>
        </w:rPr>
      </w:pPr>
      <w:r w:rsidRPr="00425C05">
        <w:rPr>
          <w:lang w:val="en-US"/>
        </w:rPr>
        <w:t>Terms in the GSCU</w:t>
      </w:r>
    </w:p>
    <w:p w:rsidR="00A369E0" w:rsidRDefault="009C6AEA" w:rsidP="00A369E0">
      <w:pPr>
        <w:numPr>
          <w:ilvl w:val="1"/>
          <w:numId w:val="17"/>
        </w:numPr>
        <w:jc w:val="both"/>
        <w:rPr>
          <w:lang w:val="en-US"/>
        </w:rPr>
      </w:pPr>
      <w:r>
        <w:rPr>
          <w:lang w:val="en-US"/>
        </w:rPr>
        <w:t>O</w:t>
      </w:r>
      <w:r w:rsidR="00A369E0" w:rsidRPr="00A369E0">
        <w:rPr>
          <w:lang w:val="en-US"/>
        </w:rPr>
        <w:t>bjective definition</w:t>
      </w:r>
      <w:r>
        <w:rPr>
          <w:lang w:val="en-US"/>
        </w:rPr>
        <w:t>s</w:t>
      </w:r>
      <w:r w:rsidR="00A369E0" w:rsidRPr="00A369E0">
        <w:rPr>
          <w:lang w:val="en-US"/>
        </w:rPr>
        <w:t xml:space="preserve"> of assessment term</w:t>
      </w:r>
      <w:r w:rsidR="00226851">
        <w:rPr>
          <w:lang w:val="en-US"/>
        </w:rPr>
        <w:t>s</w:t>
      </w:r>
      <w:r w:rsidR="00A369E0" w:rsidRPr="00A369E0">
        <w:rPr>
          <w:lang w:val="en-US"/>
        </w:rPr>
        <w:t xml:space="preserve"> such as “weak” or “strong” and “extreme” could be required.</w:t>
      </w:r>
    </w:p>
    <w:p w:rsidR="00D10557" w:rsidRDefault="00D10557" w:rsidP="00873580">
      <w:pPr>
        <w:jc w:val="both"/>
        <w:rPr>
          <w:lang w:val="en-US"/>
        </w:rPr>
      </w:pPr>
    </w:p>
    <w:p w:rsidR="002D4B2D" w:rsidRDefault="002D4B2D" w:rsidP="00873580">
      <w:pPr>
        <w:jc w:val="both"/>
        <w:rPr>
          <w:lang w:val="en-US"/>
        </w:rPr>
      </w:pPr>
    </w:p>
    <w:p w:rsidR="002D4B2D" w:rsidRPr="00B13845" w:rsidRDefault="002D4B2D" w:rsidP="00A33610">
      <w:pPr>
        <w:jc w:val="both"/>
        <w:rPr>
          <w:b/>
          <w:lang w:val="en-US"/>
        </w:rPr>
      </w:pPr>
      <w:r>
        <w:rPr>
          <w:b/>
          <w:lang w:val="en-US"/>
        </w:rPr>
        <w:t>3</w:t>
      </w:r>
      <w:r w:rsidRPr="00B13845">
        <w:rPr>
          <w:b/>
          <w:lang w:val="en-US"/>
        </w:rPr>
        <w:t>.</w:t>
      </w:r>
      <w:r w:rsidRPr="00B13845">
        <w:rPr>
          <w:b/>
          <w:lang w:val="en-US"/>
        </w:rPr>
        <w:tab/>
      </w:r>
      <w:r w:rsidR="00A33610">
        <w:rPr>
          <w:b/>
          <w:lang w:val="en-US"/>
        </w:rPr>
        <w:t>Future steps</w:t>
      </w:r>
      <w:r w:rsidR="00A243F3">
        <w:rPr>
          <w:b/>
          <w:lang w:val="en-US"/>
        </w:rPr>
        <w:t xml:space="preserve"> toward operationalization</w:t>
      </w:r>
    </w:p>
    <w:p w:rsidR="002D4B2D" w:rsidRDefault="002D4B2D" w:rsidP="00873580">
      <w:pPr>
        <w:jc w:val="both"/>
        <w:rPr>
          <w:lang w:val="en-US"/>
        </w:rPr>
      </w:pPr>
    </w:p>
    <w:p w:rsidR="00A10A92" w:rsidRDefault="00634E86" w:rsidP="00560BE1">
      <w:pPr>
        <w:jc w:val="both"/>
        <w:rPr>
          <w:lang w:val="en-US"/>
        </w:rPr>
      </w:pPr>
      <w:r>
        <w:rPr>
          <w:lang w:val="en-US"/>
        </w:rPr>
        <w:t xml:space="preserve">As mentioned in section 1 of this document, </w:t>
      </w:r>
      <w:r w:rsidR="001B1E6A">
        <w:rPr>
          <w:lang w:val="en-US"/>
        </w:rPr>
        <w:t>CCl</w:t>
      </w:r>
      <w:r w:rsidR="00A10A92">
        <w:rPr>
          <w:lang w:val="en-US"/>
        </w:rPr>
        <w:t>-17</w:t>
      </w:r>
      <w:r w:rsidR="001B1E6A">
        <w:rPr>
          <w:lang w:val="en-US"/>
        </w:rPr>
        <w:t xml:space="preserve"> decided to r</w:t>
      </w:r>
      <w:r w:rsidR="001B1E6A" w:rsidRPr="001B1E6A">
        <w:rPr>
          <w:lang w:val="en-US"/>
        </w:rPr>
        <w:t>efine and finalize the content, production and delivery process of the Update based on external peer review recommendations and comments of NMHSs and other potential users to reflect the needs of potential users of GSCU such as NMHSs, RCCs, RCOFs and entities in United Nations system</w:t>
      </w:r>
      <w:r w:rsidR="00F05C57">
        <w:rPr>
          <w:lang w:val="en-US"/>
        </w:rPr>
        <w:t xml:space="preserve">. </w:t>
      </w:r>
      <w:r w:rsidR="00A10A92">
        <w:rPr>
          <w:lang w:val="en-US"/>
        </w:rPr>
        <w:t xml:space="preserve">Further, CCl-17 invited </w:t>
      </w:r>
      <w:r w:rsidR="00A10A92" w:rsidRPr="00A10A92">
        <w:rPr>
          <w:lang w:val="en-US"/>
        </w:rPr>
        <w:t xml:space="preserve">CBS to consider that further development and operational coordination of the GSCU be taken up under the responsibility of the </w:t>
      </w:r>
      <w:r w:rsidR="00A10A92">
        <w:rPr>
          <w:lang w:val="en-US"/>
        </w:rPr>
        <w:t xml:space="preserve">IPET-OPSLS. </w:t>
      </w:r>
      <w:r w:rsidR="00D07254">
        <w:rPr>
          <w:lang w:val="en-US"/>
        </w:rPr>
        <w:t xml:space="preserve">Toward the operationalization of GSCU, </w:t>
      </w:r>
      <w:r w:rsidR="00D07254" w:rsidRPr="00D07254">
        <w:rPr>
          <w:lang w:val="en-US"/>
        </w:rPr>
        <w:t>NOAA</w:t>
      </w:r>
      <w:r w:rsidR="004D2253">
        <w:rPr>
          <w:lang w:val="en-US"/>
        </w:rPr>
        <w:t xml:space="preserve"> and </w:t>
      </w:r>
      <w:r w:rsidR="00D07254">
        <w:rPr>
          <w:lang w:val="en-US"/>
        </w:rPr>
        <w:t xml:space="preserve">KMA hosting </w:t>
      </w:r>
      <w:r w:rsidR="004D2253">
        <w:rPr>
          <w:lang w:val="en-US"/>
        </w:rPr>
        <w:t xml:space="preserve">LC-LRFMME </w:t>
      </w:r>
      <w:r w:rsidR="00A10A92">
        <w:rPr>
          <w:lang w:val="en-US"/>
        </w:rPr>
        <w:t>are</w:t>
      </w:r>
      <w:r w:rsidR="004D2253">
        <w:rPr>
          <w:lang w:val="en-US"/>
        </w:rPr>
        <w:t xml:space="preserve"> invited </w:t>
      </w:r>
      <w:r w:rsidR="00D07254" w:rsidRPr="00D07254">
        <w:rPr>
          <w:lang w:val="en-US"/>
        </w:rPr>
        <w:t>to produce the GSCU regularly</w:t>
      </w:r>
      <w:r w:rsidR="00A10A92">
        <w:rPr>
          <w:lang w:val="en-US"/>
        </w:rPr>
        <w:t>, possibly through</w:t>
      </w:r>
      <w:r w:rsidR="00D07254" w:rsidRPr="00D07254">
        <w:rPr>
          <w:lang w:val="en-US"/>
        </w:rPr>
        <w:t xml:space="preserve"> a </w:t>
      </w:r>
      <w:r w:rsidR="00F3541B">
        <w:rPr>
          <w:lang w:val="en-US"/>
        </w:rPr>
        <w:t>pre-operationalization phase</w:t>
      </w:r>
      <w:r w:rsidR="00D07254" w:rsidRPr="00D07254">
        <w:rPr>
          <w:lang w:val="en-US"/>
        </w:rPr>
        <w:t xml:space="preserve"> </w:t>
      </w:r>
      <w:r w:rsidR="00A10A92">
        <w:rPr>
          <w:lang w:val="en-US"/>
        </w:rPr>
        <w:t>to stabilize</w:t>
      </w:r>
      <w:r w:rsidR="00A10A92" w:rsidRPr="00D07254">
        <w:rPr>
          <w:lang w:val="en-US"/>
        </w:rPr>
        <w:t xml:space="preserve"> </w:t>
      </w:r>
      <w:r w:rsidR="00D07254" w:rsidRPr="00D07254">
        <w:rPr>
          <w:lang w:val="en-US"/>
        </w:rPr>
        <w:t>its operational production and provision of GSC</w:t>
      </w:r>
      <w:r w:rsidR="00A41C21">
        <w:rPr>
          <w:lang w:val="en-US"/>
        </w:rPr>
        <w:t>U</w:t>
      </w:r>
      <w:r w:rsidR="00D07254" w:rsidRPr="00D07254">
        <w:rPr>
          <w:lang w:val="en-US"/>
        </w:rPr>
        <w:t>s, in close collaboration with IPET-OPSLS.</w:t>
      </w:r>
      <w:r w:rsidR="00063D77">
        <w:rPr>
          <w:lang w:val="en-US"/>
        </w:rPr>
        <w:t xml:space="preserve"> </w:t>
      </w:r>
      <w:r w:rsidR="00F05C57">
        <w:rPr>
          <w:lang w:val="en-US"/>
        </w:rPr>
        <w:t xml:space="preserve">Furthermore, </w:t>
      </w:r>
      <w:proofErr w:type="spellStart"/>
      <w:r w:rsidR="006C0F51">
        <w:rPr>
          <w:lang w:val="en-US"/>
        </w:rPr>
        <w:t>CCl</w:t>
      </w:r>
      <w:proofErr w:type="spellEnd"/>
      <w:r w:rsidR="006C0F51">
        <w:rPr>
          <w:lang w:val="en-US"/>
        </w:rPr>
        <w:t xml:space="preserve"> also decided to </w:t>
      </w:r>
      <w:r w:rsidR="00FF61E6">
        <w:rPr>
          <w:lang w:val="en-US"/>
        </w:rPr>
        <w:t>d</w:t>
      </w:r>
      <w:r w:rsidR="00FF61E6" w:rsidRPr="00FF61E6">
        <w:rPr>
          <w:lang w:val="en-US"/>
        </w:rPr>
        <w:t>evelop a user guide for GSCU in consultation with NMHSs and other potential users as appropriate</w:t>
      </w:r>
      <w:r w:rsidR="00FF61E6">
        <w:rPr>
          <w:lang w:val="en-US"/>
        </w:rPr>
        <w:t xml:space="preserve">. </w:t>
      </w:r>
    </w:p>
    <w:p w:rsidR="00A10A92" w:rsidRDefault="00A10A92" w:rsidP="00560BE1">
      <w:pPr>
        <w:jc w:val="both"/>
        <w:rPr>
          <w:lang w:val="en-US"/>
        </w:rPr>
      </w:pPr>
    </w:p>
    <w:p w:rsidR="005C4FF7" w:rsidRDefault="005C4FF7" w:rsidP="00560BE1">
      <w:pPr>
        <w:jc w:val="both"/>
        <w:rPr>
          <w:lang w:val="en-US"/>
        </w:rPr>
      </w:pPr>
      <w:r w:rsidRPr="00D07254">
        <w:rPr>
          <w:lang w:val="en-US"/>
        </w:rPr>
        <w:t>IPET-OPSLS</w:t>
      </w:r>
      <w:r>
        <w:rPr>
          <w:lang w:val="en-US"/>
        </w:rPr>
        <w:t xml:space="preserve"> is </w:t>
      </w:r>
      <w:r w:rsidR="00724664">
        <w:rPr>
          <w:lang w:val="en-US"/>
        </w:rPr>
        <w:t>invited</w:t>
      </w:r>
      <w:r>
        <w:rPr>
          <w:lang w:val="en-US"/>
        </w:rPr>
        <w:t xml:space="preserve"> to </w:t>
      </w:r>
      <w:r w:rsidR="00A10A92">
        <w:rPr>
          <w:lang w:val="en-US"/>
        </w:rPr>
        <w:t>make appropriate arrangements to take GSCU under its responsibility, and guide addressing</w:t>
      </w:r>
      <w:r>
        <w:rPr>
          <w:lang w:val="en-US"/>
        </w:rPr>
        <w:t xml:space="preserve"> </w:t>
      </w:r>
      <w:r w:rsidR="00A10A92">
        <w:rPr>
          <w:lang w:val="en-US"/>
        </w:rPr>
        <w:t xml:space="preserve">the remaining </w:t>
      </w:r>
      <w:r>
        <w:rPr>
          <w:lang w:val="en-US"/>
        </w:rPr>
        <w:t xml:space="preserve">challenges </w:t>
      </w:r>
      <w:r w:rsidR="00A10A92">
        <w:rPr>
          <w:lang w:val="en-US"/>
        </w:rPr>
        <w:t xml:space="preserve">encountered </w:t>
      </w:r>
      <w:r>
        <w:rPr>
          <w:lang w:val="en-US"/>
        </w:rPr>
        <w:t>in the trial phase</w:t>
      </w:r>
      <w:r w:rsidR="00A10A92">
        <w:rPr>
          <w:lang w:val="en-US"/>
        </w:rPr>
        <w:t>.  It is</w:t>
      </w:r>
      <w:r>
        <w:rPr>
          <w:lang w:val="en-US"/>
        </w:rPr>
        <w:t xml:space="preserve"> also </w:t>
      </w:r>
      <w:r w:rsidR="00560BE1">
        <w:rPr>
          <w:lang w:val="en-US"/>
        </w:rPr>
        <w:t>invited</w:t>
      </w:r>
      <w:r>
        <w:rPr>
          <w:lang w:val="en-US"/>
        </w:rPr>
        <w:t xml:space="preserve"> to support development of the user guide based on its expertise. </w:t>
      </w:r>
    </w:p>
    <w:p w:rsidR="003D6D3C" w:rsidRDefault="003D6D3C" w:rsidP="00FF61E6">
      <w:pPr>
        <w:jc w:val="both"/>
        <w:rPr>
          <w:lang w:val="en-US"/>
        </w:rPr>
      </w:pPr>
    </w:p>
    <w:p w:rsidR="000932F2" w:rsidRPr="00495372" w:rsidRDefault="00B13845" w:rsidP="00873580">
      <w:pPr>
        <w:jc w:val="both"/>
        <w:rPr>
          <w:lang w:val="en-US"/>
        </w:rPr>
      </w:pPr>
      <w:r w:rsidRPr="00495372">
        <w:rPr>
          <w:lang w:val="en-US"/>
        </w:rPr>
        <w:t>__________________</w:t>
      </w:r>
    </w:p>
    <w:p w:rsidR="000932F2" w:rsidRPr="00495372" w:rsidRDefault="000932F2" w:rsidP="000932F2">
      <w:pPr>
        <w:rPr>
          <w:lang w:val="en-US"/>
        </w:rPr>
      </w:pPr>
      <w:r w:rsidRPr="00495372">
        <w:rPr>
          <w:lang w:val="en-US"/>
        </w:rPr>
        <w:br w:type="page"/>
      </w:r>
    </w:p>
    <w:p w:rsidR="000932F2" w:rsidRPr="003445DD" w:rsidRDefault="000932F2" w:rsidP="000932F2">
      <w:pPr>
        <w:jc w:val="right"/>
        <w:rPr>
          <w:b/>
          <w:bCs/>
          <w:lang w:val="en-US"/>
        </w:rPr>
      </w:pPr>
      <w:r w:rsidRPr="003445DD">
        <w:rPr>
          <w:color w:val="000000"/>
          <w:lang w:val="en-US"/>
        </w:rPr>
        <w:lastRenderedPageBreak/>
        <w:t>Annex</w:t>
      </w:r>
    </w:p>
    <w:p w:rsidR="000932F2" w:rsidRPr="000C4244" w:rsidRDefault="000932F2" w:rsidP="000932F2">
      <w:pPr>
        <w:jc w:val="both"/>
        <w:rPr>
          <w:rFonts w:asciiTheme="minorBidi" w:hAnsiTheme="minorBidi" w:cstheme="minorBidi"/>
          <w:b/>
          <w:bCs/>
          <w:sz w:val="24"/>
          <w:szCs w:val="24"/>
          <w:lang w:val="en-US"/>
        </w:rPr>
      </w:pPr>
      <w:r w:rsidRPr="000C4244">
        <w:rPr>
          <w:rFonts w:asciiTheme="minorBidi" w:hAnsiTheme="minorBidi" w:cstheme="minorBidi"/>
          <w:b/>
          <w:bCs/>
          <w:sz w:val="24"/>
          <w:szCs w:val="24"/>
          <w:lang w:val="en-US"/>
        </w:rPr>
        <w:t>Summary of the peer review in 2015</w:t>
      </w:r>
    </w:p>
    <w:p w:rsidR="00495372" w:rsidRPr="000C4244" w:rsidRDefault="00495372" w:rsidP="000932F2">
      <w:pPr>
        <w:jc w:val="both"/>
        <w:rPr>
          <w:rFonts w:asciiTheme="minorBidi" w:hAnsiTheme="minorBidi" w:cstheme="minorBidi"/>
          <w:u w:val="single"/>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How potentially useful is the information ?</w:t>
      </w:r>
    </w:p>
    <w:p w:rsidR="000932F2" w:rsidRPr="000C4244" w:rsidRDefault="000932F2" w:rsidP="000932F2">
      <w:pPr>
        <w:pStyle w:val="ListParagraph"/>
        <w:numPr>
          <w:ilvl w:val="0"/>
          <w:numId w:val="18"/>
        </w:numPr>
        <w:jc w:val="both"/>
        <w:rPr>
          <w:rFonts w:asciiTheme="minorBidi" w:hAnsiTheme="minorBidi"/>
          <w:sz w:val="22"/>
          <w:lang w:val="en-US"/>
        </w:rPr>
      </w:pPr>
      <w:r w:rsidRPr="000C4244">
        <w:rPr>
          <w:rFonts w:asciiTheme="minorBidi" w:hAnsiTheme="minorBidi"/>
          <w:sz w:val="22"/>
          <w:lang w:val="en-US"/>
        </w:rPr>
        <w:t xml:space="preserve">In the review, many reviewers showed their positive expectation to the GSCU which could support climate monitoring and seasonal forecast in NMHSs, RCC and RCOF. </w:t>
      </w:r>
    </w:p>
    <w:p w:rsidR="000932F2" w:rsidRPr="000C4244" w:rsidRDefault="000932F2" w:rsidP="000932F2">
      <w:pPr>
        <w:pStyle w:val="ListParagraph"/>
        <w:numPr>
          <w:ilvl w:val="0"/>
          <w:numId w:val="18"/>
        </w:numPr>
        <w:jc w:val="both"/>
        <w:rPr>
          <w:rFonts w:asciiTheme="minorBidi" w:hAnsiTheme="minorBidi"/>
          <w:sz w:val="22"/>
          <w:lang w:val="en-US"/>
        </w:rPr>
      </w:pPr>
      <w:r w:rsidRPr="000C4244">
        <w:rPr>
          <w:rFonts w:asciiTheme="minorBidi" w:hAnsiTheme="minorBidi"/>
          <w:sz w:val="22"/>
          <w:lang w:val="en-US"/>
        </w:rPr>
        <w:t xml:space="preserve">Some experts pointed out that utility of the GSCU depends on its predictive skill and reliability, issuance schedule and the users targeted. </w:t>
      </w:r>
    </w:p>
    <w:p w:rsidR="000932F2" w:rsidRPr="000C4244" w:rsidRDefault="000932F2" w:rsidP="000932F2">
      <w:pPr>
        <w:pStyle w:val="ListParagraph"/>
        <w:numPr>
          <w:ilvl w:val="0"/>
          <w:numId w:val="18"/>
        </w:numPr>
        <w:jc w:val="both"/>
        <w:rPr>
          <w:rFonts w:asciiTheme="minorBidi" w:hAnsiTheme="minorBidi"/>
          <w:sz w:val="22"/>
          <w:lang w:val="en-US"/>
        </w:rPr>
      </w:pPr>
      <w:r w:rsidRPr="000C4244">
        <w:rPr>
          <w:rFonts w:asciiTheme="minorBidi" w:hAnsiTheme="minorBidi"/>
          <w:sz w:val="22"/>
          <w:lang w:val="en-US"/>
        </w:rPr>
        <w:t xml:space="preserve">A challenge noted is to consistently consolidate the national and regional forecast information produced by NMHSs and RCCs with the large scale information provided in GSCU. </w:t>
      </w:r>
    </w:p>
    <w:p w:rsidR="000932F2" w:rsidRPr="000C4244" w:rsidRDefault="000932F2" w:rsidP="000932F2">
      <w:pPr>
        <w:jc w:val="both"/>
        <w:rPr>
          <w:rFonts w:asciiTheme="minorBidi" w:hAnsiTheme="minorBidi" w:cstheme="minorBidi"/>
          <w:u w:val="single"/>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What is the risk of conflicting information being disseminated at the regional and/or national levels ?</w:t>
      </w:r>
    </w:p>
    <w:p w:rsidR="000932F2" w:rsidRPr="000C4244" w:rsidRDefault="000932F2" w:rsidP="000932F2">
      <w:pPr>
        <w:pStyle w:val="ListParagraph"/>
        <w:numPr>
          <w:ilvl w:val="0"/>
          <w:numId w:val="19"/>
        </w:numPr>
        <w:jc w:val="both"/>
        <w:rPr>
          <w:rFonts w:asciiTheme="minorBidi" w:hAnsiTheme="minorBidi"/>
          <w:sz w:val="22"/>
          <w:lang w:val="en-US"/>
        </w:rPr>
      </w:pPr>
      <w:r w:rsidRPr="000C4244">
        <w:rPr>
          <w:rFonts w:asciiTheme="minorBidi" w:hAnsiTheme="minorBidi"/>
          <w:sz w:val="22"/>
          <w:lang w:val="en-US"/>
        </w:rPr>
        <w:t xml:space="preserve">For many of the reviewers, inconsistency between the GSCU and national and regional level information is of concern, as it might cause some confusion among users. </w:t>
      </w:r>
    </w:p>
    <w:p w:rsidR="000932F2" w:rsidRPr="000C4244" w:rsidRDefault="000932F2" w:rsidP="000932F2">
      <w:pPr>
        <w:pStyle w:val="ListParagraph"/>
        <w:numPr>
          <w:ilvl w:val="0"/>
          <w:numId w:val="19"/>
        </w:numPr>
        <w:jc w:val="both"/>
        <w:rPr>
          <w:rFonts w:asciiTheme="minorBidi" w:hAnsiTheme="minorBidi"/>
          <w:sz w:val="22"/>
          <w:lang w:val="en-US"/>
        </w:rPr>
      </w:pPr>
      <w:r w:rsidRPr="000C4244">
        <w:rPr>
          <w:rFonts w:asciiTheme="minorBidi" w:hAnsiTheme="minorBidi"/>
          <w:sz w:val="22"/>
          <w:lang w:val="en-US"/>
        </w:rPr>
        <w:t xml:space="preserve">Some users showed their concern that regional scale descriptions in the GSCU might also overlap RCC functions.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What is the recommended schedule (e.g., DJF, MAM, JJA, SON) for the release of the GSCU for an efficient use by the relevant stakeholders ?</w:t>
      </w:r>
    </w:p>
    <w:p w:rsidR="000932F2" w:rsidRPr="000C4244" w:rsidRDefault="000932F2" w:rsidP="000932F2">
      <w:pPr>
        <w:pStyle w:val="ListParagraph"/>
        <w:numPr>
          <w:ilvl w:val="0"/>
          <w:numId w:val="20"/>
        </w:numPr>
        <w:jc w:val="both"/>
        <w:rPr>
          <w:rFonts w:asciiTheme="minorBidi" w:hAnsiTheme="minorBidi"/>
          <w:sz w:val="22"/>
          <w:lang w:val="en-US"/>
        </w:rPr>
      </w:pPr>
      <w:r w:rsidRPr="000C4244">
        <w:rPr>
          <w:rFonts w:asciiTheme="minorBidi" w:hAnsiTheme="minorBidi"/>
          <w:sz w:val="22"/>
          <w:lang w:val="en-US"/>
        </w:rPr>
        <w:t xml:space="preserve">Most of reviews supported the proposed schedule, namely four-time issuance a year and targeting forthcoming seasons (DJF, MAM, JJA and SON). </w:t>
      </w:r>
    </w:p>
    <w:p w:rsidR="000932F2" w:rsidRPr="000C4244" w:rsidRDefault="000932F2" w:rsidP="000932F2">
      <w:pPr>
        <w:pStyle w:val="ListParagraph"/>
        <w:numPr>
          <w:ilvl w:val="0"/>
          <w:numId w:val="20"/>
        </w:numPr>
        <w:jc w:val="both"/>
        <w:rPr>
          <w:rFonts w:asciiTheme="minorBidi" w:hAnsiTheme="minorBidi"/>
          <w:sz w:val="22"/>
          <w:lang w:val="en-US"/>
        </w:rPr>
      </w:pPr>
      <w:r w:rsidRPr="000C4244">
        <w:rPr>
          <w:rFonts w:asciiTheme="minorBidi" w:hAnsiTheme="minorBidi"/>
          <w:sz w:val="22"/>
          <w:lang w:val="en-US"/>
        </w:rPr>
        <w:t xml:space="preserve">They also showed the expectation to the GSCU to be issued monthly, however, its operational feasibility should be considered. </w:t>
      </w:r>
    </w:p>
    <w:p w:rsidR="000932F2" w:rsidRPr="000C4244" w:rsidRDefault="000932F2" w:rsidP="000932F2">
      <w:pPr>
        <w:pStyle w:val="ListParagraph"/>
        <w:numPr>
          <w:ilvl w:val="0"/>
          <w:numId w:val="20"/>
        </w:numPr>
        <w:jc w:val="both"/>
        <w:rPr>
          <w:rFonts w:asciiTheme="minorBidi" w:hAnsiTheme="minorBidi"/>
          <w:sz w:val="22"/>
          <w:lang w:val="en-US"/>
        </w:rPr>
      </w:pPr>
      <w:r w:rsidRPr="000C4244">
        <w:rPr>
          <w:rFonts w:asciiTheme="minorBidi" w:hAnsiTheme="minorBidi"/>
          <w:sz w:val="22"/>
          <w:lang w:val="en-US"/>
        </w:rPr>
        <w:t xml:space="preserve">One of reviews pointed out the necessity of specific schedule for monsoons.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What is the optimal lead-time for the seasonal prediction products included in the GSCU, both from the scientific and operational perspectives ?</w:t>
      </w:r>
    </w:p>
    <w:p w:rsidR="000932F2" w:rsidRPr="000C4244" w:rsidRDefault="000932F2" w:rsidP="000932F2">
      <w:pPr>
        <w:pStyle w:val="ListParagraph"/>
        <w:numPr>
          <w:ilvl w:val="0"/>
          <w:numId w:val="21"/>
        </w:numPr>
        <w:jc w:val="both"/>
        <w:rPr>
          <w:rFonts w:asciiTheme="minorBidi" w:hAnsiTheme="minorBidi"/>
          <w:sz w:val="22"/>
          <w:lang w:val="en-US"/>
        </w:rPr>
      </w:pPr>
      <w:r w:rsidRPr="000C4244">
        <w:rPr>
          <w:rFonts w:asciiTheme="minorBidi" w:hAnsiTheme="minorBidi"/>
          <w:sz w:val="22"/>
          <w:lang w:val="en-US"/>
        </w:rPr>
        <w:t xml:space="preserve">Though the optimal lead-time for the GSCU differs between reviewers, one-month is the majority. </w:t>
      </w:r>
    </w:p>
    <w:p w:rsidR="000932F2" w:rsidRPr="000C4244" w:rsidRDefault="000932F2" w:rsidP="000932F2">
      <w:pPr>
        <w:pStyle w:val="ListParagraph"/>
        <w:numPr>
          <w:ilvl w:val="0"/>
          <w:numId w:val="21"/>
        </w:numPr>
        <w:jc w:val="both"/>
        <w:rPr>
          <w:rFonts w:asciiTheme="minorBidi" w:hAnsiTheme="minorBidi"/>
          <w:sz w:val="22"/>
          <w:lang w:val="en-US"/>
        </w:rPr>
      </w:pPr>
      <w:r w:rsidRPr="000C4244">
        <w:rPr>
          <w:rFonts w:asciiTheme="minorBidi" w:hAnsiTheme="minorBidi"/>
          <w:sz w:val="22"/>
          <w:lang w:val="en-US"/>
        </w:rPr>
        <w:t xml:space="preserve">Longer lead time will be welcome if the GSCU is intended to reach users like RCCs early enough to be used in their own process and/or if there is sufficient predictive skill.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Is it sufficient to provide linkage to RCC for information on regional monitoring highlights (e.g., extremes), or do you find it essential that the GSCU contains this information?</w:t>
      </w:r>
    </w:p>
    <w:p w:rsidR="000932F2" w:rsidRPr="000C4244" w:rsidRDefault="000932F2" w:rsidP="000932F2">
      <w:pPr>
        <w:pStyle w:val="ListParagraph"/>
        <w:numPr>
          <w:ilvl w:val="0"/>
          <w:numId w:val="22"/>
        </w:numPr>
        <w:jc w:val="both"/>
        <w:rPr>
          <w:rFonts w:asciiTheme="minorBidi" w:hAnsiTheme="minorBidi"/>
          <w:sz w:val="22"/>
          <w:lang w:val="en-US"/>
        </w:rPr>
      </w:pPr>
      <w:r w:rsidRPr="000C4244">
        <w:rPr>
          <w:rFonts w:asciiTheme="minorBidi" w:hAnsiTheme="minorBidi"/>
          <w:sz w:val="22"/>
          <w:lang w:val="en-US"/>
        </w:rPr>
        <w:t xml:space="preserve">The reviewers supported the idea that GSCU cover the recently observed global climate conditions, particularly climate extremes. One reviewer thought that the GSCU should contain a short summary of the RCC monitoring information to allow for a global overview. </w:t>
      </w:r>
    </w:p>
    <w:p w:rsidR="000932F2" w:rsidRPr="000C4244" w:rsidRDefault="000932F2" w:rsidP="000932F2">
      <w:pPr>
        <w:pStyle w:val="ListParagraph"/>
        <w:numPr>
          <w:ilvl w:val="0"/>
          <w:numId w:val="22"/>
        </w:numPr>
        <w:jc w:val="both"/>
        <w:rPr>
          <w:rFonts w:asciiTheme="minorBidi" w:hAnsiTheme="minorBidi"/>
          <w:sz w:val="22"/>
          <w:lang w:val="en-US"/>
        </w:rPr>
      </w:pPr>
      <w:r w:rsidRPr="000C4244">
        <w:rPr>
          <w:rFonts w:asciiTheme="minorBidi" w:hAnsiTheme="minorBidi"/>
          <w:sz w:val="22"/>
          <w:lang w:val="en-US"/>
        </w:rPr>
        <w:t xml:space="preserve">Some reviewers considered that it is enough and appropriate to provide linkage to RCC for information on regional scale details.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Is the current version of executive summary informative enough? Is something important missing in this summary?</w:t>
      </w:r>
    </w:p>
    <w:p w:rsidR="000932F2" w:rsidRPr="000C4244" w:rsidRDefault="000932F2" w:rsidP="000932F2">
      <w:pPr>
        <w:pStyle w:val="ListParagraph"/>
        <w:numPr>
          <w:ilvl w:val="0"/>
          <w:numId w:val="23"/>
        </w:numPr>
        <w:jc w:val="both"/>
        <w:rPr>
          <w:rFonts w:asciiTheme="minorBidi" w:hAnsiTheme="minorBidi"/>
          <w:sz w:val="22"/>
          <w:lang w:val="en-US"/>
        </w:rPr>
      </w:pPr>
      <w:r w:rsidRPr="000C4244">
        <w:rPr>
          <w:rFonts w:asciiTheme="minorBidi" w:hAnsiTheme="minorBidi"/>
          <w:sz w:val="22"/>
          <w:lang w:val="en-US"/>
        </w:rPr>
        <w:t xml:space="preserve">The current version of executive summary was estimated to be basically enough, however, some reviewers suggest adding figures of the observed climate condition, climate indices other than El Nino and discussion on probabilities and limitation of forecasts. </w:t>
      </w:r>
    </w:p>
    <w:p w:rsidR="000932F2" w:rsidRPr="000C4244" w:rsidRDefault="000932F2" w:rsidP="000932F2">
      <w:pPr>
        <w:pStyle w:val="ListParagraph"/>
        <w:numPr>
          <w:ilvl w:val="0"/>
          <w:numId w:val="23"/>
        </w:numPr>
        <w:jc w:val="both"/>
        <w:rPr>
          <w:rFonts w:asciiTheme="minorBidi" w:hAnsiTheme="minorBidi"/>
          <w:sz w:val="22"/>
          <w:lang w:val="en-US"/>
        </w:rPr>
      </w:pPr>
      <w:r w:rsidRPr="000C4244">
        <w:rPr>
          <w:rFonts w:asciiTheme="minorBidi" w:hAnsiTheme="minorBidi"/>
          <w:sz w:val="22"/>
          <w:lang w:val="en-US"/>
        </w:rPr>
        <w:lastRenderedPageBreak/>
        <w:t xml:space="preserve">It should be noted that the period covered in the observation section (description) does not correspond to the season on which the GSCU focuses.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What scientifically critical information is missing, or inadequately/inappropriately represented in the GSCU ?</w:t>
      </w:r>
    </w:p>
    <w:p w:rsidR="000932F2" w:rsidRPr="000C4244" w:rsidRDefault="000932F2" w:rsidP="000932F2">
      <w:pPr>
        <w:pStyle w:val="ListParagraph"/>
        <w:numPr>
          <w:ilvl w:val="0"/>
          <w:numId w:val="24"/>
        </w:numPr>
        <w:jc w:val="both"/>
        <w:rPr>
          <w:rFonts w:asciiTheme="minorBidi" w:hAnsiTheme="minorBidi"/>
          <w:sz w:val="22"/>
          <w:lang w:val="en-US"/>
        </w:rPr>
      </w:pPr>
      <w:r w:rsidRPr="000C4244">
        <w:rPr>
          <w:rFonts w:asciiTheme="minorBidi" w:hAnsiTheme="minorBidi"/>
          <w:sz w:val="22"/>
          <w:lang w:val="en-US"/>
        </w:rPr>
        <w:t xml:space="preserve">Many reviewers regarded the inconsistency of the baseline period of figures in the GSCU as a challenge to be addressed. </w:t>
      </w:r>
    </w:p>
    <w:p w:rsidR="000932F2" w:rsidRPr="000C4244" w:rsidRDefault="000932F2" w:rsidP="000932F2">
      <w:pPr>
        <w:pStyle w:val="ListParagraph"/>
        <w:numPr>
          <w:ilvl w:val="0"/>
          <w:numId w:val="24"/>
        </w:numPr>
        <w:jc w:val="both"/>
        <w:rPr>
          <w:rFonts w:asciiTheme="minorBidi" w:hAnsiTheme="minorBidi"/>
          <w:sz w:val="22"/>
          <w:lang w:val="en-US"/>
        </w:rPr>
      </w:pPr>
      <w:r w:rsidRPr="000C4244">
        <w:rPr>
          <w:rFonts w:asciiTheme="minorBidi" w:hAnsiTheme="minorBidi"/>
          <w:sz w:val="22"/>
          <w:lang w:val="en-US"/>
        </w:rPr>
        <w:t xml:space="preserve">The meaning of </w:t>
      </w:r>
      <w:proofErr w:type="spellStart"/>
      <w:r w:rsidRPr="000C4244">
        <w:rPr>
          <w:rFonts w:asciiTheme="minorBidi" w:hAnsiTheme="minorBidi"/>
          <w:sz w:val="22"/>
          <w:lang w:val="en-US"/>
        </w:rPr>
        <w:t>tercile</w:t>
      </w:r>
      <w:proofErr w:type="spellEnd"/>
      <w:r w:rsidRPr="000C4244">
        <w:rPr>
          <w:rFonts w:asciiTheme="minorBidi" w:hAnsiTheme="minorBidi"/>
          <w:sz w:val="22"/>
          <w:lang w:val="en-US"/>
        </w:rPr>
        <w:t xml:space="preserve"> probabilities and the verification of the most recent available forecast were also pointed out to missing information.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Are the vocabulary and communication issues appropriately covered in the GSCU ?</w:t>
      </w:r>
    </w:p>
    <w:p w:rsidR="000932F2" w:rsidRPr="000C4244" w:rsidRDefault="000932F2" w:rsidP="000932F2">
      <w:pPr>
        <w:pStyle w:val="ListParagraph"/>
        <w:numPr>
          <w:ilvl w:val="0"/>
          <w:numId w:val="25"/>
        </w:numPr>
        <w:jc w:val="both"/>
        <w:rPr>
          <w:rFonts w:asciiTheme="minorBidi" w:hAnsiTheme="minorBidi"/>
          <w:sz w:val="22"/>
          <w:lang w:val="en-US"/>
        </w:rPr>
      </w:pPr>
      <w:r w:rsidRPr="000C4244">
        <w:rPr>
          <w:rFonts w:asciiTheme="minorBidi" w:hAnsiTheme="minorBidi"/>
          <w:sz w:val="22"/>
          <w:lang w:val="en-US"/>
        </w:rPr>
        <w:t xml:space="preserve">The vocabulary in the GSCU was estimated to be appropriate. </w:t>
      </w:r>
    </w:p>
    <w:p w:rsidR="000932F2" w:rsidRPr="000C4244" w:rsidRDefault="000932F2" w:rsidP="000932F2">
      <w:pPr>
        <w:pStyle w:val="ListParagraph"/>
        <w:numPr>
          <w:ilvl w:val="0"/>
          <w:numId w:val="25"/>
        </w:numPr>
        <w:jc w:val="both"/>
        <w:rPr>
          <w:rFonts w:asciiTheme="minorBidi" w:hAnsiTheme="minorBidi"/>
          <w:sz w:val="22"/>
          <w:lang w:val="en-US"/>
        </w:rPr>
      </w:pPr>
      <w:r w:rsidRPr="000C4244">
        <w:rPr>
          <w:rFonts w:asciiTheme="minorBidi" w:hAnsiTheme="minorBidi"/>
          <w:sz w:val="22"/>
          <w:lang w:val="en-US"/>
        </w:rPr>
        <w:t xml:space="preserve">It is pointed out that the GSCU, especially its executive summary, should be described in terms to be obvious and understandable for users outside weather/climate communities and/or non-native users. </w:t>
      </w:r>
    </w:p>
    <w:p w:rsidR="000932F2" w:rsidRPr="000C4244" w:rsidRDefault="000932F2" w:rsidP="000932F2">
      <w:pPr>
        <w:pStyle w:val="ListParagraph"/>
        <w:numPr>
          <w:ilvl w:val="0"/>
          <w:numId w:val="25"/>
        </w:numPr>
        <w:jc w:val="both"/>
        <w:rPr>
          <w:rFonts w:asciiTheme="minorBidi" w:hAnsiTheme="minorBidi"/>
          <w:sz w:val="22"/>
          <w:lang w:val="en-US"/>
        </w:rPr>
      </w:pPr>
      <w:r w:rsidRPr="000C4244">
        <w:rPr>
          <w:rFonts w:asciiTheme="minorBidi" w:hAnsiTheme="minorBidi"/>
          <w:sz w:val="22"/>
          <w:lang w:val="en-US"/>
        </w:rPr>
        <w:t xml:space="preserve">An objective definition of assessment term, such as “weak” or “strong” and “extreme” could be required. </w:t>
      </w:r>
    </w:p>
    <w:p w:rsidR="000932F2" w:rsidRPr="000C4244" w:rsidRDefault="000932F2" w:rsidP="000932F2">
      <w:pPr>
        <w:jc w:val="both"/>
        <w:rPr>
          <w:rFonts w:asciiTheme="minorBidi" w:hAnsiTheme="minorBidi" w:cstheme="minorBidi"/>
          <w:lang w:val="en-US"/>
        </w:rPr>
      </w:pPr>
    </w:p>
    <w:p w:rsidR="000932F2" w:rsidRPr="000C4244" w:rsidRDefault="000932F2" w:rsidP="000932F2">
      <w:pPr>
        <w:jc w:val="both"/>
        <w:rPr>
          <w:rFonts w:asciiTheme="minorBidi" w:hAnsiTheme="minorBidi" w:cstheme="minorBidi"/>
          <w:u w:val="single"/>
          <w:lang w:val="en-US"/>
        </w:rPr>
      </w:pPr>
      <w:r w:rsidRPr="000C4244">
        <w:rPr>
          <w:rFonts w:asciiTheme="minorBidi" w:hAnsiTheme="minorBidi" w:cstheme="minorBidi"/>
          <w:u w:val="single"/>
          <w:lang w:val="en-US"/>
        </w:rPr>
        <w:t>Are there any other suggestions to make the GSCU more useful and more effective ?</w:t>
      </w:r>
    </w:p>
    <w:p w:rsidR="000932F2" w:rsidRPr="000C4244" w:rsidRDefault="000932F2" w:rsidP="000932F2">
      <w:pPr>
        <w:pStyle w:val="ListParagraph"/>
        <w:numPr>
          <w:ilvl w:val="0"/>
          <w:numId w:val="26"/>
        </w:numPr>
        <w:jc w:val="both"/>
        <w:rPr>
          <w:rFonts w:asciiTheme="minorBidi" w:hAnsiTheme="minorBidi"/>
          <w:sz w:val="22"/>
          <w:lang w:val="en-US"/>
        </w:rPr>
      </w:pPr>
      <w:r w:rsidRPr="000C4244">
        <w:rPr>
          <w:rFonts w:asciiTheme="minorBidi" w:hAnsiTheme="minorBidi"/>
          <w:sz w:val="22"/>
          <w:lang w:val="en-US"/>
        </w:rPr>
        <w:t xml:space="preserve">Splitting GSCU in more than one document (e.g. GSCU seasonal outlook and GSCU diagnostic) to avoid having a single and long document. Generally people (particularly application users) are looking for shorter documents with summarized information. </w:t>
      </w:r>
    </w:p>
    <w:p w:rsidR="000932F2" w:rsidRPr="000C4244" w:rsidRDefault="000932F2" w:rsidP="000932F2">
      <w:pPr>
        <w:pStyle w:val="ListParagraph"/>
        <w:numPr>
          <w:ilvl w:val="0"/>
          <w:numId w:val="26"/>
        </w:numPr>
        <w:jc w:val="both"/>
        <w:rPr>
          <w:rFonts w:asciiTheme="minorBidi" w:hAnsiTheme="minorBidi"/>
          <w:sz w:val="22"/>
          <w:lang w:val="en-US"/>
        </w:rPr>
      </w:pPr>
      <w:r w:rsidRPr="000C4244">
        <w:rPr>
          <w:rFonts w:asciiTheme="minorBidi" w:hAnsiTheme="minorBidi"/>
          <w:sz w:val="22"/>
          <w:lang w:val="en-US"/>
        </w:rPr>
        <w:t xml:space="preserve">References for figures and tables should be described in their captions, including their original datasets, if applicable. </w:t>
      </w:r>
    </w:p>
    <w:p w:rsidR="000932F2" w:rsidRPr="000C4244" w:rsidRDefault="000932F2" w:rsidP="000932F2">
      <w:pPr>
        <w:pStyle w:val="ListParagraph"/>
        <w:numPr>
          <w:ilvl w:val="0"/>
          <w:numId w:val="26"/>
        </w:numPr>
        <w:jc w:val="both"/>
        <w:rPr>
          <w:rFonts w:asciiTheme="minorBidi" w:hAnsiTheme="minorBidi"/>
          <w:sz w:val="22"/>
          <w:lang w:val="en-US"/>
        </w:rPr>
      </w:pPr>
      <w:r w:rsidRPr="000C4244">
        <w:rPr>
          <w:rFonts w:asciiTheme="minorBidi" w:hAnsiTheme="minorBidi"/>
          <w:sz w:val="22"/>
          <w:lang w:val="en-US"/>
        </w:rPr>
        <w:t xml:space="preserve">If space permits, it might be good to have skill information here, for easy interpretation and cross-referencing. </w:t>
      </w:r>
    </w:p>
    <w:p w:rsidR="000932F2" w:rsidRPr="000C4244" w:rsidRDefault="000932F2" w:rsidP="000932F2">
      <w:pPr>
        <w:pStyle w:val="ListParagraph"/>
        <w:numPr>
          <w:ilvl w:val="0"/>
          <w:numId w:val="26"/>
        </w:numPr>
        <w:jc w:val="both"/>
        <w:rPr>
          <w:rFonts w:asciiTheme="minorBidi" w:hAnsiTheme="minorBidi"/>
          <w:sz w:val="22"/>
          <w:lang w:val="en-US"/>
        </w:rPr>
      </w:pPr>
      <w:r w:rsidRPr="000C4244">
        <w:rPr>
          <w:rFonts w:asciiTheme="minorBidi" w:hAnsiTheme="minorBidi"/>
          <w:sz w:val="22"/>
          <w:lang w:val="en-US"/>
        </w:rPr>
        <w:t>Universal color selection for figures in the GSCU would be preferable.</w:t>
      </w:r>
    </w:p>
    <w:p w:rsidR="000932F2" w:rsidRPr="000C4244" w:rsidRDefault="000932F2" w:rsidP="000932F2">
      <w:pPr>
        <w:pStyle w:val="ListParagraph"/>
        <w:numPr>
          <w:ilvl w:val="0"/>
          <w:numId w:val="26"/>
        </w:numPr>
        <w:jc w:val="both"/>
        <w:rPr>
          <w:rFonts w:asciiTheme="minorBidi" w:hAnsiTheme="minorBidi"/>
          <w:sz w:val="22"/>
          <w:lang w:val="en-US"/>
        </w:rPr>
      </w:pPr>
      <w:r w:rsidRPr="000C4244">
        <w:rPr>
          <w:rFonts w:asciiTheme="minorBidi" w:hAnsiTheme="minorBidi"/>
          <w:sz w:val="22"/>
          <w:lang w:val="en-US"/>
        </w:rPr>
        <w:t xml:space="preserve">Qualitative text-based assessment should be added at the top of each subsections that could assist users outside weather/climate communities in making inference on impacts or measure of seriousness. </w:t>
      </w:r>
    </w:p>
    <w:p w:rsidR="000932F2" w:rsidRPr="000C4244" w:rsidRDefault="000932F2" w:rsidP="000932F2">
      <w:pPr>
        <w:jc w:val="both"/>
        <w:rPr>
          <w:rFonts w:asciiTheme="minorBidi" w:hAnsiTheme="minorBidi" w:cstheme="minorBidi"/>
          <w:lang w:val="en-US"/>
        </w:rPr>
      </w:pPr>
    </w:p>
    <w:p w:rsidR="005B1949" w:rsidRPr="003B56C6" w:rsidRDefault="005B1949" w:rsidP="00873580">
      <w:pPr>
        <w:jc w:val="both"/>
        <w:rPr>
          <w:rFonts w:cs="Arial"/>
          <w:lang w:val="en-US"/>
        </w:rPr>
      </w:pPr>
    </w:p>
    <w:sectPr w:rsidR="005B1949" w:rsidRPr="003B56C6">
      <w:headerReference w:type="default" r:id="rId10"/>
      <w:headerReference w:type="first" r:id="rId11"/>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89" w:rsidRDefault="00081289">
      <w:r>
        <w:separator/>
      </w:r>
    </w:p>
  </w:endnote>
  <w:endnote w:type="continuationSeparator" w:id="0">
    <w:p w:rsidR="00081289" w:rsidRDefault="000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89" w:rsidRDefault="00081289">
      <w:r>
        <w:separator/>
      </w:r>
    </w:p>
  </w:footnote>
  <w:footnote w:type="continuationSeparator" w:id="0">
    <w:p w:rsidR="00081289" w:rsidRDefault="0008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0E33FF" w:rsidRDefault="00B13845"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4A0C12">
      <w:rPr>
        <w:rStyle w:val="PageNumber"/>
        <w:noProof/>
        <w:lang w:val="pt-PT"/>
      </w:rPr>
      <w:t>2</w:t>
    </w:r>
    <w:r w:rsidRPr="000E33FF">
      <w:rPr>
        <w:rStyle w:val="PageNumber"/>
      </w:rPr>
      <w:fldChar w:fldCharType="end"/>
    </w:r>
  </w:p>
  <w:p w:rsidR="00B13845" w:rsidRPr="000E33FF" w:rsidRDefault="00B13845"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p w:rsidR="00B13845" w:rsidRDefault="00B13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CE7858" w:rsidRDefault="00B13845" w:rsidP="006C4984">
    <w:pPr>
      <w:pStyle w:val="Header"/>
      <w:jc w:val="right"/>
      <w:rPr>
        <w:rStyle w:val="PageNumber"/>
        <w:lang w:val="fr-FR"/>
      </w:rPr>
    </w:pPr>
    <w:r w:rsidRPr="00C10CBB">
      <w:rPr>
        <w:color w:val="000000"/>
      </w:rPr>
      <w:t>CBS-DPFS/</w:t>
    </w:r>
    <w:r w:rsidR="00FB1FFA">
      <w:rPr>
        <w:color w:val="000000"/>
      </w:rPr>
      <w:t>IP</w:t>
    </w:r>
    <w:r w:rsidRPr="00C10CBB">
      <w:rPr>
        <w:color w:val="000000"/>
      </w:rPr>
      <w:t>ET-</w:t>
    </w:r>
    <w:r w:rsidR="00CE7858">
      <w:rPr>
        <w:color w:val="000000"/>
      </w:rPr>
      <w:t>OPSLS</w:t>
    </w:r>
    <w:r w:rsidRPr="00C10CBB">
      <w:rPr>
        <w:color w:val="000000"/>
      </w:rPr>
      <w:t>/</w:t>
    </w:r>
    <w:r w:rsidRPr="00EC7FD3">
      <w:rPr>
        <w:lang w:val="fr-FR"/>
      </w:rPr>
      <w:t xml:space="preserve">Doc. </w:t>
    </w:r>
    <w:r w:rsidR="006C4984">
      <w:rPr>
        <w:lang w:val="fr-FR"/>
      </w:rPr>
      <w:t>4.6</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6C4984">
      <w:rPr>
        <w:rStyle w:val="PageNumber"/>
        <w:noProof/>
        <w:lang w:val="fr-FR"/>
      </w:rPr>
      <w:t>5</w:t>
    </w:r>
    <w:r w:rsidRPr="000E33FF">
      <w:rPr>
        <w:rStyle w:val="PageNumber"/>
      </w:rPr>
      <w:fldChar w:fldCharType="end"/>
    </w:r>
  </w:p>
  <w:p w:rsidR="00B13845" w:rsidRPr="000E33FF" w:rsidRDefault="00B13845" w:rsidP="000E33FF">
    <w:pPr>
      <w:pStyle w:val="Heade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Pr="00CE7858" w:rsidRDefault="00B13845" w:rsidP="00CE7858">
    <w:pPr>
      <w:jc w:val="right"/>
      <w:rPr>
        <w:rStyle w:val="PageNumber"/>
        <w:lang w:val="fr-FR"/>
      </w:rPr>
    </w:pPr>
    <w:r w:rsidRPr="00C10CBB">
      <w:rPr>
        <w:color w:val="000000"/>
      </w:rPr>
      <w:t>CBS-DPFS/</w:t>
    </w:r>
    <w:r w:rsidR="005E4C41">
      <w:rPr>
        <w:color w:val="000000"/>
      </w:rPr>
      <w:t>IP</w:t>
    </w:r>
    <w:r w:rsidR="00CE7858">
      <w:rPr>
        <w:color w:val="000000"/>
      </w:rPr>
      <w:t>ET-OPSLS</w:t>
    </w:r>
    <w:r w:rsidRPr="00C10CBB">
      <w:rPr>
        <w:color w:val="000000"/>
      </w:rPr>
      <w:t xml:space="preserve"> /</w:t>
    </w:r>
    <w:r w:rsidRPr="00EC7FD3">
      <w:rPr>
        <w:lang w:val="fr-FR"/>
      </w:rPr>
      <w:t xml:space="preserve">Doc. </w:t>
    </w:r>
    <w:r w:rsidR="003D7EB2">
      <w:rPr>
        <w:lang w:val="fr-FR"/>
      </w:rPr>
      <w:t>4</w:t>
    </w:r>
    <w:r w:rsidRPr="00EC7FD3">
      <w:rPr>
        <w:lang w:val="fr-FR"/>
      </w:rPr>
      <w:t>.</w:t>
    </w:r>
    <w:r w:rsidR="003D7EB2">
      <w:rPr>
        <w:lang w:val="fr-FR"/>
      </w:rPr>
      <w:t>6</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6C4984">
      <w:rPr>
        <w:rStyle w:val="PageNumber"/>
        <w:noProof/>
        <w:lang w:val="fr-FR"/>
      </w:rPr>
      <w:t>2</w:t>
    </w:r>
    <w:r w:rsidRPr="000E33FF">
      <w:rPr>
        <w:rStyle w:val="PageNumber"/>
      </w:rPr>
      <w:fldChar w:fldCharType="end"/>
    </w:r>
  </w:p>
  <w:p w:rsidR="00B13845" w:rsidRDefault="00B13845" w:rsidP="00CB0EAD">
    <w:pPr>
      <w:pStyle w:val="Header"/>
      <w:jc w:val="right"/>
    </w:pPr>
  </w:p>
  <w:p w:rsidR="00B13845" w:rsidRDefault="00B13845" w:rsidP="00CB0E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5220839"/>
    <w:multiLevelType w:val="hybridMultilevel"/>
    <w:tmpl w:val="313C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4290ACC"/>
    <w:multiLevelType w:val="hybridMultilevel"/>
    <w:tmpl w:val="D26652E6"/>
    <w:lvl w:ilvl="0" w:tplc="3BCA487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C136E"/>
    <w:multiLevelType w:val="hybridMultilevel"/>
    <w:tmpl w:val="2B0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18B697E"/>
    <w:multiLevelType w:val="hybridMultilevel"/>
    <w:tmpl w:val="B58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39855733"/>
    <w:multiLevelType w:val="hybridMultilevel"/>
    <w:tmpl w:val="EE5E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9405C5D"/>
    <w:multiLevelType w:val="hybridMultilevel"/>
    <w:tmpl w:val="591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D3BEC"/>
    <w:multiLevelType w:val="hybridMultilevel"/>
    <w:tmpl w:val="EAD0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7">
    <w:nsid w:val="4CAF2398"/>
    <w:multiLevelType w:val="hybridMultilevel"/>
    <w:tmpl w:val="71C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0F23CE"/>
    <w:multiLevelType w:val="hybridMultilevel"/>
    <w:tmpl w:val="7B6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E0068B"/>
    <w:multiLevelType w:val="hybridMultilevel"/>
    <w:tmpl w:val="7A74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BF106F"/>
    <w:multiLevelType w:val="hybridMultilevel"/>
    <w:tmpl w:val="397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0"/>
  </w:num>
  <w:num w:numId="3">
    <w:abstractNumId w:val="8"/>
  </w:num>
  <w:num w:numId="4">
    <w:abstractNumId w:val="12"/>
  </w:num>
  <w:num w:numId="5">
    <w:abstractNumId w:val="13"/>
  </w:num>
  <w:num w:numId="6">
    <w:abstractNumId w:val="23"/>
  </w:num>
  <w:num w:numId="7">
    <w:abstractNumId w:val="3"/>
  </w:num>
  <w:num w:numId="8">
    <w:abstractNumId w:val="2"/>
  </w:num>
  <w:num w:numId="9">
    <w:abstractNumId w:val="10"/>
  </w:num>
  <w:num w:numId="10">
    <w:abstractNumId w:val="7"/>
  </w:num>
  <w:num w:numId="11">
    <w:abstractNumId w:val="24"/>
  </w:num>
  <w:num w:numId="12">
    <w:abstractNumId w:val="21"/>
  </w:num>
  <w:num w:numId="13">
    <w:abstractNumId w:val="16"/>
  </w:num>
  <w:num w:numId="14">
    <w:abstractNumId w:val="18"/>
  </w:num>
  <w:num w:numId="15">
    <w:abstractNumId w:val="26"/>
  </w:num>
  <w:num w:numId="16">
    <w:abstractNumId w:val="4"/>
  </w:num>
  <w:num w:numId="17">
    <w:abstractNumId w:val="15"/>
  </w:num>
  <w:num w:numId="18">
    <w:abstractNumId w:val="17"/>
  </w:num>
  <w:num w:numId="19">
    <w:abstractNumId w:val="6"/>
  </w:num>
  <w:num w:numId="20">
    <w:abstractNumId w:val="11"/>
  </w:num>
  <w:num w:numId="21">
    <w:abstractNumId w:val="19"/>
  </w:num>
  <w:num w:numId="22">
    <w:abstractNumId w:val="9"/>
  </w:num>
  <w:num w:numId="23">
    <w:abstractNumId w:val="1"/>
  </w:num>
  <w:num w:numId="24">
    <w:abstractNumId w:val="25"/>
  </w:num>
  <w:num w:numId="25">
    <w:abstractNumId w:val="22"/>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E"/>
    <w:rsid w:val="00020E5F"/>
    <w:rsid w:val="00027B2D"/>
    <w:rsid w:val="00063D77"/>
    <w:rsid w:val="00074787"/>
    <w:rsid w:val="00081289"/>
    <w:rsid w:val="00081360"/>
    <w:rsid w:val="000932F2"/>
    <w:rsid w:val="00096BEB"/>
    <w:rsid w:val="000B266C"/>
    <w:rsid w:val="000C4244"/>
    <w:rsid w:val="000D63C6"/>
    <w:rsid w:val="000E33FF"/>
    <w:rsid w:val="000E72C8"/>
    <w:rsid w:val="000F532A"/>
    <w:rsid w:val="000F5B9C"/>
    <w:rsid w:val="00117A41"/>
    <w:rsid w:val="00123308"/>
    <w:rsid w:val="00147267"/>
    <w:rsid w:val="001520D7"/>
    <w:rsid w:val="00156040"/>
    <w:rsid w:val="00166615"/>
    <w:rsid w:val="00172B35"/>
    <w:rsid w:val="00173C09"/>
    <w:rsid w:val="001974E0"/>
    <w:rsid w:val="001A4F2C"/>
    <w:rsid w:val="001B0632"/>
    <w:rsid w:val="001B1E6A"/>
    <w:rsid w:val="001B679A"/>
    <w:rsid w:val="001B7E9E"/>
    <w:rsid w:val="001C40E4"/>
    <w:rsid w:val="001D0700"/>
    <w:rsid w:val="001E535F"/>
    <w:rsid w:val="001F07AB"/>
    <w:rsid w:val="0020326D"/>
    <w:rsid w:val="0022229B"/>
    <w:rsid w:val="00222EE0"/>
    <w:rsid w:val="00226279"/>
    <w:rsid w:val="00226851"/>
    <w:rsid w:val="002379E2"/>
    <w:rsid w:val="002478DA"/>
    <w:rsid w:val="0025607C"/>
    <w:rsid w:val="00271B0A"/>
    <w:rsid w:val="00271E5C"/>
    <w:rsid w:val="00287C8B"/>
    <w:rsid w:val="0029352D"/>
    <w:rsid w:val="002D193E"/>
    <w:rsid w:val="002D4B2D"/>
    <w:rsid w:val="002E2301"/>
    <w:rsid w:val="00314F9D"/>
    <w:rsid w:val="00327E4C"/>
    <w:rsid w:val="003628D2"/>
    <w:rsid w:val="003630EF"/>
    <w:rsid w:val="003703B7"/>
    <w:rsid w:val="00372D88"/>
    <w:rsid w:val="00373D74"/>
    <w:rsid w:val="00387792"/>
    <w:rsid w:val="003A3272"/>
    <w:rsid w:val="003A5DA5"/>
    <w:rsid w:val="003B4AA5"/>
    <w:rsid w:val="003B56C6"/>
    <w:rsid w:val="003D3990"/>
    <w:rsid w:val="003D6D3C"/>
    <w:rsid w:val="003D7EB2"/>
    <w:rsid w:val="003E6793"/>
    <w:rsid w:val="003F2080"/>
    <w:rsid w:val="00413575"/>
    <w:rsid w:val="00422A28"/>
    <w:rsid w:val="00425C05"/>
    <w:rsid w:val="004334D1"/>
    <w:rsid w:val="0043651A"/>
    <w:rsid w:val="004426DF"/>
    <w:rsid w:val="00444BBD"/>
    <w:rsid w:val="00495372"/>
    <w:rsid w:val="004A0C12"/>
    <w:rsid w:val="004A2F46"/>
    <w:rsid w:val="004A5C05"/>
    <w:rsid w:val="004B2D46"/>
    <w:rsid w:val="004B34E1"/>
    <w:rsid w:val="004D167A"/>
    <w:rsid w:val="004D2253"/>
    <w:rsid w:val="004F24F2"/>
    <w:rsid w:val="005109F9"/>
    <w:rsid w:val="00515606"/>
    <w:rsid w:val="00546D4A"/>
    <w:rsid w:val="00560BE1"/>
    <w:rsid w:val="00582180"/>
    <w:rsid w:val="005A2395"/>
    <w:rsid w:val="005B1949"/>
    <w:rsid w:val="005C4FF7"/>
    <w:rsid w:val="005E4C41"/>
    <w:rsid w:val="005E6E9F"/>
    <w:rsid w:val="00604C71"/>
    <w:rsid w:val="00615650"/>
    <w:rsid w:val="00616C0A"/>
    <w:rsid w:val="0063333A"/>
    <w:rsid w:val="00634E86"/>
    <w:rsid w:val="006529A8"/>
    <w:rsid w:val="00654F8D"/>
    <w:rsid w:val="00656CFD"/>
    <w:rsid w:val="00674455"/>
    <w:rsid w:val="006B71B0"/>
    <w:rsid w:val="006C0F51"/>
    <w:rsid w:val="006C4984"/>
    <w:rsid w:val="006C53DA"/>
    <w:rsid w:val="006F0BA5"/>
    <w:rsid w:val="006F2DA2"/>
    <w:rsid w:val="00710F31"/>
    <w:rsid w:val="00714AB9"/>
    <w:rsid w:val="00724664"/>
    <w:rsid w:val="007256AC"/>
    <w:rsid w:val="00750DA8"/>
    <w:rsid w:val="00770EE7"/>
    <w:rsid w:val="007801D8"/>
    <w:rsid w:val="0078289D"/>
    <w:rsid w:val="00793916"/>
    <w:rsid w:val="007A333E"/>
    <w:rsid w:val="007C125B"/>
    <w:rsid w:val="007C189B"/>
    <w:rsid w:val="007C71B3"/>
    <w:rsid w:val="007D0C05"/>
    <w:rsid w:val="007E12A3"/>
    <w:rsid w:val="007F6B9B"/>
    <w:rsid w:val="00827DF8"/>
    <w:rsid w:val="0083130A"/>
    <w:rsid w:val="008527CA"/>
    <w:rsid w:val="00870D99"/>
    <w:rsid w:val="00873580"/>
    <w:rsid w:val="00893550"/>
    <w:rsid w:val="008A20F1"/>
    <w:rsid w:val="008B3771"/>
    <w:rsid w:val="00904476"/>
    <w:rsid w:val="00981403"/>
    <w:rsid w:val="00994FEF"/>
    <w:rsid w:val="009B38D2"/>
    <w:rsid w:val="009B7E2C"/>
    <w:rsid w:val="009C6AEA"/>
    <w:rsid w:val="009D43AE"/>
    <w:rsid w:val="009E1BB6"/>
    <w:rsid w:val="00A10A92"/>
    <w:rsid w:val="00A123C5"/>
    <w:rsid w:val="00A235FB"/>
    <w:rsid w:val="00A243F3"/>
    <w:rsid w:val="00A33610"/>
    <w:rsid w:val="00A33C32"/>
    <w:rsid w:val="00A369E0"/>
    <w:rsid w:val="00A41C21"/>
    <w:rsid w:val="00A93FD4"/>
    <w:rsid w:val="00AA4585"/>
    <w:rsid w:val="00AB2313"/>
    <w:rsid w:val="00AE55F0"/>
    <w:rsid w:val="00AF4610"/>
    <w:rsid w:val="00B13845"/>
    <w:rsid w:val="00B23EA3"/>
    <w:rsid w:val="00B413B8"/>
    <w:rsid w:val="00B56B53"/>
    <w:rsid w:val="00B6267F"/>
    <w:rsid w:val="00B9070B"/>
    <w:rsid w:val="00BA2767"/>
    <w:rsid w:val="00BB2907"/>
    <w:rsid w:val="00BD1D23"/>
    <w:rsid w:val="00BD3795"/>
    <w:rsid w:val="00BE4EA1"/>
    <w:rsid w:val="00C13EB8"/>
    <w:rsid w:val="00C1584E"/>
    <w:rsid w:val="00C503FA"/>
    <w:rsid w:val="00C50A59"/>
    <w:rsid w:val="00C71D9D"/>
    <w:rsid w:val="00C74D96"/>
    <w:rsid w:val="00C76C17"/>
    <w:rsid w:val="00CA58F9"/>
    <w:rsid w:val="00CB0EAD"/>
    <w:rsid w:val="00CD29D9"/>
    <w:rsid w:val="00CE7858"/>
    <w:rsid w:val="00D048CE"/>
    <w:rsid w:val="00D07254"/>
    <w:rsid w:val="00D10557"/>
    <w:rsid w:val="00D342B6"/>
    <w:rsid w:val="00D37C97"/>
    <w:rsid w:val="00D41344"/>
    <w:rsid w:val="00D45DF9"/>
    <w:rsid w:val="00D65805"/>
    <w:rsid w:val="00D760B5"/>
    <w:rsid w:val="00D94EA9"/>
    <w:rsid w:val="00DA1D32"/>
    <w:rsid w:val="00DC6E22"/>
    <w:rsid w:val="00DE3B6A"/>
    <w:rsid w:val="00DE71B4"/>
    <w:rsid w:val="00E00F14"/>
    <w:rsid w:val="00E01777"/>
    <w:rsid w:val="00E15308"/>
    <w:rsid w:val="00E50D14"/>
    <w:rsid w:val="00E61B68"/>
    <w:rsid w:val="00E647BD"/>
    <w:rsid w:val="00E83E28"/>
    <w:rsid w:val="00E90B22"/>
    <w:rsid w:val="00E937F0"/>
    <w:rsid w:val="00EA04BC"/>
    <w:rsid w:val="00EA5E26"/>
    <w:rsid w:val="00EC7FD3"/>
    <w:rsid w:val="00EF496A"/>
    <w:rsid w:val="00F05C57"/>
    <w:rsid w:val="00F302AF"/>
    <w:rsid w:val="00F3541B"/>
    <w:rsid w:val="00F44650"/>
    <w:rsid w:val="00FB1FFA"/>
    <w:rsid w:val="00FB62A5"/>
    <w:rsid w:val="00FF61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styleId="FootnoteText">
    <w:name w:val="footnote text"/>
    <w:basedOn w:val="Normal"/>
    <w:link w:val="FootnoteTextChar"/>
    <w:rsid w:val="00EA04BC"/>
    <w:pPr>
      <w:snapToGrid w:val="0"/>
    </w:pPr>
    <w:rPr>
      <w:szCs w:val="24"/>
      <w:lang w:val="en-GB"/>
    </w:rPr>
  </w:style>
  <w:style w:type="character" w:customStyle="1" w:styleId="FootnoteTextChar">
    <w:name w:val="Footnote Text Char"/>
    <w:link w:val="FootnoteText"/>
    <w:rsid w:val="00EA04BC"/>
    <w:rPr>
      <w:rFonts w:ascii="Arial" w:hAnsi="Arial"/>
      <w:sz w:val="22"/>
      <w:szCs w:val="24"/>
      <w:lang w:val="en-GB" w:eastAsia="zh-CN"/>
    </w:rPr>
  </w:style>
  <w:style w:type="character" w:styleId="FootnoteReference">
    <w:name w:val="footnote reference"/>
    <w:rsid w:val="00EA04BC"/>
    <w:rPr>
      <w:vertAlign w:val="superscript"/>
    </w:rPr>
  </w:style>
  <w:style w:type="character" w:styleId="CommentReference">
    <w:name w:val="annotation reference"/>
    <w:rsid w:val="0020326D"/>
    <w:rPr>
      <w:sz w:val="18"/>
      <w:szCs w:val="18"/>
    </w:rPr>
  </w:style>
  <w:style w:type="paragraph" w:styleId="CommentText">
    <w:name w:val="annotation text"/>
    <w:basedOn w:val="Normal"/>
    <w:link w:val="CommentTextChar"/>
    <w:rsid w:val="0020326D"/>
    <w:rPr>
      <w:szCs w:val="24"/>
      <w:lang w:val="en-GB"/>
    </w:rPr>
  </w:style>
  <w:style w:type="character" w:customStyle="1" w:styleId="CommentTextChar">
    <w:name w:val="Comment Text Char"/>
    <w:link w:val="CommentText"/>
    <w:rsid w:val="0020326D"/>
    <w:rPr>
      <w:rFonts w:ascii="Arial" w:hAnsi="Arial"/>
      <w:sz w:val="22"/>
      <w:szCs w:val="24"/>
      <w:lang w:val="en-GB" w:eastAsia="zh-CN"/>
    </w:rPr>
  </w:style>
  <w:style w:type="paragraph" w:styleId="BalloonText">
    <w:name w:val="Balloon Text"/>
    <w:basedOn w:val="Normal"/>
    <w:link w:val="BalloonTextChar"/>
    <w:rsid w:val="0020326D"/>
    <w:rPr>
      <w:rFonts w:eastAsia="MS Gothic"/>
      <w:sz w:val="18"/>
      <w:szCs w:val="18"/>
    </w:rPr>
  </w:style>
  <w:style w:type="character" w:customStyle="1" w:styleId="BalloonTextChar">
    <w:name w:val="Balloon Text Char"/>
    <w:link w:val="BalloonText"/>
    <w:rsid w:val="0020326D"/>
    <w:rPr>
      <w:rFonts w:ascii="Arial" w:eastAsia="MS Gothic" w:hAnsi="Arial" w:cs="Times New Roman"/>
      <w:sz w:val="18"/>
      <w:szCs w:val="18"/>
      <w:lang w:val="fr-CH" w:eastAsia="zh-CN"/>
    </w:rPr>
  </w:style>
  <w:style w:type="paragraph" w:styleId="CommentSubject">
    <w:name w:val="annotation subject"/>
    <w:basedOn w:val="CommentText"/>
    <w:next w:val="CommentText"/>
    <w:link w:val="CommentSubjectChar"/>
    <w:rsid w:val="00CA58F9"/>
    <w:rPr>
      <w:b/>
      <w:bCs/>
      <w:sz w:val="20"/>
      <w:szCs w:val="20"/>
      <w:lang w:val="fr-CH"/>
    </w:rPr>
  </w:style>
  <w:style w:type="character" w:customStyle="1" w:styleId="CommentSubjectChar">
    <w:name w:val="Comment Subject Char"/>
    <w:basedOn w:val="CommentTextChar"/>
    <w:link w:val="CommentSubject"/>
    <w:rsid w:val="00CA58F9"/>
    <w:rPr>
      <w:rFonts w:ascii="Arial" w:hAnsi="Arial"/>
      <w:b/>
      <w:bCs/>
      <w:sz w:val="22"/>
      <w:szCs w:val="24"/>
      <w:lang w:val="fr-CH" w:eastAsia="zh-CN"/>
    </w:rPr>
  </w:style>
  <w:style w:type="paragraph" w:styleId="ListParagraph">
    <w:name w:val="List Paragraph"/>
    <w:basedOn w:val="Normal"/>
    <w:uiPriority w:val="34"/>
    <w:qFormat/>
    <w:rsid w:val="000932F2"/>
    <w:pPr>
      <w:spacing w:after="200" w:line="276" w:lineRule="auto"/>
      <w:ind w:left="720"/>
      <w:contextualSpacing/>
    </w:pPr>
    <w:rPr>
      <w:rFonts w:ascii="Verdana" w:eastAsiaTheme="minorEastAsia" w:hAnsi="Verdana" w:cstheme="minorBid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styleId="FootnoteText">
    <w:name w:val="footnote text"/>
    <w:basedOn w:val="Normal"/>
    <w:link w:val="FootnoteTextChar"/>
    <w:rsid w:val="00EA04BC"/>
    <w:pPr>
      <w:snapToGrid w:val="0"/>
    </w:pPr>
    <w:rPr>
      <w:szCs w:val="24"/>
      <w:lang w:val="en-GB"/>
    </w:rPr>
  </w:style>
  <w:style w:type="character" w:customStyle="1" w:styleId="FootnoteTextChar">
    <w:name w:val="Footnote Text Char"/>
    <w:link w:val="FootnoteText"/>
    <w:rsid w:val="00EA04BC"/>
    <w:rPr>
      <w:rFonts w:ascii="Arial" w:hAnsi="Arial"/>
      <w:sz w:val="22"/>
      <w:szCs w:val="24"/>
      <w:lang w:val="en-GB" w:eastAsia="zh-CN"/>
    </w:rPr>
  </w:style>
  <w:style w:type="character" w:styleId="FootnoteReference">
    <w:name w:val="footnote reference"/>
    <w:rsid w:val="00EA04BC"/>
    <w:rPr>
      <w:vertAlign w:val="superscript"/>
    </w:rPr>
  </w:style>
  <w:style w:type="character" w:styleId="CommentReference">
    <w:name w:val="annotation reference"/>
    <w:rsid w:val="0020326D"/>
    <w:rPr>
      <w:sz w:val="18"/>
      <w:szCs w:val="18"/>
    </w:rPr>
  </w:style>
  <w:style w:type="paragraph" w:styleId="CommentText">
    <w:name w:val="annotation text"/>
    <w:basedOn w:val="Normal"/>
    <w:link w:val="CommentTextChar"/>
    <w:rsid w:val="0020326D"/>
    <w:rPr>
      <w:szCs w:val="24"/>
      <w:lang w:val="en-GB"/>
    </w:rPr>
  </w:style>
  <w:style w:type="character" w:customStyle="1" w:styleId="CommentTextChar">
    <w:name w:val="Comment Text Char"/>
    <w:link w:val="CommentText"/>
    <w:rsid w:val="0020326D"/>
    <w:rPr>
      <w:rFonts w:ascii="Arial" w:hAnsi="Arial"/>
      <w:sz w:val="22"/>
      <w:szCs w:val="24"/>
      <w:lang w:val="en-GB" w:eastAsia="zh-CN"/>
    </w:rPr>
  </w:style>
  <w:style w:type="paragraph" w:styleId="BalloonText">
    <w:name w:val="Balloon Text"/>
    <w:basedOn w:val="Normal"/>
    <w:link w:val="BalloonTextChar"/>
    <w:rsid w:val="0020326D"/>
    <w:rPr>
      <w:rFonts w:eastAsia="MS Gothic"/>
      <w:sz w:val="18"/>
      <w:szCs w:val="18"/>
    </w:rPr>
  </w:style>
  <w:style w:type="character" w:customStyle="1" w:styleId="BalloonTextChar">
    <w:name w:val="Balloon Text Char"/>
    <w:link w:val="BalloonText"/>
    <w:rsid w:val="0020326D"/>
    <w:rPr>
      <w:rFonts w:ascii="Arial" w:eastAsia="MS Gothic" w:hAnsi="Arial" w:cs="Times New Roman"/>
      <w:sz w:val="18"/>
      <w:szCs w:val="18"/>
      <w:lang w:val="fr-CH" w:eastAsia="zh-CN"/>
    </w:rPr>
  </w:style>
  <w:style w:type="paragraph" w:styleId="CommentSubject">
    <w:name w:val="annotation subject"/>
    <w:basedOn w:val="CommentText"/>
    <w:next w:val="CommentText"/>
    <w:link w:val="CommentSubjectChar"/>
    <w:rsid w:val="00CA58F9"/>
    <w:rPr>
      <w:b/>
      <w:bCs/>
      <w:sz w:val="20"/>
      <w:szCs w:val="20"/>
      <w:lang w:val="fr-CH"/>
    </w:rPr>
  </w:style>
  <w:style w:type="character" w:customStyle="1" w:styleId="CommentSubjectChar">
    <w:name w:val="Comment Subject Char"/>
    <w:basedOn w:val="CommentTextChar"/>
    <w:link w:val="CommentSubject"/>
    <w:rsid w:val="00CA58F9"/>
    <w:rPr>
      <w:rFonts w:ascii="Arial" w:hAnsi="Arial"/>
      <w:b/>
      <w:bCs/>
      <w:sz w:val="22"/>
      <w:szCs w:val="24"/>
      <w:lang w:val="fr-CH" w:eastAsia="zh-CN"/>
    </w:rPr>
  </w:style>
  <w:style w:type="paragraph" w:styleId="ListParagraph">
    <w:name w:val="List Paragraph"/>
    <w:basedOn w:val="Normal"/>
    <w:uiPriority w:val="34"/>
    <w:qFormat/>
    <w:rsid w:val="000932F2"/>
    <w:pPr>
      <w:spacing w:after="200" w:line="276" w:lineRule="auto"/>
      <w:ind w:left="720"/>
      <w:contextualSpacing/>
    </w:pPr>
    <w:rPr>
      <w:rFonts w:ascii="Verdana" w:eastAsiaTheme="minorEastAsia" w:hAnsi="Verdana" w:cstheme="minorBid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1711</Words>
  <Characters>9733</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CBS SWFDP-SG Feb 2010</vt:lpstr>
      <vt:lpstr>CBS SWFDP-SG Feb 2010</vt:lpstr>
    </vt:vector>
  </TitlesOfParts>
  <Company>wmo</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creator>Soares A</dc:creator>
  <cp:lastModifiedBy>Pascale Gomez</cp:lastModifiedBy>
  <cp:revision>2</cp:revision>
  <cp:lastPrinted>2005-10-10T10:27:00Z</cp:lastPrinted>
  <dcterms:created xsi:type="dcterms:W3CDTF">2018-05-31T08:20:00Z</dcterms:created>
  <dcterms:modified xsi:type="dcterms:W3CDTF">2018-05-31T08:20:00Z</dcterms:modified>
</cp:coreProperties>
</file>