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6367DC" w14:paraId="00263D00" w14:textId="77777777">
        <w:tc>
          <w:tcPr>
            <w:tcW w:w="5070" w:type="dxa"/>
          </w:tcPr>
          <w:p w14:paraId="7CA7FCD4" w14:textId="77777777" w:rsidR="00EC7FD3" w:rsidRPr="00C10CBB" w:rsidRDefault="00EC7FD3" w:rsidP="00EC7FD3">
            <w:pPr>
              <w:pStyle w:val="Heading1"/>
              <w:rPr>
                <w:color w:val="000000"/>
              </w:rPr>
            </w:pPr>
            <w:r w:rsidRPr="00C10CBB">
              <w:rPr>
                <w:color w:val="000000"/>
              </w:rPr>
              <w:t>WORLD METEOROLOGICAL ORGANIZATION</w:t>
            </w:r>
          </w:p>
          <w:p w14:paraId="539B41C8" w14:textId="77777777" w:rsidR="00EC7FD3" w:rsidRPr="00C10CBB" w:rsidRDefault="00EC7FD3" w:rsidP="00EC7FD3">
            <w:pPr>
              <w:pStyle w:val="Heading1"/>
              <w:rPr>
                <w:color w:val="000000"/>
              </w:rPr>
            </w:pPr>
          </w:p>
          <w:p w14:paraId="06377DBC" w14:textId="77777777" w:rsidR="00EC7FD3" w:rsidRPr="00C10CBB" w:rsidRDefault="00EC7FD3" w:rsidP="00EC7FD3">
            <w:pPr>
              <w:pStyle w:val="Heading1"/>
              <w:rPr>
                <w:color w:val="000000"/>
              </w:rPr>
            </w:pPr>
          </w:p>
          <w:p w14:paraId="19DF543D" w14:textId="77777777" w:rsidR="00EC7FD3" w:rsidRPr="00C10CBB" w:rsidRDefault="00EC7FD3" w:rsidP="00EC7FD3">
            <w:pPr>
              <w:pStyle w:val="Heading1"/>
              <w:rPr>
                <w:color w:val="000000"/>
              </w:rPr>
            </w:pPr>
            <w:r w:rsidRPr="00C10CBB">
              <w:rPr>
                <w:color w:val="000000"/>
              </w:rPr>
              <w:t>COMMISSION FOR BASIC SYSTEMS</w:t>
            </w:r>
            <w:r w:rsidRPr="00C10CBB">
              <w:rPr>
                <w:color w:val="000000"/>
              </w:rPr>
              <w:br/>
              <w:t>OPAG on DPFS</w:t>
            </w:r>
          </w:p>
          <w:p w14:paraId="27AF71D1" w14:textId="77777777" w:rsidR="00EC7FD3" w:rsidRPr="00C10CBB" w:rsidRDefault="00EC7FD3" w:rsidP="00EC7FD3">
            <w:pPr>
              <w:pStyle w:val="Heading1"/>
              <w:rPr>
                <w:color w:val="000000"/>
              </w:rPr>
            </w:pPr>
          </w:p>
          <w:p w14:paraId="10AE279C" w14:textId="77777777" w:rsidR="00B6267F" w:rsidRPr="00B21BFB" w:rsidRDefault="00B6267F" w:rsidP="00B6267F">
            <w:pPr>
              <w:pStyle w:val="Title"/>
              <w:spacing w:line="0" w:lineRule="atLeast"/>
              <w:rPr>
                <w:rFonts w:cs="Arial"/>
                <w:caps/>
              </w:rPr>
            </w:pPr>
            <w:r w:rsidRPr="00B21BFB">
              <w:rPr>
                <w:rFonts w:cs="Arial"/>
                <w:caps/>
              </w:rPr>
              <w:t xml:space="preserve">Meeting of the Expert Team on Operational Prediction from </w:t>
            </w:r>
          </w:p>
          <w:p w14:paraId="0432467F" w14:textId="77777777" w:rsidR="00B6267F" w:rsidRPr="00B21BFB" w:rsidRDefault="00B6267F" w:rsidP="00B6267F">
            <w:pPr>
              <w:pStyle w:val="Title"/>
              <w:spacing w:line="0" w:lineRule="atLeast"/>
              <w:rPr>
                <w:rFonts w:cs="Arial"/>
                <w:caps/>
                <w:lang w:eastAsia="zh-CN"/>
              </w:rPr>
            </w:pPr>
            <w:r w:rsidRPr="00B21BFB">
              <w:rPr>
                <w:rFonts w:cs="Arial"/>
                <w:caps/>
              </w:rPr>
              <w:t>Sub-seasonal to Longer-time Scales</w:t>
            </w:r>
          </w:p>
          <w:p w14:paraId="17C719CE" w14:textId="77777777" w:rsidR="00EC7FD3" w:rsidRPr="00B6267F" w:rsidRDefault="00EC7FD3" w:rsidP="00EC7FD3">
            <w:pPr>
              <w:pStyle w:val="BodyTextIndent"/>
              <w:spacing w:after="0"/>
              <w:jc w:val="center"/>
              <w:rPr>
                <w:snapToGrid w:val="0"/>
                <w:color w:val="000000"/>
                <w:lang w:val="en-GB"/>
              </w:rPr>
            </w:pPr>
          </w:p>
          <w:p w14:paraId="4C35B8FF" w14:textId="007D82AA" w:rsidR="00EC7FD3" w:rsidRPr="00C10CBB" w:rsidRDefault="00FE3DC4" w:rsidP="00EC7FD3">
            <w:pPr>
              <w:pStyle w:val="BodyTextIndent"/>
              <w:spacing w:after="0"/>
              <w:jc w:val="center"/>
              <w:rPr>
                <w:snapToGrid w:val="0"/>
                <w:color w:val="000000"/>
              </w:rPr>
            </w:pPr>
            <w:r>
              <w:rPr>
                <w:snapToGrid w:val="0"/>
                <w:color w:val="000000"/>
              </w:rPr>
              <w:t xml:space="preserve">Barcelona, Spain, 2-6 </w:t>
            </w:r>
            <w:proofErr w:type="spellStart"/>
            <w:r>
              <w:rPr>
                <w:snapToGrid w:val="0"/>
                <w:color w:val="000000"/>
              </w:rPr>
              <w:t>June</w:t>
            </w:r>
            <w:proofErr w:type="spellEnd"/>
            <w:r>
              <w:rPr>
                <w:snapToGrid w:val="0"/>
                <w:color w:val="000000"/>
              </w:rPr>
              <w:t xml:space="preserve"> 2018</w:t>
            </w:r>
          </w:p>
          <w:p w14:paraId="4406DB37" w14:textId="77777777" w:rsidR="00EC7FD3" w:rsidRPr="00C10CBB" w:rsidRDefault="00EC7FD3" w:rsidP="00EC7FD3">
            <w:pPr>
              <w:pStyle w:val="BodyTextIndent"/>
              <w:spacing w:after="0"/>
              <w:jc w:val="center"/>
              <w:rPr>
                <w:bCs/>
                <w:caps/>
              </w:rPr>
            </w:pPr>
          </w:p>
        </w:tc>
        <w:tc>
          <w:tcPr>
            <w:tcW w:w="567" w:type="dxa"/>
          </w:tcPr>
          <w:p w14:paraId="561498E2" w14:textId="77777777" w:rsidR="00EC7FD3" w:rsidRPr="00C10CBB" w:rsidRDefault="00EC7FD3" w:rsidP="00EC7FD3">
            <w:pPr>
              <w:rPr>
                <w:color w:val="000000"/>
              </w:rPr>
            </w:pPr>
          </w:p>
        </w:tc>
        <w:tc>
          <w:tcPr>
            <w:tcW w:w="4218" w:type="dxa"/>
          </w:tcPr>
          <w:p w14:paraId="6F39F003" w14:textId="6B613DB5" w:rsidR="00EC7FD3" w:rsidRPr="0017384C" w:rsidRDefault="00EC7FD3" w:rsidP="002B31B4">
            <w:pPr>
              <w:rPr>
                <w:color w:val="000000"/>
                <w:lang w:val="fr-FR"/>
              </w:rPr>
            </w:pPr>
            <w:r w:rsidRPr="0017384C">
              <w:rPr>
                <w:color w:val="000000"/>
                <w:lang w:val="fr-FR"/>
              </w:rPr>
              <w:t>CBS-DPFS/ET-</w:t>
            </w:r>
            <w:r w:rsidR="00B6267F">
              <w:rPr>
                <w:color w:val="000000"/>
                <w:lang w:val="fr-FR"/>
              </w:rPr>
              <w:t>OPSLS</w:t>
            </w:r>
            <w:r w:rsidRPr="0017384C">
              <w:rPr>
                <w:color w:val="000000"/>
                <w:lang w:val="fr-FR"/>
              </w:rPr>
              <w:t xml:space="preserve"> /Doc. </w:t>
            </w:r>
            <w:r>
              <w:rPr>
                <w:color w:val="000000"/>
                <w:lang w:val="fr-FR"/>
              </w:rPr>
              <w:t>4.1</w:t>
            </w:r>
            <w:r w:rsidR="006367DC">
              <w:rPr>
                <w:color w:val="000000"/>
                <w:lang w:val="fr-FR"/>
              </w:rPr>
              <w:t>(4)</w:t>
            </w:r>
            <w:bookmarkStart w:id="0" w:name="_GoBack"/>
            <w:bookmarkEnd w:id="0"/>
          </w:p>
          <w:p w14:paraId="1CB9A219" w14:textId="77777777" w:rsidR="00EC7FD3" w:rsidRPr="0017384C" w:rsidRDefault="00EC7FD3" w:rsidP="00EC7FD3">
            <w:pPr>
              <w:rPr>
                <w:color w:val="000000"/>
                <w:lang w:val="fr-FR"/>
              </w:rPr>
            </w:pPr>
          </w:p>
          <w:p w14:paraId="188C4811" w14:textId="77777777" w:rsidR="00EC7FD3" w:rsidRPr="00EC7FD3" w:rsidRDefault="00EC7FD3" w:rsidP="00EC7FD3">
            <w:pPr>
              <w:rPr>
                <w:color w:val="000000"/>
                <w:lang w:val="en-US"/>
              </w:rPr>
            </w:pPr>
            <w:r w:rsidRPr="00EC7FD3">
              <w:rPr>
                <w:color w:val="000000"/>
                <w:lang w:val="en-US"/>
              </w:rPr>
              <w:t>(</w:t>
            </w:r>
            <w:r w:rsidR="001C40E4">
              <w:rPr>
                <w:color w:val="000000"/>
                <w:lang w:val="en-US"/>
              </w:rPr>
              <w:t>22</w:t>
            </w:r>
            <w:r w:rsidRPr="00EC7FD3">
              <w:rPr>
                <w:color w:val="000000"/>
                <w:lang w:val="en-US"/>
              </w:rPr>
              <w:t>.</w:t>
            </w:r>
            <w:r w:rsidR="001C40E4">
              <w:rPr>
                <w:color w:val="000000"/>
                <w:lang w:val="en-US"/>
              </w:rPr>
              <w:t>I</w:t>
            </w:r>
            <w:r w:rsidRPr="00EC7FD3">
              <w:rPr>
                <w:color w:val="000000"/>
                <w:lang w:val="en-US"/>
              </w:rPr>
              <w:t>II.201</w:t>
            </w:r>
            <w:r w:rsidR="001C40E4">
              <w:rPr>
                <w:color w:val="000000"/>
                <w:lang w:val="en-US"/>
              </w:rPr>
              <w:t>6</w:t>
            </w:r>
            <w:r w:rsidRPr="00EC7FD3">
              <w:rPr>
                <w:color w:val="000000"/>
                <w:lang w:val="en-US"/>
              </w:rPr>
              <w:t>)</w:t>
            </w:r>
          </w:p>
          <w:p w14:paraId="58B56361" w14:textId="77777777" w:rsidR="00EC7FD3" w:rsidRPr="00EC7FD3" w:rsidRDefault="00EC7FD3" w:rsidP="00EC7FD3">
            <w:pPr>
              <w:rPr>
                <w:color w:val="000000"/>
                <w:lang w:val="en-US"/>
              </w:rPr>
            </w:pPr>
            <w:r w:rsidRPr="00EC7FD3">
              <w:rPr>
                <w:color w:val="000000"/>
                <w:lang w:val="en-US"/>
              </w:rPr>
              <w:t>_______</w:t>
            </w:r>
          </w:p>
          <w:p w14:paraId="41B26AB6" w14:textId="77777777" w:rsidR="00EC7FD3" w:rsidRPr="00EC7FD3" w:rsidRDefault="00EC7FD3" w:rsidP="00EC7FD3">
            <w:pPr>
              <w:rPr>
                <w:color w:val="000000"/>
                <w:lang w:val="en-US"/>
              </w:rPr>
            </w:pPr>
          </w:p>
          <w:p w14:paraId="74B4A639" w14:textId="77777777" w:rsidR="00EC7FD3" w:rsidRPr="00EC7FD3" w:rsidRDefault="00EC7FD3" w:rsidP="00EC7FD3">
            <w:pPr>
              <w:rPr>
                <w:color w:val="000000"/>
                <w:lang w:val="en-US"/>
              </w:rPr>
            </w:pPr>
            <w:r w:rsidRPr="00EC7FD3">
              <w:rPr>
                <w:color w:val="000000"/>
                <w:lang w:val="en-US"/>
              </w:rPr>
              <w:t xml:space="preserve">Agenda item : </w:t>
            </w:r>
            <w:r>
              <w:rPr>
                <w:color w:val="000000"/>
                <w:lang w:val="en-US"/>
              </w:rPr>
              <w:t>4.1</w:t>
            </w:r>
          </w:p>
          <w:p w14:paraId="5159DE4E" w14:textId="77777777" w:rsidR="00EC7FD3" w:rsidRPr="00EC7FD3" w:rsidRDefault="00EC7FD3" w:rsidP="00EC7FD3">
            <w:pPr>
              <w:rPr>
                <w:color w:val="000000"/>
                <w:lang w:val="en-US"/>
              </w:rPr>
            </w:pPr>
          </w:p>
          <w:p w14:paraId="7FB22B14" w14:textId="77777777" w:rsidR="00EC7FD3" w:rsidRPr="00EC7FD3" w:rsidRDefault="00EC7FD3" w:rsidP="00EC7FD3">
            <w:pPr>
              <w:rPr>
                <w:color w:val="000000"/>
                <w:lang w:val="en-US"/>
              </w:rPr>
            </w:pPr>
          </w:p>
          <w:p w14:paraId="712B88D0" w14:textId="77777777" w:rsidR="00EC7FD3" w:rsidRPr="00EC7FD3" w:rsidRDefault="00EC7FD3" w:rsidP="00EC7FD3">
            <w:pPr>
              <w:rPr>
                <w:color w:val="000000"/>
                <w:lang w:val="en-US"/>
              </w:rPr>
            </w:pPr>
          </w:p>
          <w:p w14:paraId="2E2C78CB" w14:textId="77777777" w:rsidR="00EC7FD3" w:rsidRPr="00EC7FD3" w:rsidRDefault="00EC7FD3" w:rsidP="00EC7FD3">
            <w:pPr>
              <w:rPr>
                <w:color w:val="000000"/>
                <w:lang w:val="en-US"/>
              </w:rPr>
            </w:pPr>
          </w:p>
          <w:p w14:paraId="7B22C681" w14:textId="77777777" w:rsidR="00EC7FD3" w:rsidRPr="00EC7FD3" w:rsidRDefault="00EC7FD3" w:rsidP="00EC7FD3">
            <w:pPr>
              <w:rPr>
                <w:color w:val="000000"/>
                <w:lang w:val="en-US"/>
              </w:rPr>
            </w:pPr>
            <w:r w:rsidRPr="00EC7FD3">
              <w:rPr>
                <w:color w:val="000000"/>
                <w:lang w:val="en-US"/>
              </w:rPr>
              <w:t>ENGLISH ONLY</w:t>
            </w:r>
          </w:p>
        </w:tc>
      </w:tr>
    </w:tbl>
    <w:p w14:paraId="55FEDF79" w14:textId="77777777" w:rsidR="00EC7FD3" w:rsidRDefault="00EC7FD3" w:rsidP="00BD1D23">
      <w:pPr>
        <w:pStyle w:val="BodyText3"/>
        <w:ind w:left="851" w:right="849"/>
        <w:jc w:val="center"/>
        <w:rPr>
          <w:b/>
        </w:rPr>
      </w:pPr>
    </w:p>
    <w:p w14:paraId="2DD000D2" w14:textId="77777777" w:rsidR="00B6267F" w:rsidRDefault="00B6267F" w:rsidP="00BD1D23">
      <w:pPr>
        <w:pStyle w:val="BodyText3"/>
        <w:ind w:left="851" w:right="849"/>
        <w:jc w:val="center"/>
        <w:rPr>
          <w:b/>
        </w:rPr>
      </w:pPr>
    </w:p>
    <w:p w14:paraId="1FBC54AE" w14:textId="77777777" w:rsidR="00B6267F" w:rsidRDefault="00B6267F" w:rsidP="00BD1D23">
      <w:pPr>
        <w:pStyle w:val="BodyText3"/>
        <w:ind w:left="851" w:right="849"/>
        <w:jc w:val="center"/>
        <w:rPr>
          <w:b/>
        </w:rPr>
      </w:pPr>
    </w:p>
    <w:p w14:paraId="17094944" w14:textId="77777777" w:rsidR="00BD1D23" w:rsidRPr="003B56C6" w:rsidRDefault="005B1949" w:rsidP="00BD1D23">
      <w:pPr>
        <w:pStyle w:val="BodyText3"/>
        <w:ind w:left="851" w:right="849"/>
        <w:jc w:val="center"/>
        <w:rPr>
          <w:b/>
        </w:rPr>
      </w:pPr>
      <w:r>
        <w:rPr>
          <w:b/>
        </w:rPr>
        <w:t>REVIEW OF THE WORK, FUNCTIONS AND SPECIFIC NEEDS OF THE GLOBAL PRODUCING CENTRES (GPCs)</w:t>
      </w:r>
    </w:p>
    <w:p w14:paraId="5A4C7611" w14:textId="77777777" w:rsidR="00BD1D23" w:rsidRDefault="00BD1D23" w:rsidP="00BD1D23">
      <w:pPr>
        <w:pStyle w:val="BodyText3"/>
        <w:ind w:left="851" w:right="849"/>
        <w:jc w:val="center"/>
        <w:rPr>
          <w:b/>
        </w:rPr>
      </w:pPr>
    </w:p>
    <w:p w14:paraId="425A4524" w14:textId="77777777" w:rsidR="005B1949" w:rsidRPr="00A655F1" w:rsidRDefault="005B1949" w:rsidP="005B1949">
      <w:pPr>
        <w:jc w:val="center"/>
        <w:rPr>
          <w:sz w:val="24"/>
          <w:szCs w:val="24"/>
          <w:lang w:val="en-US"/>
        </w:rPr>
      </w:pPr>
      <w:r w:rsidRPr="005B1949">
        <w:rPr>
          <w:b/>
          <w:sz w:val="24"/>
          <w:szCs w:val="24"/>
          <w:lang w:val="en-US"/>
        </w:rPr>
        <w:t xml:space="preserve">STATUS / PROGRESS REPORT FOR </w:t>
      </w:r>
      <w:r w:rsidR="00A655F1" w:rsidRPr="002B31B4">
        <w:rPr>
          <w:b/>
          <w:sz w:val="24"/>
          <w:szCs w:val="24"/>
          <w:lang w:val="en-US"/>
        </w:rPr>
        <w:t>EXETER</w:t>
      </w:r>
    </w:p>
    <w:p w14:paraId="1C1B3D30" w14:textId="77777777" w:rsidR="00BD1D23" w:rsidRPr="003B56C6" w:rsidRDefault="00BD1D23" w:rsidP="00BD1D23">
      <w:pPr>
        <w:pStyle w:val="BodyText3"/>
        <w:ind w:left="851" w:right="849"/>
        <w:jc w:val="center"/>
        <w:rPr>
          <w:b/>
        </w:rPr>
      </w:pPr>
    </w:p>
    <w:p w14:paraId="5C071C5F" w14:textId="6CF4D08D" w:rsidR="00BD1D23" w:rsidRPr="003B56C6" w:rsidRDefault="00BD1D23" w:rsidP="00BD1D23">
      <w:pPr>
        <w:pStyle w:val="Title"/>
        <w:spacing w:line="360" w:lineRule="auto"/>
        <w:ind w:left="851" w:right="849"/>
        <w:rPr>
          <w:rFonts w:cs="Arial"/>
          <w:b w:val="0"/>
          <w:i/>
        </w:rPr>
      </w:pPr>
      <w:r w:rsidRPr="003B56C6">
        <w:rPr>
          <w:rFonts w:cs="Arial"/>
          <w:b w:val="0"/>
          <w:i/>
        </w:rPr>
        <w:t xml:space="preserve">(Submitted by </w:t>
      </w:r>
      <w:r w:rsidR="00FE3DC4">
        <w:rPr>
          <w:rFonts w:cs="Arial"/>
          <w:b w:val="0"/>
          <w:i/>
        </w:rPr>
        <w:t xml:space="preserve">Jeff Knight/Craig </w:t>
      </w:r>
      <w:proofErr w:type="spellStart"/>
      <w:r w:rsidR="00FE3DC4">
        <w:rPr>
          <w:rFonts w:cs="Arial"/>
          <w:b w:val="0"/>
          <w:i/>
        </w:rPr>
        <w:t>MacLachlan</w:t>
      </w:r>
      <w:proofErr w:type="spellEnd"/>
      <w:r w:rsidR="00A655F1">
        <w:rPr>
          <w:rFonts w:cs="Arial"/>
          <w:b w:val="0"/>
          <w:i/>
        </w:rPr>
        <w:t>)</w:t>
      </w:r>
    </w:p>
    <w:p w14:paraId="17D862B9" w14:textId="77777777" w:rsidR="00BD1D23" w:rsidRPr="002B31B4" w:rsidRDefault="00BD1D23" w:rsidP="00BD1D23">
      <w:pPr>
        <w:ind w:right="-1"/>
        <w:rPr>
          <w:rFonts w:cs="Arial"/>
          <w:lang w:val="en-US"/>
        </w:rPr>
      </w:pPr>
    </w:p>
    <w:p w14:paraId="6350107F" w14:textId="77777777" w:rsidR="00BD1D23" w:rsidRPr="002B31B4" w:rsidRDefault="00BD1D23" w:rsidP="00BD1D23">
      <w:pPr>
        <w:ind w:right="-1"/>
        <w:rPr>
          <w:rFonts w:cs="Arial"/>
          <w:lang w:val="en-US"/>
        </w:rPr>
      </w:pPr>
    </w:p>
    <w:p w14:paraId="1195C84F" w14:textId="77777777" w:rsidR="00BD1D23" w:rsidRPr="002B31B4" w:rsidRDefault="00BD1D23" w:rsidP="00BD1D23">
      <w:pPr>
        <w:ind w:right="-1"/>
        <w:rPr>
          <w:rFonts w:cs="Arial"/>
          <w:lang w:val="en-US"/>
        </w:rPr>
      </w:pPr>
    </w:p>
    <w:p w14:paraId="3A322EF4" w14:textId="77777777" w:rsidR="00BD1D23" w:rsidRPr="002B31B4" w:rsidRDefault="00BD1D23" w:rsidP="00BD1D23">
      <w:pPr>
        <w:ind w:right="-1"/>
        <w:rPr>
          <w:rFonts w:cs="Arial"/>
          <w:lang w:val="en-US"/>
        </w:rPr>
      </w:pPr>
    </w:p>
    <w:p w14:paraId="32401F95" w14:textId="77777777"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Summary and purpose of document</w:t>
      </w:r>
    </w:p>
    <w:p w14:paraId="610861E8" w14:textId="77777777" w:rsidR="00BD1D23" w:rsidRPr="003B56C6" w:rsidRDefault="00BD1D23" w:rsidP="00BD1D23">
      <w:pPr>
        <w:rPr>
          <w:rFonts w:cs="Arial"/>
          <w:lang w:val="en-US"/>
        </w:rPr>
      </w:pPr>
    </w:p>
    <w:p w14:paraId="19A0E5C3" w14:textId="77777777" w:rsidR="00BD1D23" w:rsidRPr="003B56C6" w:rsidRDefault="00BD1D23" w:rsidP="00BD1D23">
      <w:pPr>
        <w:rPr>
          <w:rFonts w:cs="Arial"/>
          <w:lang w:val="en-US"/>
        </w:rPr>
      </w:pPr>
    </w:p>
    <w:p w14:paraId="4C9B3392" w14:textId="77777777" w:rsidR="00BD1D23" w:rsidRPr="003B56C6" w:rsidRDefault="00BD1D23" w:rsidP="00BD1D23">
      <w:pPr>
        <w:pBdr>
          <w:top w:val="single" w:sz="4" w:space="1" w:color="auto"/>
        </w:pBdr>
        <w:ind w:left="1418" w:right="1416"/>
        <w:jc w:val="both"/>
        <w:rPr>
          <w:rFonts w:cs="Arial"/>
          <w:b/>
          <w:lang w:val="en-US"/>
        </w:rPr>
      </w:pPr>
    </w:p>
    <w:p w14:paraId="791637AF" w14:textId="77777777" w:rsidR="00BD1D23" w:rsidRPr="003B56C6" w:rsidRDefault="00BD1D23" w:rsidP="00BD1D23">
      <w:pPr>
        <w:pStyle w:val="BodyText3"/>
        <w:tabs>
          <w:tab w:val="left" w:pos="9214"/>
        </w:tabs>
        <w:ind w:left="1418" w:right="1416" w:firstLine="425"/>
      </w:pPr>
      <w:r w:rsidRPr="003B56C6">
        <w:t xml:space="preserve">This document </w:t>
      </w:r>
      <w:r w:rsidR="00A655F1">
        <w:t>provides information on GPC Exeter’s GloSea5 seasonal prediction system; compliance with GPC requirements for forecast schedule, configuration, products and verification; additional information provided to members and capacity development activities.</w:t>
      </w:r>
    </w:p>
    <w:p w14:paraId="646337FF" w14:textId="77777777" w:rsidR="00BD1D23" w:rsidRPr="003B56C6" w:rsidRDefault="00BD1D23" w:rsidP="00BD1D23">
      <w:pPr>
        <w:pStyle w:val="BodyText3"/>
        <w:tabs>
          <w:tab w:val="left" w:pos="9214"/>
        </w:tabs>
        <w:ind w:left="1418" w:right="1416" w:firstLine="425"/>
      </w:pPr>
    </w:p>
    <w:p w14:paraId="4D68228E" w14:textId="77777777" w:rsidR="00BD1D23" w:rsidRPr="003B56C6" w:rsidRDefault="00BD1D23" w:rsidP="00BD1D23">
      <w:pPr>
        <w:pStyle w:val="BodyText3"/>
        <w:tabs>
          <w:tab w:val="left" w:pos="9214"/>
        </w:tabs>
        <w:ind w:left="1418" w:right="1416" w:firstLine="425"/>
      </w:pPr>
    </w:p>
    <w:p w14:paraId="2F027129" w14:textId="77777777" w:rsidR="00BD1D23" w:rsidRPr="003B56C6" w:rsidRDefault="00BD1D23" w:rsidP="00BD1D23">
      <w:pPr>
        <w:pStyle w:val="BodyText3"/>
        <w:tabs>
          <w:tab w:val="left" w:pos="2250"/>
        </w:tabs>
        <w:ind w:left="1418" w:right="1416" w:firstLine="425"/>
        <w:rPr>
          <w:b/>
        </w:rPr>
      </w:pPr>
    </w:p>
    <w:p w14:paraId="0BBC07FE" w14:textId="77777777" w:rsidR="00BD1D23" w:rsidRPr="003B56C6" w:rsidRDefault="00BD1D23" w:rsidP="00BD1D23">
      <w:pPr>
        <w:pBdr>
          <w:bottom w:val="single" w:sz="4" w:space="1" w:color="auto"/>
        </w:pBdr>
        <w:ind w:left="1418" w:right="1416"/>
        <w:jc w:val="both"/>
        <w:rPr>
          <w:rFonts w:cs="Arial"/>
          <w:lang w:val="en-US"/>
        </w:rPr>
      </w:pPr>
    </w:p>
    <w:p w14:paraId="478B436F" w14:textId="77777777" w:rsidR="00BD1D23" w:rsidRPr="003B56C6" w:rsidRDefault="00BD1D23" w:rsidP="00BD1D23">
      <w:pPr>
        <w:pStyle w:val="BodyText3"/>
        <w:tabs>
          <w:tab w:val="left" w:pos="9214"/>
        </w:tabs>
        <w:ind w:left="1418" w:right="1416"/>
        <w:rPr>
          <w:b/>
        </w:rPr>
      </w:pPr>
    </w:p>
    <w:p w14:paraId="44A6E0F3" w14:textId="77777777" w:rsidR="00BD1D23" w:rsidRPr="003B56C6" w:rsidRDefault="00BD1D23" w:rsidP="00BD1D23">
      <w:pPr>
        <w:pStyle w:val="BodyText3"/>
        <w:tabs>
          <w:tab w:val="left" w:pos="9214"/>
        </w:tabs>
        <w:ind w:left="1418" w:right="1416"/>
        <w:rPr>
          <w:b/>
        </w:rPr>
      </w:pPr>
    </w:p>
    <w:p w14:paraId="5110AC22" w14:textId="77777777"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Action Proposed</w:t>
      </w:r>
    </w:p>
    <w:p w14:paraId="07A876BC" w14:textId="77777777" w:rsidR="00BD1D23" w:rsidRPr="003B56C6" w:rsidRDefault="00BD1D23" w:rsidP="00BD1D23">
      <w:pPr>
        <w:rPr>
          <w:rFonts w:cs="Arial"/>
          <w:lang w:val="en-US"/>
        </w:rPr>
      </w:pPr>
    </w:p>
    <w:p w14:paraId="64DFD0BA" w14:textId="77777777" w:rsidR="00BD1D23" w:rsidRPr="003B56C6" w:rsidRDefault="00BD1D23" w:rsidP="00BD1D23">
      <w:pPr>
        <w:rPr>
          <w:rFonts w:cs="Arial"/>
          <w:lang w:val="en-US"/>
        </w:rPr>
      </w:pPr>
      <w:r w:rsidRPr="003B56C6">
        <w:rPr>
          <w:rFonts w:cs="Arial"/>
          <w:lang w:val="en-US"/>
        </w:rPr>
        <w:t>The meeting is invited to</w:t>
      </w:r>
      <w:r w:rsidR="00A655F1">
        <w:rPr>
          <w:rFonts w:cs="Arial"/>
          <w:lang w:val="en-US"/>
        </w:rPr>
        <w:t xml:space="preserve"> note and consider the contents.</w:t>
      </w:r>
    </w:p>
    <w:p w14:paraId="795765E1" w14:textId="77777777" w:rsidR="00147267" w:rsidRPr="003B56C6" w:rsidRDefault="00147267" w:rsidP="00BD1D23">
      <w:pPr>
        <w:jc w:val="center"/>
        <w:rPr>
          <w:rFonts w:cs="Arial"/>
          <w:lang w:val="en-US"/>
        </w:rPr>
      </w:pPr>
    </w:p>
    <w:p w14:paraId="28EC61AD" w14:textId="77777777" w:rsidR="00BD1D23" w:rsidRPr="003B56C6" w:rsidRDefault="00BD1D23" w:rsidP="00BD1D23">
      <w:pPr>
        <w:jc w:val="center"/>
        <w:rPr>
          <w:rFonts w:cs="Arial"/>
          <w:lang w:val="en-US"/>
        </w:rPr>
      </w:pPr>
    </w:p>
    <w:p w14:paraId="0F6BE3EC" w14:textId="77777777" w:rsidR="00123308" w:rsidRPr="003B56C6" w:rsidRDefault="00123308" w:rsidP="00BD1D23">
      <w:pPr>
        <w:jc w:val="center"/>
        <w:rPr>
          <w:rFonts w:cs="Arial"/>
          <w:lang w:val="en-US"/>
        </w:rPr>
      </w:pPr>
    </w:p>
    <w:p w14:paraId="39137F72" w14:textId="77777777" w:rsidR="00123308" w:rsidRPr="003B56C6" w:rsidRDefault="00123308" w:rsidP="00BD1D23">
      <w:pPr>
        <w:jc w:val="center"/>
        <w:rPr>
          <w:rFonts w:cs="Arial"/>
          <w:lang w:val="en-US"/>
        </w:rPr>
      </w:pPr>
    </w:p>
    <w:p w14:paraId="3C0D006C" w14:textId="77777777" w:rsidR="00123308" w:rsidRPr="003B56C6" w:rsidRDefault="00123308" w:rsidP="00123308">
      <w:pPr>
        <w:tabs>
          <w:tab w:val="left" w:pos="1440"/>
        </w:tabs>
        <w:rPr>
          <w:rFonts w:cs="Arial"/>
          <w:lang w:val="en-US"/>
        </w:rPr>
      </w:pPr>
    </w:p>
    <w:p w14:paraId="59D5F810" w14:textId="77777777" w:rsidR="00404C86" w:rsidRPr="002B31B4" w:rsidRDefault="00123308" w:rsidP="00A655F1">
      <w:pPr>
        <w:tabs>
          <w:tab w:val="left" w:pos="1440"/>
        </w:tabs>
        <w:rPr>
          <w:lang w:val="en-US"/>
        </w:rPr>
      </w:pPr>
      <w:r w:rsidRPr="003B56C6">
        <w:rPr>
          <w:rFonts w:cs="Arial"/>
          <w:b/>
          <w:lang w:val="en-US"/>
        </w:rPr>
        <w:t>Reference(s):</w:t>
      </w:r>
      <w:r w:rsidRPr="003B56C6">
        <w:rPr>
          <w:rFonts w:cs="Arial"/>
          <w:lang w:val="en-US"/>
        </w:rPr>
        <w:tab/>
      </w:r>
      <w:proofErr w:type="spellStart"/>
      <w:r w:rsidR="00404C86" w:rsidRPr="002B31B4">
        <w:rPr>
          <w:lang w:val="en-US"/>
        </w:rPr>
        <w:t>MacLachlan</w:t>
      </w:r>
      <w:proofErr w:type="spellEnd"/>
      <w:r w:rsidR="00404C86" w:rsidRPr="002B31B4">
        <w:rPr>
          <w:lang w:val="en-US"/>
        </w:rPr>
        <w:t xml:space="preserve">, C., </w:t>
      </w:r>
      <w:proofErr w:type="spellStart"/>
      <w:r w:rsidR="00404C86" w:rsidRPr="002B31B4">
        <w:rPr>
          <w:lang w:val="en-US"/>
        </w:rPr>
        <w:t>Arribas</w:t>
      </w:r>
      <w:proofErr w:type="spellEnd"/>
      <w:r w:rsidR="00404C86" w:rsidRPr="002B31B4">
        <w:rPr>
          <w:lang w:val="en-US"/>
        </w:rPr>
        <w:t xml:space="preserve">, A., Peterson, K. A., Maidens, A., </w:t>
      </w:r>
      <w:proofErr w:type="spellStart"/>
      <w:r w:rsidR="00404C86" w:rsidRPr="002B31B4">
        <w:rPr>
          <w:lang w:val="en-US"/>
        </w:rPr>
        <w:t>Fereday</w:t>
      </w:r>
      <w:proofErr w:type="spellEnd"/>
      <w:r w:rsidR="00404C86" w:rsidRPr="002B31B4">
        <w:rPr>
          <w:lang w:val="en-US"/>
        </w:rPr>
        <w:t xml:space="preserve">, D., </w:t>
      </w:r>
      <w:proofErr w:type="spellStart"/>
      <w:r w:rsidR="00404C86" w:rsidRPr="002B31B4">
        <w:rPr>
          <w:lang w:val="en-US"/>
        </w:rPr>
        <w:t>Scaife</w:t>
      </w:r>
      <w:proofErr w:type="spellEnd"/>
      <w:r w:rsidR="00404C86" w:rsidRPr="002B31B4">
        <w:rPr>
          <w:lang w:val="en-US"/>
        </w:rPr>
        <w:t xml:space="preserve">, A. A., Gordon, M., </w:t>
      </w:r>
      <w:proofErr w:type="spellStart"/>
      <w:r w:rsidR="00404C86" w:rsidRPr="002B31B4">
        <w:rPr>
          <w:lang w:val="en-US"/>
        </w:rPr>
        <w:t>Vellinga</w:t>
      </w:r>
      <w:proofErr w:type="spellEnd"/>
      <w:r w:rsidR="00404C86" w:rsidRPr="002B31B4">
        <w:rPr>
          <w:lang w:val="en-US"/>
        </w:rPr>
        <w:t xml:space="preserve">, M., Williams, A., Comer, R. E., Camp, J., Xavier, P. and </w:t>
      </w:r>
      <w:proofErr w:type="spellStart"/>
      <w:r w:rsidR="00404C86" w:rsidRPr="002B31B4">
        <w:rPr>
          <w:lang w:val="en-US"/>
        </w:rPr>
        <w:t>Madec</w:t>
      </w:r>
      <w:proofErr w:type="spellEnd"/>
      <w:r w:rsidR="00404C86" w:rsidRPr="002B31B4">
        <w:rPr>
          <w:lang w:val="en-US"/>
        </w:rPr>
        <w:t xml:space="preserve">, G. (2015), Global Seasonal forecast system version 5 (GloSea5): a high-resolution seasonal forecast system. Q.J.R. </w:t>
      </w:r>
      <w:proofErr w:type="spellStart"/>
      <w:r w:rsidR="00404C86" w:rsidRPr="002B31B4">
        <w:rPr>
          <w:lang w:val="en-US"/>
        </w:rPr>
        <w:t>Meteorol</w:t>
      </w:r>
      <w:proofErr w:type="spellEnd"/>
      <w:r w:rsidR="00404C86" w:rsidRPr="002B31B4">
        <w:rPr>
          <w:lang w:val="en-US"/>
        </w:rPr>
        <w:t xml:space="preserve">. Soc., 141: 1072–1084. </w:t>
      </w:r>
      <w:proofErr w:type="spellStart"/>
      <w:r w:rsidR="00404C86" w:rsidRPr="002B31B4">
        <w:rPr>
          <w:lang w:val="en-US"/>
        </w:rPr>
        <w:t>doi</w:t>
      </w:r>
      <w:proofErr w:type="spellEnd"/>
      <w:r w:rsidR="00404C86" w:rsidRPr="002B31B4">
        <w:rPr>
          <w:lang w:val="en-US"/>
        </w:rPr>
        <w:t>: 10.1002/qj.2396</w:t>
      </w:r>
    </w:p>
    <w:p w14:paraId="009A6CEF" w14:textId="77777777" w:rsidR="00A655F1" w:rsidRPr="00A655F1" w:rsidRDefault="00A655F1" w:rsidP="00A655F1">
      <w:pPr>
        <w:tabs>
          <w:tab w:val="left" w:pos="1440"/>
        </w:tabs>
        <w:rPr>
          <w:rFonts w:cs="Arial"/>
          <w:lang w:val="en-GB"/>
        </w:rPr>
      </w:pPr>
      <w:r w:rsidRPr="00A655F1">
        <w:rPr>
          <w:rFonts w:cs="Arial"/>
          <w:lang w:val="en-GB"/>
        </w:rPr>
        <w:t xml:space="preserve">Smith, D. and co-authors, 2012: Real-time multi-model decadal predictions. </w:t>
      </w:r>
      <w:proofErr w:type="spellStart"/>
      <w:r w:rsidRPr="00A655F1">
        <w:rPr>
          <w:rFonts w:cs="Arial"/>
          <w:lang w:val="en-GB"/>
        </w:rPr>
        <w:t>Clim</w:t>
      </w:r>
      <w:proofErr w:type="spellEnd"/>
      <w:r w:rsidRPr="00A655F1">
        <w:rPr>
          <w:rFonts w:cs="Arial"/>
          <w:lang w:val="en-GB"/>
        </w:rPr>
        <w:t xml:space="preserve">. </w:t>
      </w:r>
      <w:proofErr w:type="spellStart"/>
      <w:r w:rsidRPr="00A655F1">
        <w:rPr>
          <w:rFonts w:cs="Arial"/>
          <w:lang w:val="en-GB"/>
        </w:rPr>
        <w:t>Dyn</w:t>
      </w:r>
      <w:proofErr w:type="spellEnd"/>
      <w:r w:rsidRPr="00A655F1">
        <w:rPr>
          <w:rFonts w:cs="Arial"/>
          <w:lang w:val="en-GB"/>
        </w:rPr>
        <w:t>.</w:t>
      </w:r>
    </w:p>
    <w:p w14:paraId="3F51CE9D" w14:textId="77777777" w:rsidR="00BD1D23" w:rsidRPr="00A655F1" w:rsidRDefault="00A655F1" w:rsidP="00123308">
      <w:pPr>
        <w:tabs>
          <w:tab w:val="left" w:pos="1440"/>
        </w:tabs>
        <w:rPr>
          <w:rFonts w:cs="Arial"/>
          <w:lang w:val="en-GB"/>
        </w:rPr>
        <w:sectPr w:rsidR="00BD1D23" w:rsidRPr="00A655F1"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r w:rsidRPr="00A655F1">
        <w:rPr>
          <w:rFonts w:cs="Arial"/>
          <w:lang w:val="en-GB"/>
        </w:rPr>
        <w:t>DOI 10.1007/s00382-012-1600-0</w:t>
      </w:r>
    </w:p>
    <w:p w14:paraId="407022F2" w14:textId="77777777" w:rsidR="00B13845" w:rsidRPr="008414E0" w:rsidRDefault="00B13845" w:rsidP="00B13845">
      <w:pPr>
        <w:jc w:val="center"/>
        <w:rPr>
          <w:sz w:val="24"/>
          <w:szCs w:val="24"/>
          <w:lang w:val="en-US"/>
        </w:rPr>
      </w:pPr>
      <w:r w:rsidRPr="00B13845">
        <w:rPr>
          <w:b/>
          <w:sz w:val="24"/>
          <w:szCs w:val="24"/>
          <w:lang w:val="en-US"/>
        </w:rPr>
        <w:lastRenderedPageBreak/>
        <w:t xml:space="preserve">STATUS / PROGRESS REPORT FOR </w:t>
      </w:r>
      <w:r w:rsidR="008414E0" w:rsidRPr="002B31B4">
        <w:rPr>
          <w:b/>
          <w:sz w:val="24"/>
          <w:szCs w:val="24"/>
          <w:lang w:val="en-US"/>
        </w:rPr>
        <w:t>EXETER</w:t>
      </w:r>
    </w:p>
    <w:p w14:paraId="28F96EEA" w14:textId="77777777" w:rsidR="00B13845" w:rsidRPr="00B13845" w:rsidRDefault="00B13845" w:rsidP="00B13845">
      <w:pPr>
        <w:jc w:val="both"/>
        <w:rPr>
          <w:lang w:val="en-US"/>
        </w:rPr>
      </w:pPr>
    </w:p>
    <w:p w14:paraId="0420C80D" w14:textId="77777777" w:rsidR="00B13845" w:rsidRPr="00B13845" w:rsidRDefault="00B13845" w:rsidP="00B13845">
      <w:pPr>
        <w:jc w:val="both"/>
        <w:rPr>
          <w:b/>
          <w:lang w:val="en-US"/>
        </w:rPr>
      </w:pPr>
      <w:r w:rsidRPr="00B13845">
        <w:rPr>
          <w:b/>
          <w:lang w:val="en-US"/>
        </w:rPr>
        <w:t>1.</w:t>
      </w:r>
      <w:r w:rsidRPr="00B13845">
        <w:rPr>
          <w:b/>
          <w:lang w:val="en-US"/>
        </w:rPr>
        <w:tab/>
        <w:t>FORECASTING SYSTEM</w:t>
      </w:r>
    </w:p>
    <w:p w14:paraId="78A7414F" w14:textId="77777777" w:rsidR="00B13845" w:rsidRPr="00B13845" w:rsidRDefault="00B13845" w:rsidP="00B13845">
      <w:pPr>
        <w:jc w:val="both"/>
        <w:rPr>
          <w:lang w:val="en-US"/>
        </w:rPr>
      </w:pPr>
    </w:p>
    <w:p w14:paraId="43816271" w14:textId="77777777" w:rsidR="00B13845" w:rsidRDefault="00B13845" w:rsidP="00492A29">
      <w:pPr>
        <w:numPr>
          <w:ilvl w:val="1"/>
          <w:numId w:val="22"/>
        </w:numPr>
        <w:jc w:val="both"/>
        <w:rPr>
          <w:i/>
          <w:lang w:val="en-US"/>
        </w:rPr>
      </w:pPr>
      <w:r w:rsidRPr="00B13845">
        <w:rPr>
          <w:lang w:val="en-US"/>
        </w:rPr>
        <w:t xml:space="preserve">Description of the forecasting system specification </w:t>
      </w:r>
    </w:p>
    <w:p w14:paraId="55AA74DF" w14:textId="77777777" w:rsidR="00492A29" w:rsidRPr="00B13845" w:rsidRDefault="00492A29" w:rsidP="00492A29">
      <w:pPr>
        <w:ind w:left="1134"/>
        <w:jc w:val="both"/>
        <w:rPr>
          <w:lang w:val="en-US"/>
        </w:rPr>
      </w:pPr>
    </w:p>
    <w:p w14:paraId="07527777" w14:textId="77777777" w:rsidR="00E75E7A" w:rsidRDefault="00492A29" w:rsidP="00CA4BA9">
      <w:pPr>
        <w:jc w:val="both"/>
        <w:rPr>
          <w:lang w:val="en-GB"/>
        </w:rPr>
      </w:pPr>
      <w:r w:rsidRPr="00DB0929">
        <w:rPr>
          <w:b/>
          <w:lang w:val="en-GB"/>
        </w:rPr>
        <w:t>The GloSea5 system</w:t>
      </w:r>
      <w:r w:rsidRPr="00DB0929">
        <w:rPr>
          <w:lang w:val="en-GB"/>
        </w:rPr>
        <w:t>: GPC Exeter’s current prediction system, GloSea5</w:t>
      </w:r>
      <w:r w:rsidR="00CA4BA9">
        <w:rPr>
          <w:lang w:val="en-GB"/>
        </w:rPr>
        <w:t>,</w:t>
      </w:r>
      <w:r w:rsidRPr="00DB0929">
        <w:rPr>
          <w:lang w:val="en-GB"/>
        </w:rPr>
        <w:t xml:space="preserve"> is described in </w:t>
      </w:r>
      <w:proofErr w:type="spellStart"/>
      <w:r w:rsidRPr="00DB0929">
        <w:rPr>
          <w:lang w:val="en-GB"/>
        </w:rPr>
        <w:t>MacLachlan</w:t>
      </w:r>
      <w:proofErr w:type="spellEnd"/>
      <w:r w:rsidRPr="00DB0929">
        <w:rPr>
          <w:lang w:val="en-GB"/>
        </w:rPr>
        <w:t xml:space="preserve"> et al. (2014). </w:t>
      </w:r>
      <w:r w:rsidR="003146EC">
        <w:rPr>
          <w:lang w:val="en-GB"/>
        </w:rPr>
        <w:t xml:space="preserve">It is a fully coupled system with interactive sea ice. </w:t>
      </w:r>
      <w:r w:rsidRPr="00DB0929">
        <w:rPr>
          <w:lang w:val="en-GB"/>
        </w:rPr>
        <w:t xml:space="preserve">GloSea5 </w:t>
      </w:r>
      <w:r>
        <w:rPr>
          <w:lang w:val="en-GB"/>
        </w:rPr>
        <w:t xml:space="preserve">has </w:t>
      </w:r>
      <w:r w:rsidRPr="00DB0929">
        <w:rPr>
          <w:lang w:val="en-GB"/>
        </w:rPr>
        <w:t>atmospher</w:t>
      </w:r>
      <w:r>
        <w:rPr>
          <w:lang w:val="en-GB"/>
        </w:rPr>
        <w:t>ic resolution of</w:t>
      </w:r>
      <w:r w:rsidRPr="00DB0929">
        <w:rPr>
          <w:lang w:val="en-GB"/>
        </w:rPr>
        <w:t xml:space="preserve"> 0.83°E-W; 0.56° N-S; 85 vertical levels</w:t>
      </w:r>
      <w:r>
        <w:rPr>
          <w:lang w:val="en-GB"/>
        </w:rPr>
        <w:t xml:space="preserve"> and ocean resolution of</w:t>
      </w:r>
      <w:r w:rsidRPr="00DB0929">
        <w:rPr>
          <w:lang w:val="en-GB"/>
        </w:rPr>
        <w:t xml:space="preserve"> 0.25°; 75 vertical levels. </w:t>
      </w:r>
      <w:r>
        <w:rPr>
          <w:lang w:val="en-GB"/>
        </w:rPr>
        <w:t>Output is c</w:t>
      </w:r>
      <w:r w:rsidRPr="00DB0929">
        <w:rPr>
          <w:lang w:val="en-GB"/>
        </w:rPr>
        <w:t xml:space="preserve">onfigured for both seasonal and </w:t>
      </w:r>
      <w:proofErr w:type="spellStart"/>
      <w:r w:rsidRPr="00DB0929">
        <w:rPr>
          <w:lang w:val="en-GB"/>
        </w:rPr>
        <w:t>subseasonal</w:t>
      </w:r>
      <w:proofErr w:type="spellEnd"/>
      <w:r w:rsidRPr="00DB0929">
        <w:rPr>
          <w:lang w:val="en-GB"/>
        </w:rPr>
        <w:t xml:space="preserve"> forecasting. </w:t>
      </w:r>
      <w:r w:rsidR="00CA4BA9">
        <w:rPr>
          <w:lang w:val="en-GB"/>
        </w:rPr>
        <w:t xml:space="preserve">In February 2015 a major upgrade to the model was made, </w:t>
      </w:r>
      <w:r w:rsidR="00E75E7A">
        <w:rPr>
          <w:lang w:val="en-GB"/>
        </w:rPr>
        <w:t>incorporating the following scientific advances</w:t>
      </w:r>
      <w:r w:rsidR="00E815E9" w:rsidRPr="00E815E9">
        <w:rPr>
          <w:lang w:val="en-GB"/>
        </w:rPr>
        <w:t xml:space="preserve"> </w:t>
      </w:r>
      <w:r w:rsidR="00E815E9">
        <w:rPr>
          <w:lang w:val="en-GB"/>
        </w:rPr>
        <w:t xml:space="preserve">as </w:t>
      </w:r>
      <w:r w:rsidR="00E815E9" w:rsidRPr="00E815E9">
        <w:rPr>
          <w:lang w:val="en-GB"/>
        </w:rPr>
        <w:t xml:space="preserve">below (Global Coupled 2.0; Williams et al. 2015).  </w:t>
      </w:r>
    </w:p>
    <w:p w14:paraId="01BDCBA7" w14:textId="77777777" w:rsidR="00E75E7A" w:rsidRDefault="00E75E7A" w:rsidP="00CA4BA9">
      <w:pPr>
        <w:jc w:val="both"/>
        <w:rPr>
          <w:lang w:val="en-GB"/>
        </w:rPr>
      </w:pPr>
    </w:p>
    <w:p w14:paraId="693A7AB7" w14:textId="77777777" w:rsidR="00A85402" w:rsidRDefault="00902160" w:rsidP="00A85402">
      <w:pPr>
        <w:numPr>
          <w:ilvl w:val="0"/>
          <w:numId w:val="24"/>
        </w:numPr>
        <w:jc w:val="both"/>
        <w:rPr>
          <w:lang w:val="en-GB"/>
        </w:rPr>
      </w:pPr>
      <w:r w:rsidRPr="00902160">
        <w:rPr>
          <w:lang w:val="en-GB"/>
        </w:rPr>
        <w:t xml:space="preserve">Implementation of new dynamical core </w:t>
      </w:r>
      <w:r>
        <w:rPr>
          <w:lang w:val="en-GB"/>
        </w:rPr>
        <w:t>ENDGAME</w:t>
      </w:r>
      <w:r w:rsidR="00A85402">
        <w:rPr>
          <w:lang w:val="en-GB"/>
        </w:rPr>
        <w:t>:</w:t>
      </w:r>
    </w:p>
    <w:p w14:paraId="0382AF67" w14:textId="77777777" w:rsidR="00902160" w:rsidRDefault="006367DC" w:rsidP="00A85402">
      <w:pPr>
        <w:ind w:left="720"/>
        <w:jc w:val="both"/>
        <w:rPr>
          <w:lang w:val="en-GB"/>
        </w:rPr>
      </w:pPr>
      <w:hyperlink r:id="rId10" w:history="1">
        <w:r w:rsidR="00A85402" w:rsidRPr="00A9634B">
          <w:rPr>
            <w:rStyle w:val="Hyperlink"/>
            <w:lang w:val="en-GB"/>
          </w:rPr>
          <w:t>http://www.metoffice.gov.uk/research/news/2014/endgame-a-new-dynamical-core</w:t>
        </w:r>
      </w:hyperlink>
      <w:r w:rsidR="00A85402">
        <w:rPr>
          <w:lang w:val="en-GB"/>
        </w:rPr>
        <w:t xml:space="preserve"> </w:t>
      </w:r>
    </w:p>
    <w:p w14:paraId="478FC2A2" w14:textId="77777777" w:rsidR="00902160" w:rsidRPr="00902160" w:rsidRDefault="00902160" w:rsidP="00902160">
      <w:pPr>
        <w:numPr>
          <w:ilvl w:val="0"/>
          <w:numId w:val="24"/>
        </w:numPr>
        <w:jc w:val="both"/>
        <w:rPr>
          <w:lang w:val="en-GB"/>
        </w:rPr>
      </w:pPr>
      <w:r w:rsidRPr="00902160">
        <w:rPr>
          <w:lang w:val="en-GB"/>
        </w:rPr>
        <w:t>Improvements to oceanic vertical mixing scheme to improve the mixed layer representation of the world's oceans, which is important to seasonal forecasting, marine ecosystems, and many other aspects of the climate system. Changes have also been made to the NEMOVAR assimilation scheme to improve the initialisation of sub-surface temperature and salinity.</w:t>
      </w:r>
    </w:p>
    <w:p w14:paraId="712A8DE0" w14:textId="77777777" w:rsidR="00902160" w:rsidRPr="00902160" w:rsidRDefault="00902160" w:rsidP="00902160">
      <w:pPr>
        <w:numPr>
          <w:ilvl w:val="0"/>
          <w:numId w:val="24"/>
        </w:numPr>
        <w:jc w:val="both"/>
        <w:rPr>
          <w:lang w:val="en-GB"/>
        </w:rPr>
      </w:pPr>
      <w:r w:rsidRPr="00902160">
        <w:rPr>
          <w:lang w:val="en-GB"/>
        </w:rPr>
        <w:t>Improvements to the albedo and surface roughness of the sea ice to achieve a more realistic seasonal cycle of sea ice.</w:t>
      </w:r>
    </w:p>
    <w:p w14:paraId="0891C017" w14:textId="77777777" w:rsidR="00CA4BA9" w:rsidRDefault="00CA4BA9" w:rsidP="00492A29">
      <w:pPr>
        <w:jc w:val="both"/>
        <w:rPr>
          <w:lang w:val="en-GB"/>
        </w:rPr>
      </w:pPr>
    </w:p>
    <w:p w14:paraId="5A82F39E" w14:textId="01F14004" w:rsidR="00E815E9" w:rsidRPr="00E815E9" w:rsidRDefault="00492A29" w:rsidP="00E815E9">
      <w:pPr>
        <w:jc w:val="both"/>
        <w:rPr>
          <w:lang w:val="en-GB"/>
        </w:rPr>
      </w:pPr>
      <w:r w:rsidRPr="00DB0929">
        <w:rPr>
          <w:lang w:val="en-GB"/>
        </w:rPr>
        <w:t xml:space="preserve">GPC Exeter and GPC Seoul </w:t>
      </w:r>
      <w:r w:rsidR="00CA4BA9">
        <w:rPr>
          <w:lang w:val="en-GB"/>
        </w:rPr>
        <w:t xml:space="preserve">now both run the GloSea5 system as their operational </w:t>
      </w:r>
      <w:r w:rsidR="00E815E9" w:rsidRPr="00E815E9">
        <w:rPr>
          <w:lang w:val="en-GB"/>
        </w:rPr>
        <w:t>forecast system</w:t>
      </w:r>
      <w:r w:rsidR="00E815E9">
        <w:rPr>
          <w:lang w:val="en-GB"/>
        </w:rPr>
        <w:t>,</w:t>
      </w:r>
      <w:r w:rsidR="00E815E9" w:rsidRPr="00E815E9">
        <w:rPr>
          <w:lang w:val="en-GB"/>
        </w:rPr>
        <w:t xml:space="preserve"> as the first stage in developing a joint seasonal forecasting system. G</w:t>
      </w:r>
      <w:r w:rsidR="00FE3DC4">
        <w:rPr>
          <w:lang w:val="en-GB"/>
        </w:rPr>
        <w:t xml:space="preserve">PC Seoul also use the </w:t>
      </w:r>
      <w:r w:rsidR="00E815E9" w:rsidRPr="00E815E9">
        <w:rPr>
          <w:lang w:val="en-GB"/>
        </w:rPr>
        <w:t xml:space="preserve">Global Coupled 2.0 </w:t>
      </w:r>
      <w:r w:rsidR="00FE3DC4">
        <w:rPr>
          <w:lang w:val="en-GB"/>
        </w:rPr>
        <w:t>configuration</w:t>
      </w:r>
      <w:r w:rsidR="00E815E9" w:rsidRPr="00E815E9">
        <w:rPr>
          <w:lang w:val="en-GB"/>
        </w:rPr>
        <w:t>.</w:t>
      </w:r>
    </w:p>
    <w:p w14:paraId="6CC8D641" w14:textId="77777777" w:rsidR="00492A29" w:rsidRDefault="00492A29" w:rsidP="00492A29">
      <w:pPr>
        <w:jc w:val="both"/>
        <w:rPr>
          <w:lang w:val="en-GB"/>
        </w:rPr>
      </w:pPr>
    </w:p>
    <w:p w14:paraId="6FD05DFE" w14:textId="77777777" w:rsidR="00492A29" w:rsidRPr="00B13845" w:rsidRDefault="00492A29" w:rsidP="00B13845">
      <w:pPr>
        <w:jc w:val="both"/>
        <w:rPr>
          <w:lang w:val="en-US"/>
        </w:rPr>
      </w:pPr>
    </w:p>
    <w:p w14:paraId="27B2C625" w14:textId="77777777" w:rsidR="00B13845" w:rsidRPr="00B13845" w:rsidRDefault="00B13845" w:rsidP="00B13845">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14:paraId="10685070" w14:textId="77777777" w:rsidR="00B13845" w:rsidRPr="00B13845" w:rsidRDefault="00B13845" w:rsidP="00B1384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7"/>
      </w:tblGrid>
      <w:tr w:rsidR="00B13845" w:rsidRPr="006367DC" w14:paraId="304B344D" w14:textId="77777777" w:rsidTr="001F07AB">
        <w:tc>
          <w:tcPr>
            <w:tcW w:w="2988" w:type="dxa"/>
            <w:shd w:val="clear" w:color="auto" w:fill="auto"/>
          </w:tcPr>
          <w:p w14:paraId="0CE287BF" w14:textId="77777777" w:rsidR="00B13845" w:rsidRDefault="00B13845" w:rsidP="00656CFD">
            <w:r w:rsidRPr="001639E4">
              <w:t xml:space="preserve">Issue </w:t>
            </w:r>
            <w:proofErr w:type="spellStart"/>
            <w:r w:rsidRPr="001639E4">
              <w:t>frequency</w:t>
            </w:r>
            <w:proofErr w:type="spellEnd"/>
            <w:r w:rsidRPr="001639E4">
              <w:t>:</w:t>
            </w:r>
          </w:p>
        </w:tc>
        <w:tc>
          <w:tcPr>
            <w:tcW w:w="6867" w:type="dxa"/>
            <w:shd w:val="clear" w:color="auto" w:fill="auto"/>
          </w:tcPr>
          <w:p w14:paraId="697E608F" w14:textId="77777777" w:rsidR="00B13845" w:rsidRPr="001F07AB" w:rsidRDefault="008414E0" w:rsidP="008414E0">
            <w:pPr>
              <w:rPr>
                <w:i/>
                <w:lang w:val="en-US"/>
              </w:rPr>
            </w:pPr>
            <w:r w:rsidRPr="002B31B4">
              <w:rPr>
                <w:i/>
                <w:lang w:val="en-US"/>
              </w:rPr>
              <w:t>Monthly, sent to LC-LRFMME before 10th of the month</w:t>
            </w:r>
          </w:p>
        </w:tc>
      </w:tr>
      <w:tr w:rsidR="00B13845" w:rsidRPr="006367DC" w14:paraId="69012468" w14:textId="77777777" w:rsidTr="001F07AB">
        <w:tc>
          <w:tcPr>
            <w:tcW w:w="2988" w:type="dxa"/>
            <w:shd w:val="clear" w:color="auto" w:fill="auto"/>
          </w:tcPr>
          <w:p w14:paraId="50224C75" w14:textId="77777777" w:rsidR="00B13845" w:rsidRDefault="00B13845" w:rsidP="00656CFD">
            <w:r w:rsidRPr="001639E4">
              <w:t xml:space="preserve">Temporal </w:t>
            </w:r>
            <w:proofErr w:type="spellStart"/>
            <w:r w:rsidRPr="001639E4">
              <w:t>resolution</w:t>
            </w:r>
            <w:proofErr w:type="spellEnd"/>
            <w:r w:rsidRPr="001639E4">
              <w:t>:</w:t>
            </w:r>
          </w:p>
        </w:tc>
        <w:tc>
          <w:tcPr>
            <w:tcW w:w="6867" w:type="dxa"/>
            <w:shd w:val="clear" w:color="auto" w:fill="auto"/>
          </w:tcPr>
          <w:p w14:paraId="4EDC0037" w14:textId="77777777" w:rsidR="00B13845" w:rsidRPr="001F07AB" w:rsidRDefault="008414E0" w:rsidP="00656CFD">
            <w:pPr>
              <w:rPr>
                <w:lang w:val="en-US"/>
              </w:rPr>
            </w:pPr>
            <w:r w:rsidRPr="002B31B4">
              <w:rPr>
                <w:i/>
                <w:lang w:val="en-US"/>
              </w:rPr>
              <w:t>Averages/accumulations over 3-month periods</w:t>
            </w:r>
          </w:p>
        </w:tc>
      </w:tr>
      <w:tr w:rsidR="00CA4BA9" w:rsidRPr="006367DC" w14:paraId="61F964D7" w14:textId="77777777" w:rsidTr="00AD5004">
        <w:tc>
          <w:tcPr>
            <w:tcW w:w="2988" w:type="dxa"/>
            <w:shd w:val="clear" w:color="auto" w:fill="auto"/>
          </w:tcPr>
          <w:p w14:paraId="6BDE8F3B" w14:textId="77777777" w:rsidR="00CA4BA9" w:rsidRDefault="00CA4BA9" w:rsidP="00CA4BA9">
            <w:r w:rsidRPr="001639E4">
              <w:t xml:space="preserve">Spatial </w:t>
            </w:r>
            <w:proofErr w:type="spellStart"/>
            <w:r w:rsidRPr="001639E4">
              <w:t>resolution</w:t>
            </w:r>
            <w:proofErr w:type="spellEnd"/>
            <w:r w:rsidRPr="001639E4">
              <w:t>:</w:t>
            </w:r>
          </w:p>
        </w:tc>
        <w:tc>
          <w:tcPr>
            <w:tcW w:w="6867" w:type="dxa"/>
          </w:tcPr>
          <w:p w14:paraId="5429C863" w14:textId="77777777" w:rsidR="00CA4BA9" w:rsidRPr="002B31B4" w:rsidRDefault="00CA4BA9" w:rsidP="00CA4BA9">
            <w:pPr>
              <w:rPr>
                <w:lang w:val="en-US"/>
              </w:rPr>
            </w:pPr>
            <w:r w:rsidRPr="002B31B4">
              <w:rPr>
                <w:rFonts w:cs="Arial"/>
                <w:i/>
                <w:lang w:val="en-US"/>
              </w:rPr>
              <w:t xml:space="preserve">0.56° (N-S) x </w:t>
            </w:r>
            <w:r w:rsidRPr="002B31B4">
              <w:rPr>
                <w:i/>
                <w:lang w:val="en-US"/>
              </w:rPr>
              <w:t>0.83</w:t>
            </w:r>
            <w:r w:rsidRPr="002B31B4">
              <w:rPr>
                <w:rFonts w:cs="Arial"/>
                <w:i/>
                <w:lang w:val="en-US"/>
              </w:rPr>
              <w:t>° (E-W)</w:t>
            </w:r>
            <w:r w:rsidR="00E815E9" w:rsidRPr="002B31B4">
              <w:rPr>
                <w:rFonts w:cs="Arial"/>
                <w:i/>
                <w:lang w:val="en-US"/>
              </w:rPr>
              <w:t xml:space="preserve"> data sent to the LC is 1.0° x 1.0° res.</w:t>
            </w:r>
          </w:p>
        </w:tc>
      </w:tr>
      <w:tr w:rsidR="00CA4BA9" w14:paraId="514D65E7" w14:textId="77777777" w:rsidTr="001F07AB">
        <w:tc>
          <w:tcPr>
            <w:tcW w:w="2988" w:type="dxa"/>
            <w:shd w:val="clear" w:color="auto" w:fill="auto"/>
          </w:tcPr>
          <w:p w14:paraId="379E7502" w14:textId="77777777" w:rsidR="00CA4BA9" w:rsidRDefault="00CA4BA9" w:rsidP="00CA4BA9">
            <w:proofErr w:type="spellStart"/>
            <w:r>
              <w:t>Grah</w:t>
            </w:r>
            <w:r w:rsidRPr="001639E4">
              <w:t>Spatial</w:t>
            </w:r>
            <w:proofErr w:type="spellEnd"/>
            <w:r w:rsidRPr="001639E4">
              <w:t xml:space="preserve"> </w:t>
            </w:r>
            <w:proofErr w:type="spellStart"/>
            <w:r w:rsidRPr="001639E4">
              <w:t>coverage</w:t>
            </w:r>
            <w:proofErr w:type="spellEnd"/>
            <w:r w:rsidRPr="001639E4">
              <w:t>:</w:t>
            </w:r>
            <w:r w:rsidRPr="001F07AB">
              <w:rPr>
                <w:i/>
              </w:rPr>
              <w:t xml:space="preserve"> </w:t>
            </w:r>
          </w:p>
        </w:tc>
        <w:tc>
          <w:tcPr>
            <w:tcW w:w="6867" w:type="dxa"/>
            <w:shd w:val="clear" w:color="auto" w:fill="auto"/>
          </w:tcPr>
          <w:p w14:paraId="54FB8C97" w14:textId="77777777" w:rsidR="00CA4BA9" w:rsidRDefault="00CA4BA9" w:rsidP="00CA4BA9">
            <w:r>
              <w:rPr>
                <w:i/>
              </w:rPr>
              <w:t>Global</w:t>
            </w:r>
          </w:p>
        </w:tc>
      </w:tr>
      <w:tr w:rsidR="00CA4BA9" w:rsidRPr="001F07AB" w14:paraId="42A4963D" w14:textId="77777777" w:rsidTr="001F07AB">
        <w:tc>
          <w:tcPr>
            <w:tcW w:w="2988" w:type="dxa"/>
            <w:shd w:val="clear" w:color="auto" w:fill="auto"/>
          </w:tcPr>
          <w:p w14:paraId="214B4216" w14:textId="77777777" w:rsidR="00CA4BA9" w:rsidRDefault="00CA4BA9" w:rsidP="00CA4BA9">
            <w:r w:rsidRPr="001639E4">
              <w:t>Lead time:</w:t>
            </w:r>
          </w:p>
        </w:tc>
        <w:tc>
          <w:tcPr>
            <w:tcW w:w="6867" w:type="dxa"/>
            <w:shd w:val="clear" w:color="auto" w:fill="auto"/>
          </w:tcPr>
          <w:p w14:paraId="5F33006F" w14:textId="77777777" w:rsidR="00CA4BA9" w:rsidRPr="001F07AB" w:rsidRDefault="00CA4BA9" w:rsidP="00CA4BA9">
            <w:pPr>
              <w:ind w:left="720"/>
              <w:jc w:val="both"/>
              <w:rPr>
                <w:lang w:val="en-US"/>
              </w:rPr>
            </w:pPr>
            <w:r>
              <w:rPr>
                <w:i/>
              </w:rPr>
              <w:t>1-, 2- and 3-month lead times</w:t>
            </w:r>
          </w:p>
        </w:tc>
      </w:tr>
      <w:tr w:rsidR="00CA4BA9" w:rsidRPr="006367DC" w14:paraId="5460B367" w14:textId="77777777" w:rsidTr="001F07AB">
        <w:tc>
          <w:tcPr>
            <w:tcW w:w="2988" w:type="dxa"/>
            <w:shd w:val="clear" w:color="auto" w:fill="auto"/>
          </w:tcPr>
          <w:p w14:paraId="3F247BED" w14:textId="77777777" w:rsidR="00CA4BA9" w:rsidRDefault="00CA4BA9" w:rsidP="00CA4BA9">
            <w:r w:rsidRPr="001639E4">
              <w:t xml:space="preserve">Output types: </w:t>
            </w:r>
            <w:r w:rsidRPr="001639E4">
              <w:tab/>
            </w:r>
          </w:p>
        </w:tc>
        <w:tc>
          <w:tcPr>
            <w:tcW w:w="6867" w:type="dxa"/>
            <w:shd w:val="clear" w:color="auto" w:fill="auto"/>
          </w:tcPr>
          <w:p w14:paraId="75B2FDCC" w14:textId="77777777" w:rsidR="00CA4BA9" w:rsidRPr="00D90D10" w:rsidRDefault="00CA4BA9" w:rsidP="00CA4BA9">
            <w:pPr>
              <w:rPr>
                <w:i/>
                <w:lang w:val="en-US"/>
              </w:rPr>
            </w:pPr>
            <w:r w:rsidRPr="002B31B4">
              <w:rPr>
                <w:i/>
                <w:lang w:val="en-US"/>
              </w:rPr>
              <w:t xml:space="preserve">Graphical images at : </w:t>
            </w:r>
            <w:hyperlink r:id="rId11" w:history="1">
              <w:r w:rsidRPr="00D90D10">
                <w:rPr>
                  <w:rStyle w:val="Hyperlink"/>
                  <w:i/>
                  <w:lang w:val="en-US"/>
                </w:rPr>
                <w:t>http://www.metoffice.gov.uk/research/climate/seasonal-to-decadal/gpc-outlooks</w:t>
              </w:r>
            </w:hyperlink>
            <w:r w:rsidRPr="00D90D10">
              <w:rPr>
                <w:i/>
                <w:lang w:val="en-US"/>
              </w:rPr>
              <w:t xml:space="preserve"> and </w:t>
            </w:r>
            <w:hyperlink r:id="rId12" w:history="1">
              <w:r w:rsidRPr="00D90D10">
                <w:rPr>
                  <w:rStyle w:val="Hyperlink"/>
                  <w:i/>
                  <w:lang w:val="en-US"/>
                </w:rPr>
                <w:t>www.wmolc.org</w:t>
              </w:r>
            </w:hyperlink>
          </w:p>
          <w:p w14:paraId="6EBF7EFB" w14:textId="77777777" w:rsidR="00CA4BA9" w:rsidRPr="00D90D10" w:rsidRDefault="00CA4BA9" w:rsidP="00CA4BA9">
            <w:pPr>
              <w:rPr>
                <w:i/>
                <w:lang w:val="en-US"/>
              </w:rPr>
            </w:pPr>
          </w:p>
          <w:p w14:paraId="43775766" w14:textId="77777777" w:rsidR="00CA4BA9" w:rsidRPr="001F07AB" w:rsidRDefault="00CA4BA9" w:rsidP="00CA4BA9">
            <w:pPr>
              <w:rPr>
                <w:i/>
                <w:lang w:val="en-US"/>
              </w:rPr>
            </w:pPr>
            <w:r w:rsidRPr="00D90D10">
              <w:rPr>
                <w:i/>
                <w:lang w:val="en-US"/>
              </w:rPr>
              <w:t xml:space="preserve">Digital data </w:t>
            </w:r>
            <w:r>
              <w:rPr>
                <w:i/>
                <w:lang w:val="en-US"/>
              </w:rPr>
              <w:t xml:space="preserve">package </w:t>
            </w:r>
            <w:r w:rsidRPr="00D90D10">
              <w:rPr>
                <w:i/>
                <w:lang w:val="en-US"/>
              </w:rPr>
              <w:t xml:space="preserve">available </w:t>
            </w:r>
            <w:r>
              <w:rPr>
                <w:i/>
                <w:lang w:val="en-US"/>
              </w:rPr>
              <w:t xml:space="preserve">by agreement via ftp as well as on the IRI data library after agreeing terms and conditions using an online form (no commercial use): </w:t>
            </w:r>
            <w:hyperlink r:id="rId13" w:history="1">
              <w:r w:rsidRPr="00B75C80">
                <w:rPr>
                  <w:rStyle w:val="Hyperlink"/>
                  <w:lang w:val="en-US"/>
                </w:rPr>
                <w:t>http://iridl.ldeo.columbia.edu/SOURCES/.UKMO/</w:t>
              </w:r>
            </w:hyperlink>
          </w:p>
        </w:tc>
      </w:tr>
      <w:tr w:rsidR="00CA4BA9" w:rsidRPr="006367DC" w14:paraId="582FA510" w14:textId="77777777" w:rsidTr="001F07AB">
        <w:tc>
          <w:tcPr>
            <w:tcW w:w="2988" w:type="dxa"/>
            <w:shd w:val="clear" w:color="auto" w:fill="auto"/>
          </w:tcPr>
          <w:p w14:paraId="1CCF5DF9" w14:textId="77777777" w:rsidR="00CA4BA9" w:rsidRPr="001F07AB" w:rsidRDefault="00CA4BA9" w:rsidP="00CA4BA9">
            <w:pPr>
              <w:rPr>
                <w:lang w:val="en-US"/>
              </w:rPr>
            </w:pPr>
            <w:r w:rsidRPr="001F07AB">
              <w:rPr>
                <w:lang w:val="en-US"/>
              </w:rPr>
              <w:t>Verification as per WMO SVSLRF</w:t>
            </w:r>
          </w:p>
        </w:tc>
        <w:tc>
          <w:tcPr>
            <w:tcW w:w="6867" w:type="dxa"/>
            <w:shd w:val="clear" w:color="auto" w:fill="auto"/>
          </w:tcPr>
          <w:p w14:paraId="5A54CDFB" w14:textId="77777777" w:rsidR="00CA4BA9" w:rsidRPr="00D90D10" w:rsidRDefault="00CA4BA9" w:rsidP="00CA4BA9">
            <w:pPr>
              <w:rPr>
                <w:i/>
              </w:rPr>
            </w:pPr>
            <w:proofErr w:type="spellStart"/>
            <w:r w:rsidRPr="00D90D10">
              <w:rPr>
                <w:i/>
              </w:rPr>
              <w:t>Yes</w:t>
            </w:r>
            <w:proofErr w:type="spellEnd"/>
          </w:p>
          <w:p w14:paraId="026EFCB1" w14:textId="77777777" w:rsidR="00CA4BA9" w:rsidRPr="00D90D10" w:rsidRDefault="00CA4BA9" w:rsidP="00CA4BA9">
            <w:pPr>
              <w:numPr>
                <w:ilvl w:val="0"/>
                <w:numId w:val="18"/>
              </w:numPr>
              <w:rPr>
                <w:i/>
                <w:lang w:val="en-GB"/>
              </w:rPr>
            </w:pPr>
            <w:r w:rsidRPr="00D90D10">
              <w:rPr>
                <w:i/>
                <w:lang w:val="en-GB"/>
              </w:rPr>
              <w:t xml:space="preserve">location : </w:t>
            </w:r>
            <w:hyperlink r:id="rId14" w:history="1">
              <w:r w:rsidRPr="00D90D10">
                <w:rPr>
                  <w:rStyle w:val="Hyperlink"/>
                  <w:i/>
                  <w:lang w:val="en-GB"/>
                </w:rPr>
                <w:t>http://www.metoffice.gov.uk/research/climate/seasonal-to-decadal/gpc-outlooks</w:t>
              </w:r>
            </w:hyperlink>
            <w:r w:rsidRPr="00D90D10">
              <w:rPr>
                <w:i/>
                <w:lang w:val="en-US"/>
              </w:rPr>
              <w:t xml:space="preserve"> and </w:t>
            </w:r>
            <w:hyperlink r:id="rId15" w:history="1">
              <w:r w:rsidRPr="00D90D10">
                <w:rPr>
                  <w:rStyle w:val="Hyperlink"/>
                  <w:i/>
                  <w:lang w:val="en-US"/>
                </w:rPr>
                <w:t>http://www.bom.gov.au/wmo/lrfvs/</w:t>
              </w:r>
            </w:hyperlink>
          </w:p>
          <w:p w14:paraId="76E0B1FE" w14:textId="429B1CB7" w:rsidR="00CA4BA9" w:rsidRPr="00676D9C" w:rsidRDefault="00FE3DC4" w:rsidP="00CA4BA9">
            <w:pPr>
              <w:numPr>
                <w:ilvl w:val="0"/>
                <w:numId w:val="18"/>
              </w:numPr>
              <w:rPr>
                <w:lang w:val="en-US"/>
              </w:rPr>
            </w:pPr>
            <w:r>
              <w:rPr>
                <w:i/>
                <w:lang w:val="en-GB"/>
              </w:rPr>
              <w:t xml:space="preserve">15-year </w:t>
            </w:r>
            <w:proofErr w:type="spellStart"/>
            <w:r>
              <w:rPr>
                <w:i/>
                <w:lang w:val="en-GB"/>
              </w:rPr>
              <w:t>hindcast</w:t>
            </w:r>
            <w:proofErr w:type="spellEnd"/>
            <w:r>
              <w:rPr>
                <w:i/>
                <w:lang w:val="en-GB"/>
              </w:rPr>
              <w:t>? Yes</w:t>
            </w:r>
            <w:r w:rsidR="00CA4BA9" w:rsidRPr="00D90D10">
              <w:rPr>
                <w:i/>
                <w:lang w:val="en-GB"/>
              </w:rPr>
              <w:t>, th</w:t>
            </w:r>
            <w:r>
              <w:rPr>
                <w:i/>
                <w:lang w:val="en-GB"/>
              </w:rPr>
              <w:t xml:space="preserve">e current </w:t>
            </w:r>
            <w:proofErr w:type="spellStart"/>
            <w:r>
              <w:rPr>
                <w:i/>
                <w:lang w:val="en-GB"/>
              </w:rPr>
              <w:t>hindcast</w:t>
            </w:r>
            <w:proofErr w:type="spellEnd"/>
            <w:r>
              <w:rPr>
                <w:i/>
                <w:lang w:val="en-GB"/>
              </w:rPr>
              <w:t xml:space="preserve"> is </w:t>
            </w:r>
            <w:r w:rsidR="00CA4BA9">
              <w:rPr>
                <w:i/>
                <w:lang w:val="en-GB"/>
              </w:rPr>
              <w:t xml:space="preserve">23 years (1993-2015) </w:t>
            </w:r>
          </w:p>
          <w:p w14:paraId="2519571C" w14:textId="77777777" w:rsidR="00CA4BA9" w:rsidRPr="00705202" w:rsidRDefault="00CA4BA9" w:rsidP="00CA4BA9">
            <w:pPr>
              <w:numPr>
                <w:ilvl w:val="0"/>
                <w:numId w:val="18"/>
              </w:numPr>
              <w:rPr>
                <w:lang w:val="en-US"/>
              </w:rPr>
            </w:pPr>
            <w:r w:rsidRPr="00D90D10">
              <w:rPr>
                <w:i/>
                <w:lang w:val="en-US"/>
              </w:rPr>
              <w:t xml:space="preserve">Forecast and </w:t>
            </w:r>
            <w:proofErr w:type="spellStart"/>
            <w:r w:rsidRPr="00D90D10">
              <w:rPr>
                <w:i/>
                <w:lang w:val="en-US"/>
              </w:rPr>
              <w:t>hindcast</w:t>
            </w:r>
            <w:proofErr w:type="spellEnd"/>
            <w:r w:rsidRPr="00D90D10">
              <w:rPr>
                <w:i/>
                <w:lang w:val="en-US"/>
              </w:rPr>
              <w:t xml:space="preserve"> from the same system? Yes, apart from</w:t>
            </w:r>
            <w:r>
              <w:rPr>
                <w:i/>
                <w:lang w:val="en-US"/>
              </w:rPr>
              <w:t xml:space="preserve"> </w:t>
            </w:r>
            <w:r w:rsidRPr="00D90D10">
              <w:rPr>
                <w:i/>
                <w:lang w:val="en-US"/>
              </w:rPr>
              <w:t xml:space="preserve">the ensemble size the </w:t>
            </w:r>
            <w:proofErr w:type="spellStart"/>
            <w:r w:rsidRPr="00D90D10">
              <w:rPr>
                <w:i/>
                <w:lang w:val="en-US"/>
              </w:rPr>
              <w:t>hindcast</w:t>
            </w:r>
            <w:proofErr w:type="spellEnd"/>
            <w:r w:rsidRPr="00D90D10">
              <w:rPr>
                <w:i/>
                <w:lang w:val="en-US"/>
              </w:rPr>
              <w:t xml:space="preserve"> and forecast systems are identical</w:t>
            </w:r>
          </w:p>
        </w:tc>
      </w:tr>
    </w:tbl>
    <w:p w14:paraId="36DC3320" w14:textId="77777777" w:rsidR="00B13845" w:rsidRDefault="00B13845" w:rsidP="00B13845">
      <w:pPr>
        <w:jc w:val="both"/>
        <w:rPr>
          <w:lang w:val="en-US"/>
        </w:rPr>
      </w:pPr>
    </w:p>
    <w:p w14:paraId="38A22413" w14:textId="77777777" w:rsidR="00902160" w:rsidRDefault="00902160" w:rsidP="00B13845">
      <w:pPr>
        <w:jc w:val="both"/>
        <w:rPr>
          <w:lang w:val="en-US"/>
        </w:rPr>
      </w:pPr>
    </w:p>
    <w:p w14:paraId="3F4EB163" w14:textId="77777777" w:rsidR="00902160" w:rsidRPr="00B13845" w:rsidRDefault="00902160" w:rsidP="00B13845">
      <w:pPr>
        <w:jc w:val="both"/>
        <w:rPr>
          <w:lang w:val="en-US"/>
        </w:rPr>
      </w:pPr>
    </w:p>
    <w:p w14:paraId="48F7FD8E" w14:textId="77777777" w:rsidR="00B13845" w:rsidRPr="00B13845" w:rsidRDefault="00B13845" w:rsidP="00B13845">
      <w:pPr>
        <w:jc w:val="both"/>
        <w:rPr>
          <w:b/>
          <w:lang w:val="en-US"/>
        </w:rPr>
      </w:pPr>
      <w:r w:rsidRPr="00B13845">
        <w:rPr>
          <w:b/>
          <w:lang w:val="en-US"/>
        </w:rPr>
        <w:t>2.</w:t>
      </w:r>
      <w:r w:rsidRPr="00B13845">
        <w:rPr>
          <w:b/>
          <w:lang w:val="en-US"/>
        </w:rPr>
        <w:tab/>
        <w:t xml:space="preserve">PRODUCTS </w:t>
      </w:r>
      <w:r w:rsidRPr="00B13845">
        <w:rPr>
          <w:i/>
          <w:lang w:val="en-US"/>
        </w:rPr>
        <w:t>[response options in brackets; change or delete as appropriate. For non-compliant elements, please indicate intended date of compliance]</w:t>
      </w:r>
    </w:p>
    <w:p w14:paraId="6CC6FB36" w14:textId="77777777" w:rsidR="00B13845" w:rsidRPr="00B13845" w:rsidRDefault="00B13845" w:rsidP="00B13845">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327"/>
        <w:gridCol w:w="2399"/>
        <w:gridCol w:w="2400"/>
        <w:gridCol w:w="2400"/>
      </w:tblGrid>
      <w:tr w:rsidR="00B13845" w:rsidRPr="006367DC" w14:paraId="1A93EA1D" w14:textId="77777777" w:rsidTr="001F07AB">
        <w:tc>
          <w:tcPr>
            <w:tcW w:w="2656" w:type="dxa"/>
            <w:gridSpan w:val="2"/>
            <w:shd w:val="clear" w:color="auto" w:fill="auto"/>
            <w:vAlign w:val="center"/>
          </w:tcPr>
          <w:p w14:paraId="28A04386" w14:textId="77777777" w:rsidR="00B13845" w:rsidRDefault="00B13845" w:rsidP="00656CFD">
            <w:r>
              <w:t>Variable:</w:t>
            </w:r>
          </w:p>
        </w:tc>
        <w:tc>
          <w:tcPr>
            <w:tcW w:w="2399" w:type="dxa"/>
            <w:shd w:val="clear" w:color="auto" w:fill="auto"/>
            <w:vAlign w:val="center"/>
          </w:tcPr>
          <w:p w14:paraId="274B3DBA" w14:textId="77777777" w:rsidR="00B13845" w:rsidRPr="001F07AB" w:rsidRDefault="00B13845" w:rsidP="001F07AB">
            <w:pPr>
              <w:jc w:val="center"/>
              <w:rPr>
                <w:lang w:val="en-US"/>
              </w:rPr>
            </w:pPr>
            <w:r w:rsidRPr="001F07AB">
              <w:rPr>
                <w:lang w:val="en-US"/>
              </w:rPr>
              <w:t xml:space="preserve">Probabilities for </w:t>
            </w:r>
            <w:proofErr w:type="spellStart"/>
            <w:r w:rsidRPr="001F07AB">
              <w:rPr>
                <w:lang w:val="en-US"/>
              </w:rPr>
              <w:t>tercile</w:t>
            </w:r>
            <w:proofErr w:type="spellEnd"/>
            <w:r w:rsidRPr="001F07AB">
              <w:rPr>
                <w:lang w:val="en-US"/>
              </w:rPr>
              <w:t xml:space="preserve"> categories of 2m temperature</w:t>
            </w:r>
          </w:p>
        </w:tc>
        <w:tc>
          <w:tcPr>
            <w:tcW w:w="2400" w:type="dxa"/>
            <w:shd w:val="clear" w:color="auto" w:fill="auto"/>
            <w:vAlign w:val="center"/>
          </w:tcPr>
          <w:p w14:paraId="0C8BDE71" w14:textId="77777777" w:rsidR="00B13845" w:rsidRPr="001F07AB" w:rsidRDefault="00B13845" w:rsidP="001F07AB">
            <w:pPr>
              <w:jc w:val="center"/>
              <w:rPr>
                <w:lang w:val="en-US"/>
              </w:rPr>
            </w:pPr>
            <w:r w:rsidRPr="001F07AB">
              <w:rPr>
                <w:lang w:val="en-US"/>
              </w:rPr>
              <w:t xml:space="preserve">Probabilities for </w:t>
            </w:r>
            <w:proofErr w:type="spellStart"/>
            <w:r w:rsidRPr="001F07AB">
              <w:rPr>
                <w:lang w:val="en-US"/>
              </w:rPr>
              <w:t>tercile</w:t>
            </w:r>
            <w:proofErr w:type="spellEnd"/>
            <w:r w:rsidRPr="001F07AB">
              <w:rPr>
                <w:lang w:val="en-US"/>
              </w:rPr>
              <w:t xml:space="preserve"> categories of precipitation</w:t>
            </w:r>
          </w:p>
        </w:tc>
        <w:tc>
          <w:tcPr>
            <w:tcW w:w="2400" w:type="dxa"/>
            <w:shd w:val="clear" w:color="auto" w:fill="auto"/>
            <w:vAlign w:val="center"/>
          </w:tcPr>
          <w:p w14:paraId="6CE14EAB" w14:textId="77777777" w:rsidR="00B13845" w:rsidRPr="001F07AB" w:rsidRDefault="00B13845" w:rsidP="001F07AB">
            <w:pPr>
              <w:jc w:val="center"/>
              <w:rPr>
                <w:lang w:val="en-US"/>
              </w:rPr>
            </w:pPr>
            <w:r w:rsidRPr="001F07AB">
              <w:rPr>
                <w:lang w:val="en-US"/>
              </w:rPr>
              <w:t xml:space="preserve">Probabilities for </w:t>
            </w:r>
            <w:proofErr w:type="spellStart"/>
            <w:r w:rsidRPr="001F07AB">
              <w:rPr>
                <w:lang w:val="en-US"/>
              </w:rPr>
              <w:t>tercile</w:t>
            </w:r>
            <w:proofErr w:type="spellEnd"/>
            <w:r w:rsidRPr="001F07AB">
              <w:rPr>
                <w:lang w:val="en-US"/>
              </w:rPr>
              <w:t xml:space="preserve"> categories of SST (coupled models only)</w:t>
            </w:r>
          </w:p>
        </w:tc>
      </w:tr>
      <w:tr w:rsidR="00F81F55" w14:paraId="07895A19" w14:textId="77777777" w:rsidTr="008B485A">
        <w:tc>
          <w:tcPr>
            <w:tcW w:w="2656" w:type="dxa"/>
            <w:gridSpan w:val="2"/>
            <w:shd w:val="clear" w:color="auto" w:fill="auto"/>
            <w:vAlign w:val="center"/>
          </w:tcPr>
          <w:p w14:paraId="378914E8" w14:textId="77777777" w:rsidR="00F81F55" w:rsidRDefault="00F81F55" w:rsidP="00F81F55">
            <w:r>
              <w:t xml:space="preserve">Spatial </w:t>
            </w:r>
            <w:proofErr w:type="spellStart"/>
            <w:r>
              <w:t>resolution</w:t>
            </w:r>
            <w:proofErr w:type="spellEnd"/>
            <w:r>
              <w:t>:</w:t>
            </w:r>
          </w:p>
        </w:tc>
        <w:tc>
          <w:tcPr>
            <w:tcW w:w="2399" w:type="dxa"/>
            <w:tcBorders>
              <w:top w:val="single" w:sz="4" w:space="0" w:color="auto"/>
              <w:left w:val="single" w:sz="4" w:space="0" w:color="auto"/>
              <w:bottom w:val="single" w:sz="4" w:space="0" w:color="auto"/>
              <w:right w:val="single" w:sz="4" w:space="0" w:color="auto"/>
            </w:tcBorders>
            <w:vAlign w:val="center"/>
          </w:tcPr>
          <w:p w14:paraId="20F3CEDE" w14:textId="77777777" w:rsidR="00F81F55" w:rsidRDefault="00F81F55" w:rsidP="00F81F55">
            <w:pPr>
              <w:jc w:val="center"/>
            </w:pPr>
            <w:r>
              <w:rPr>
                <w:rFonts w:cs="Arial"/>
                <w:i/>
              </w:rPr>
              <w:t xml:space="preserve">0.56° (N-S) x </w:t>
            </w:r>
            <w:r>
              <w:rPr>
                <w:i/>
              </w:rPr>
              <w:t>0.83</w:t>
            </w:r>
            <w:r>
              <w:rPr>
                <w:rFonts w:cs="Arial"/>
                <w:i/>
              </w:rPr>
              <w:t>° (E-W)</w:t>
            </w:r>
          </w:p>
        </w:tc>
        <w:tc>
          <w:tcPr>
            <w:tcW w:w="2400" w:type="dxa"/>
            <w:tcBorders>
              <w:top w:val="single" w:sz="4" w:space="0" w:color="auto"/>
              <w:left w:val="single" w:sz="4" w:space="0" w:color="auto"/>
              <w:bottom w:val="single" w:sz="4" w:space="0" w:color="auto"/>
              <w:right w:val="single" w:sz="4" w:space="0" w:color="auto"/>
            </w:tcBorders>
            <w:vAlign w:val="center"/>
          </w:tcPr>
          <w:p w14:paraId="4453D22C" w14:textId="77777777" w:rsidR="00F81F55" w:rsidRDefault="00F81F55" w:rsidP="00F81F55">
            <w:pPr>
              <w:jc w:val="center"/>
            </w:pPr>
            <w:r>
              <w:rPr>
                <w:rFonts w:cs="Arial"/>
                <w:i/>
              </w:rPr>
              <w:t xml:space="preserve">0.56° (N-S) x </w:t>
            </w:r>
            <w:r>
              <w:rPr>
                <w:i/>
              </w:rPr>
              <w:t>0.83</w:t>
            </w:r>
            <w:r>
              <w:rPr>
                <w:rFonts w:cs="Arial"/>
                <w:i/>
              </w:rPr>
              <w:t>° (E-W)</w:t>
            </w:r>
          </w:p>
        </w:tc>
        <w:tc>
          <w:tcPr>
            <w:tcW w:w="2400" w:type="dxa"/>
            <w:tcBorders>
              <w:top w:val="single" w:sz="4" w:space="0" w:color="auto"/>
              <w:left w:val="single" w:sz="4" w:space="0" w:color="auto"/>
              <w:bottom w:val="single" w:sz="4" w:space="0" w:color="auto"/>
              <w:right w:val="single" w:sz="4" w:space="0" w:color="auto"/>
            </w:tcBorders>
            <w:vAlign w:val="center"/>
          </w:tcPr>
          <w:p w14:paraId="5EB2AC50" w14:textId="77777777" w:rsidR="00F81F55" w:rsidRDefault="00F81F55" w:rsidP="00F81F55">
            <w:pPr>
              <w:jc w:val="center"/>
            </w:pPr>
            <w:r>
              <w:rPr>
                <w:rFonts w:cs="Arial"/>
                <w:i/>
              </w:rPr>
              <w:t xml:space="preserve">0.56° (N-S) x </w:t>
            </w:r>
            <w:r>
              <w:rPr>
                <w:i/>
              </w:rPr>
              <w:t>0.83</w:t>
            </w:r>
            <w:r>
              <w:rPr>
                <w:rFonts w:cs="Arial"/>
                <w:i/>
              </w:rPr>
              <w:t>° (E-W)</w:t>
            </w:r>
          </w:p>
        </w:tc>
      </w:tr>
      <w:tr w:rsidR="00F81F55" w14:paraId="56BA6FE1" w14:textId="77777777" w:rsidTr="008B485A">
        <w:tc>
          <w:tcPr>
            <w:tcW w:w="2656" w:type="dxa"/>
            <w:gridSpan w:val="2"/>
            <w:shd w:val="clear" w:color="auto" w:fill="auto"/>
            <w:vAlign w:val="center"/>
          </w:tcPr>
          <w:p w14:paraId="3B522D2D" w14:textId="77777777" w:rsidR="00F81F55" w:rsidRDefault="00F81F55" w:rsidP="00F81F55">
            <w:r>
              <w:t xml:space="preserve">Temporal </w:t>
            </w:r>
            <w:proofErr w:type="spellStart"/>
            <w:r>
              <w:t>Resolution</w:t>
            </w:r>
            <w:proofErr w:type="spellEnd"/>
            <w:r>
              <w:t>:</w:t>
            </w:r>
          </w:p>
        </w:tc>
        <w:tc>
          <w:tcPr>
            <w:tcW w:w="2399" w:type="dxa"/>
            <w:tcBorders>
              <w:top w:val="single" w:sz="4" w:space="0" w:color="auto"/>
              <w:left w:val="single" w:sz="4" w:space="0" w:color="auto"/>
              <w:bottom w:val="single" w:sz="4" w:space="0" w:color="auto"/>
              <w:right w:val="single" w:sz="4" w:space="0" w:color="auto"/>
            </w:tcBorders>
            <w:vAlign w:val="center"/>
          </w:tcPr>
          <w:p w14:paraId="5A9BE4BF" w14:textId="77777777" w:rsidR="00F81F55" w:rsidRDefault="00F81F55" w:rsidP="00F81F55">
            <w:pPr>
              <w:jc w:val="center"/>
            </w:pPr>
            <w:r>
              <w:rPr>
                <w:i/>
              </w:rPr>
              <w:t xml:space="preserve">3 </w:t>
            </w:r>
            <w:proofErr w:type="spellStart"/>
            <w:r>
              <w:rPr>
                <w:i/>
              </w:rPr>
              <w:t>months</w:t>
            </w:r>
            <w:proofErr w:type="spellEnd"/>
          </w:p>
        </w:tc>
        <w:tc>
          <w:tcPr>
            <w:tcW w:w="2400" w:type="dxa"/>
            <w:tcBorders>
              <w:top w:val="single" w:sz="4" w:space="0" w:color="auto"/>
              <w:left w:val="single" w:sz="4" w:space="0" w:color="auto"/>
              <w:bottom w:val="single" w:sz="4" w:space="0" w:color="auto"/>
              <w:right w:val="single" w:sz="4" w:space="0" w:color="auto"/>
            </w:tcBorders>
            <w:vAlign w:val="center"/>
          </w:tcPr>
          <w:p w14:paraId="29A36594" w14:textId="77777777" w:rsidR="00F81F55" w:rsidRDefault="00F81F55" w:rsidP="00F81F55">
            <w:pPr>
              <w:jc w:val="center"/>
            </w:pPr>
            <w:r>
              <w:rPr>
                <w:i/>
              </w:rPr>
              <w:t xml:space="preserve">3 </w:t>
            </w:r>
            <w:proofErr w:type="spellStart"/>
            <w:r>
              <w:rPr>
                <w:i/>
              </w:rPr>
              <w:t>months</w:t>
            </w:r>
            <w:proofErr w:type="spellEnd"/>
          </w:p>
        </w:tc>
        <w:tc>
          <w:tcPr>
            <w:tcW w:w="2400" w:type="dxa"/>
            <w:tcBorders>
              <w:top w:val="single" w:sz="4" w:space="0" w:color="auto"/>
              <w:left w:val="single" w:sz="4" w:space="0" w:color="auto"/>
              <w:bottom w:val="single" w:sz="4" w:space="0" w:color="auto"/>
              <w:right w:val="single" w:sz="4" w:space="0" w:color="auto"/>
            </w:tcBorders>
            <w:vAlign w:val="center"/>
          </w:tcPr>
          <w:p w14:paraId="7C7CB1B5" w14:textId="77777777" w:rsidR="00F81F55" w:rsidRDefault="00F81F55" w:rsidP="00F81F55">
            <w:pPr>
              <w:jc w:val="center"/>
            </w:pPr>
            <w:r>
              <w:rPr>
                <w:i/>
              </w:rPr>
              <w:t xml:space="preserve">3 </w:t>
            </w:r>
            <w:proofErr w:type="spellStart"/>
            <w:r>
              <w:rPr>
                <w:i/>
              </w:rPr>
              <w:t>months</w:t>
            </w:r>
            <w:proofErr w:type="spellEnd"/>
          </w:p>
        </w:tc>
      </w:tr>
      <w:tr w:rsidR="00F81F55" w14:paraId="68557FC7" w14:textId="77777777" w:rsidTr="008B485A">
        <w:tc>
          <w:tcPr>
            <w:tcW w:w="2656" w:type="dxa"/>
            <w:gridSpan w:val="2"/>
            <w:shd w:val="clear" w:color="auto" w:fill="auto"/>
            <w:vAlign w:val="center"/>
          </w:tcPr>
          <w:p w14:paraId="4962DFC8" w14:textId="77777777" w:rsidR="00F81F55" w:rsidRDefault="00F81F55" w:rsidP="00F81F55">
            <w:proofErr w:type="spellStart"/>
            <w:r>
              <w:t>Coverage</w:t>
            </w:r>
            <w:proofErr w:type="spellEnd"/>
            <w:r>
              <w:t>:</w:t>
            </w:r>
          </w:p>
        </w:tc>
        <w:tc>
          <w:tcPr>
            <w:tcW w:w="2399" w:type="dxa"/>
            <w:tcBorders>
              <w:top w:val="single" w:sz="4" w:space="0" w:color="auto"/>
              <w:left w:val="single" w:sz="4" w:space="0" w:color="auto"/>
              <w:bottom w:val="single" w:sz="4" w:space="0" w:color="auto"/>
              <w:right w:val="single" w:sz="4" w:space="0" w:color="auto"/>
            </w:tcBorders>
            <w:vAlign w:val="center"/>
          </w:tcPr>
          <w:p w14:paraId="712FDBB6" w14:textId="77777777" w:rsidR="00F81F55" w:rsidRDefault="00F81F55" w:rsidP="00F81F55">
            <w:pPr>
              <w:jc w:val="center"/>
            </w:pPr>
            <w:r>
              <w:rPr>
                <w:i/>
              </w:rPr>
              <w:t>Global</w:t>
            </w:r>
          </w:p>
        </w:tc>
        <w:tc>
          <w:tcPr>
            <w:tcW w:w="2400" w:type="dxa"/>
            <w:tcBorders>
              <w:top w:val="single" w:sz="4" w:space="0" w:color="auto"/>
              <w:left w:val="single" w:sz="4" w:space="0" w:color="auto"/>
              <w:bottom w:val="single" w:sz="4" w:space="0" w:color="auto"/>
              <w:right w:val="single" w:sz="4" w:space="0" w:color="auto"/>
            </w:tcBorders>
            <w:vAlign w:val="center"/>
          </w:tcPr>
          <w:p w14:paraId="540CD013" w14:textId="77777777" w:rsidR="00F81F55" w:rsidRDefault="00F81F55" w:rsidP="00F81F55">
            <w:pPr>
              <w:jc w:val="center"/>
            </w:pPr>
            <w:r>
              <w:rPr>
                <w:i/>
              </w:rPr>
              <w:t>Global</w:t>
            </w:r>
          </w:p>
        </w:tc>
        <w:tc>
          <w:tcPr>
            <w:tcW w:w="2400" w:type="dxa"/>
            <w:tcBorders>
              <w:top w:val="single" w:sz="4" w:space="0" w:color="auto"/>
              <w:left w:val="single" w:sz="4" w:space="0" w:color="auto"/>
              <w:bottom w:val="single" w:sz="4" w:space="0" w:color="auto"/>
              <w:right w:val="single" w:sz="4" w:space="0" w:color="auto"/>
            </w:tcBorders>
            <w:vAlign w:val="center"/>
          </w:tcPr>
          <w:p w14:paraId="0A974598" w14:textId="77777777" w:rsidR="00F81F55" w:rsidRDefault="00F81F55" w:rsidP="00F81F55">
            <w:pPr>
              <w:jc w:val="center"/>
            </w:pPr>
            <w:r>
              <w:rPr>
                <w:i/>
              </w:rPr>
              <w:t>Global</w:t>
            </w:r>
          </w:p>
        </w:tc>
      </w:tr>
      <w:tr w:rsidR="00F81F55" w14:paraId="749D72AB" w14:textId="77777777" w:rsidTr="008B485A">
        <w:tc>
          <w:tcPr>
            <w:tcW w:w="2656" w:type="dxa"/>
            <w:gridSpan w:val="2"/>
            <w:shd w:val="clear" w:color="auto" w:fill="auto"/>
            <w:vAlign w:val="center"/>
          </w:tcPr>
          <w:p w14:paraId="3313F1E6" w14:textId="77777777" w:rsidR="00F81F55" w:rsidRDefault="00F81F55" w:rsidP="00F81F55">
            <w:r>
              <w:t xml:space="preserve">Issue </w:t>
            </w:r>
            <w:proofErr w:type="spellStart"/>
            <w:r>
              <w:t>frequency</w:t>
            </w:r>
            <w:proofErr w:type="spellEnd"/>
            <w:r>
              <w:t>:</w:t>
            </w:r>
          </w:p>
        </w:tc>
        <w:tc>
          <w:tcPr>
            <w:tcW w:w="2399" w:type="dxa"/>
            <w:tcBorders>
              <w:top w:val="single" w:sz="4" w:space="0" w:color="auto"/>
              <w:left w:val="single" w:sz="4" w:space="0" w:color="auto"/>
              <w:bottom w:val="single" w:sz="4" w:space="0" w:color="auto"/>
              <w:right w:val="single" w:sz="4" w:space="0" w:color="auto"/>
            </w:tcBorders>
            <w:vAlign w:val="center"/>
          </w:tcPr>
          <w:p w14:paraId="1F33E105" w14:textId="77777777" w:rsidR="00F81F55" w:rsidRDefault="00F81F55" w:rsidP="00F81F55">
            <w:pPr>
              <w:jc w:val="center"/>
            </w:pPr>
            <w:proofErr w:type="spellStart"/>
            <w:r>
              <w:rPr>
                <w:i/>
              </w:rPr>
              <w:t>monthly</w:t>
            </w:r>
            <w:proofErr w:type="spellEnd"/>
          </w:p>
        </w:tc>
        <w:tc>
          <w:tcPr>
            <w:tcW w:w="2400" w:type="dxa"/>
            <w:tcBorders>
              <w:top w:val="single" w:sz="4" w:space="0" w:color="auto"/>
              <w:left w:val="single" w:sz="4" w:space="0" w:color="auto"/>
              <w:bottom w:val="single" w:sz="4" w:space="0" w:color="auto"/>
              <w:right w:val="single" w:sz="4" w:space="0" w:color="auto"/>
            </w:tcBorders>
            <w:vAlign w:val="center"/>
          </w:tcPr>
          <w:p w14:paraId="244C35D7" w14:textId="77777777" w:rsidR="00F81F55" w:rsidRDefault="00F81F55" w:rsidP="00F81F55">
            <w:pPr>
              <w:jc w:val="center"/>
            </w:pPr>
            <w:proofErr w:type="spellStart"/>
            <w:r>
              <w:rPr>
                <w:i/>
              </w:rPr>
              <w:t>monthly</w:t>
            </w:r>
            <w:proofErr w:type="spellEnd"/>
          </w:p>
        </w:tc>
        <w:tc>
          <w:tcPr>
            <w:tcW w:w="2400" w:type="dxa"/>
            <w:tcBorders>
              <w:top w:val="single" w:sz="4" w:space="0" w:color="auto"/>
              <w:left w:val="single" w:sz="4" w:space="0" w:color="auto"/>
              <w:bottom w:val="single" w:sz="4" w:space="0" w:color="auto"/>
              <w:right w:val="single" w:sz="4" w:space="0" w:color="auto"/>
            </w:tcBorders>
            <w:vAlign w:val="center"/>
          </w:tcPr>
          <w:p w14:paraId="1ABA355A" w14:textId="77777777" w:rsidR="00F81F55" w:rsidRDefault="00F81F55" w:rsidP="00F81F55">
            <w:pPr>
              <w:jc w:val="center"/>
            </w:pPr>
            <w:proofErr w:type="spellStart"/>
            <w:r>
              <w:rPr>
                <w:i/>
              </w:rPr>
              <w:t>monthly</w:t>
            </w:r>
            <w:proofErr w:type="spellEnd"/>
          </w:p>
        </w:tc>
      </w:tr>
      <w:tr w:rsidR="00F81F55" w14:paraId="01E38760" w14:textId="77777777" w:rsidTr="008B485A">
        <w:tc>
          <w:tcPr>
            <w:tcW w:w="1329" w:type="dxa"/>
            <w:vMerge w:val="restart"/>
            <w:shd w:val="clear" w:color="auto" w:fill="auto"/>
            <w:textDirection w:val="btLr"/>
            <w:vAlign w:val="center"/>
          </w:tcPr>
          <w:p w14:paraId="5744F412" w14:textId="77777777" w:rsidR="00F81F55" w:rsidRDefault="00F81F55" w:rsidP="00F81F55">
            <w:pPr>
              <w:ind w:left="113" w:right="113"/>
              <w:jc w:val="center"/>
            </w:pPr>
            <w:r>
              <w:t>Lead-time</w:t>
            </w:r>
          </w:p>
        </w:tc>
        <w:tc>
          <w:tcPr>
            <w:tcW w:w="1327" w:type="dxa"/>
            <w:shd w:val="clear" w:color="auto" w:fill="auto"/>
            <w:vAlign w:val="center"/>
          </w:tcPr>
          <w:p w14:paraId="0B542A63" w14:textId="77777777" w:rsidR="00F81F55" w:rsidRDefault="00F81F55" w:rsidP="00F81F55">
            <w:r>
              <w:t>L0</w:t>
            </w:r>
          </w:p>
        </w:tc>
        <w:tc>
          <w:tcPr>
            <w:tcW w:w="2399" w:type="dxa"/>
            <w:tcBorders>
              <w:top w:val="single" w:sz="4" w:space="0" w:color="auto"/>
              <w:left w:val="single" w:sz="4" w:space="0" w:color="auto"/>
              <w:bottom w:val="single" w:sz="4" w:space="0" w:color="auto"/>
              <w:right w:val="single" w:sz="4" w:space="0" w:color="auto"/>
            </w:tcBorders>
            <w:vAlign w:val="center"/>
          </w:tcPr>
          <w:p w14:paraId="36EAD542"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6A040EC7"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38B7E546" w14:textId="77777777" w:rsidR="00F81F55" w:rsidRDefault="00F81F55" w:rsidP="00F81F55">
            <w:pPr>
              <w:jc w:val="center"/>
            </w:pPr>
            <w:r>
              <w:rPr>
                <w:i/>
              </w:rPr>
              <w:t>N</w:t>
            </w:r>
          </w:p>
        </w:tc>
      </w:tr>
      <w:tr w:rsidR="00F81F55" w14:paraId="31279362" w14:textId="77777777" w:rsidTr="008B485A">
        <w:tc>
          <w:tcPr>
            <w:tcW w:w="1329" w:type="dxa"/>
            <w:vMerge/>
            <w:shd w:val="clear" w:color="auto" w:fill="auto"/>
            <w:vAlign w:val="center"/>
          </w:tcPr>
          <w:p w14:paraId="10CD124B" w14:textId="77777777" w:rsidR="00F81F55" w:rsidRDefault="00F81F55" w:rsidP="00F81F55"/>
        </w:tc>
        <w:tc>
          <w:tcPr>
            <w:tcW w:w="1327" w:type="dxa"/>
            <w:shd w:val="clear" w:color="auto" w:fill="auto"/>
            <w:vAlign w:val="center"/>
          </w:tcPr>
          <w:p w14:paraId="2643855E" w14:textId="77777777" w:rsidR="00F81F55" w:rsidRDefault="00F81F55" w:rsidP="00F81F55">
            <w:r>
              <w:t>L1</w:t>
            </w:r>
          </w:p>
        </w:tc>
        <w:tc>
          <w:tcPr>
            <w:tcW w:w="2399" w:type="dxa"/>
            <w:tcBorders>
              <w:top w:val="single" w:sz="4" w:space="0" w:color="auto"/>
              <w:left w:val="single" w:sz="4" w:space="0" w:color="auto"/>
              <w:bottom w:val="single" w:sz="4" w:space="0" w:color="auto"/>
              <w:right w:val="single" w:sz="4" w:space="0" w:color="auto"/>
            </w:tcBorders>
            <w:vAlign w:val="center"/>
          </w:tcPr>
          <w:p w14:paraId="07602185"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0DF2B1E7"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329FA271" w14:textId="77777777" w:rsidR="00F81F55" w:rsidRDefault="00F81F55" w:rsidP="00F81F55">
            <w:pPr>
              <w:jc w:val="center"/>
            </w:pPr>
            <w:r>
              <w:rPr>
                <w:i/>
              </w:rPr>
              <w:t>Y</w:t>
            </w:r>
          </w:p>
        </w:tc>
      </w:tr>
      <w:tr w:rsidR="00F81F55" w14:paraId="7B29ECD9" w14:textId="77777777" w:rsidTr="008B485A">
        <w:tc>
          <w:tcPr>
            <w:tcW w:w="1329" w:type="dxa"/>
            <w:vMerge/>
            <w:shd w:val="clear" w:color="auto" w:fill="auto"/>
            <w:vAlign w:val="center"/>
          </w:tcPr>
          <w:p w14:paraId="564DD145" w14:textId="77777777" w:rsidR="00F81F55" w:rsidRDefault="00F81F55" w:rsidP="00F81F55"/>
        </w:tc>
        <w:tc>
          <w:tcPr>
            <w:tcW w:w="1327" w:type="dxa"/>
            <w:shd w:val="clear" w:color="auto" w:fill="auto"/>
            <w:vAlign w:val="center"/>
          </w:tcPr>
          <w:p w14:paraId="02622687" w14:textId="77777777" w:rsidR="00F81F55" w:rsidRDefault="00F81F55" w:rsidP="00F81F55">
            <w:r>
              <w:t>L2</w:t>
            </w:r>
          </w:p>
        </w:tc>
        <w:tc>
          <w:tcPr>
            <w:tcW w:w="2399" w:type="dxa"/>
            <w:tcBorders>
              <w:top w:val="single" w:sz="4" w:space="0" w:color="auto"/>
              <w:left w:val="single" w:sz="4" w:space="0" w:color="auto"/>
              <w:bottom w:val="single" w:sz="4" w:space="0" w:color="auto"/>
              <w:right w:val="single" w:sz="4" w:space="0" w:color="auto"/>
            </w:tcBorders>
            <w:vAlign w:val="center"/>
          </w:tcPr>
          <w:p w14:paraId="0A6CB016"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06ABE176"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0AF52F72" w14:textId="77777777" w:rsidR="00F81F55" w:rsidRDefault="00F81F55" w:rsidP="00F81F55">
            <w:pPr>
              <w:jc w:val="center"/>
            </w:pPr>
            <w:r>
              <w:rPr>
                <w:i/>
              </w:rPr>
              <w:t>Y</w:t>
            </w:r>
          </w:p>
        </w:tc>
      </w:tr>
      <w:tr w:rsidR="00F81F55" w14:paraId="7A3186DC" w14:textId="77777777" w:rsidTr="008B485A">
        <w:tc>
          <w:tcPr>
            <w:tcW w:w="1329" w:type="dxa"/>
            <w:vMerge/>
            <w:shd w:val="clear" w:color="auto" w:fill="auto"/>
            <w:vAlign w:val="center"/>
          </w:tcPr>
          <w:p w14:paraId="1270423A" w14:textId="77777777" w:rsidR="00F81F55" w:rsidRDefault="00F81F55" w:rsidP="00F81F55"/>
        </w:tc>
        <w:tc>
          <w:tcPr>
            <w:tcW w:w="1327" w:type="dxa"/>
            <w:shd w:val="clear" w:color="auto" w:fill="auto"/>
            <w:vAlign w:val="center"/>
          </w:tcPr>
          <w:p w14:paraId="77A969EF" w14:textId="77777777" w:rsidR="00F81F55" w:rsidRDefault="00F81F55" w:rsidP="00F81F55">
            <w:r>
              <w:t>L3</w:t>
            </w:r>
          </w:p>
        </w:tc>
        <w:tc>
          <w:tcPr>
            <w:tcW w:w="2399" w:type="dxa"/>
            <w:tcBorders>
              <w:top w:val="single" w:sz="4" w:space="0" w:color="auto"/>
              <w:left w:val="single" w:sz="4" w:space="0" w:color="auto"/>
              <w:bottom w:val="single" w:sz="4" w:space="0" w:color="auto"/>
              <w:right w:val="single" w:sz="4" w:space="0" w:color="auto"/>
            </w:tcBorders>
            <w:vAlign w:val="center"/>
          </w:tcPr>
          <w:p w14:paraId="3951DEE0"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14E00454" w14:textId="77777777" w:rsidR="00F81F55" w:rsidRDefault="00F81F55" w:rsidP="00F81F55">
            <w:pPr>
              <w:jc w:val="center"/>
            </w:pPr>
            <w:r>
              <w:rPr>
                <w:i/>
              </w:rPr>
              <w:t>Y</w:t>
            </w:r>
          </w:p>
        </w:tc>
        <w:tc>
          <w:tcPr>
            <w:tcW w:w="2400" w:type="dxa"/>
            <w:tcBorders>
              <w:top w:val="single" w:sz="4" w:space="0" w:color="auto"/>
              <w:left w:val="single" w:sz="4" w:space="0" w:color="auto"/>
              <w:bottom w:val="single" w:sz="4" w:space="0" w:color="auto"/>
              <w:right w:val="single" w:sz="4" w:space="0" w:color="auto"/>
            </w:tcBorders>
            <w:vAlign w:val="center"/>
          </w:tcPr>
          <w:p w14:paraId="7112D2E5" w14:textId="77777777" w:rsidR="00F81F55" w:rsidRDefault="00F81F55" w:rsidP="00F81F55">
            <w:pPr>
              <w:jc w:val="center"/>
            </w:pPr>
            <w:r>
              <w:rPr>
                <w:i/>
              </w:rPr>
              <w:t>Y</w:t>
            </w:r>
          </w:p>
        </w:tc>
      </w:tr>
      <w:tr w:rsidR="00F81F55" w14:paraId="3337B510" w14:textId="77777777" w:rsidTr="008B485A">
        <w:tc>
          <w:tcPr>
            <w:tcW w:w="1329" w:type="dxa"/>
            <w:vMerge/>
            <w:shd w:val="clear" w:color="auto" w:fill="auto"/>
            <w:vAlign w:val="center"/>
          </w:tcPr>
          <w:p w14:paraId="590FA6DF" w14:textId="77777777" w:rsidR="00F81F55" w:rsidRDefault="00F81F55" w:rsidP="00F81F55"/>
        </w:tc>
        <w:tc>
          <w:tcPr>
            <w:tcW w:w="1327" w:type="dxa"/>
            <w:shd w:val="clear" w:color="auto" w:fill="auto"/>
            <w:vAlign w:val="center"/>
          </w:tcPr>
          <w:p w14:paraId="4881AA14" w14:textId="77777777" w:rsidR="00F81F55" w:rsidRDefault="00F81F55" w:rsidP="00F81F55">
            <w:r>
              <w:t>L4</w:t>
            </w:r>
          </w:p>
        </w:tc>
        <w:tc>
          <w:tcPr>
            <w:tcW w:w="2399" w:type="dxa"/>
            <w:tcBorders>
              <w:top w:val="single" w:sz="4" w:space="0" w:color="auto"/>
              <w:left w:val="single" w:sz="4" w:space="0" w:color="auto"/>
              <w:bottom w:val="single" w:sz="4" w:space="0" w:color="auto"/>
              <w:right w:val="single" w:sz="4" w:space="0" w:color="auto"/>
            </w:tcBorders>
            <w:vAlign w:val="center"/>
          </w:tcPr>
          <w:p w14:paraId="31669EC7"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48E60625"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3B8688B7" w14:textId="77777777" w:rsidR="00F81F55" w:rsidRDefault="00F81F55" w:rsidP="00F81F55">
            <w:pPr>
              <w:jc w:val="center"/>
            </w:pPr>
            <w:r>
              <w:rPr>
                <w:i/>
              </w:rPr>
              <w:t>N</w:t>
            </w:r>
          </w:p>
        </w:tc>
      </w:tr>
      <w:tr w:rsidR="00F81F55" w14:paraId="1B178C5C" w14:textId="77777777" w:rsidTr="008B485A">
        <w:tc>
          <w:tcPr>
            <w:tcW w:w="1329" w:type="dxa"/>
            <w:vMerge/>
            <w:shd w:val="clear" w:color="auto" w:fill="auto"/>
            <w:vAlign w:val="center"/>
          </w:tcPr>
          <w:p w14:paraId="7B2A05D1" w14:textId="77777777" w:rsidR="00F81F55" w:rsidRDefault="00F81F55" w:rsidP="00F81F55"/>
        </w:tc>
        <w:tc>
          <w:tcPr>
            <w:tcW w:w="1327" w:type="dxa"/>
            <w:shd w:val="clear" w:color="auto" w:fill="auto"/>
            <w:vAlign w:val="center"/>
          </w:tcPr>
          <w:p w14:paraId="162E2F6B" w14:textId="77777777" w:rsidR="00F81F55" w:rsidRDefault="00F81F55" w:rsidP="00F81F55">
            <w:r>
              <w:t>L4+</w:t>
            </w:r>
          </w:p>
        </w:tc>
        <w:tc>
          <w:tcPr>
            <w:tcW w:w="2399" w:type="dxa"/>
            <w:tcBorders>
              <w:top w:val="single" w:sz="4" w:space="0" w:color="auto"/>
              <w:left w:val="single" w:sz="4" w:space="0" w:color="auto"/>
              <w:bottom w:val="single" w:sz="4" w:space="0" w:color="auto"/>
              <w:right w:val="single" w:sz="4" w:space="0" w:color="auto"/>
            </w:tcBorders>
            <w:vAlign w:val="center"/>
          </w:tcPr>
          <w:p w14:paraId="04DDE588"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4FBB34B9" w14:textId="77777777" w:rsidR="00F81F55" w:rsidRDefault="00F81F55" w:rsidP="00F81F55">
            <w:pPr>
              <w:jc w:val="center"/>
            </w:pPr>
            <w:r>
              <w:rPr>
                <w:i/>
              </w:rPr>
              <w:t>N</w:t>
            </w:r>
          </w:p>
        </w:tc>
        <w:tc>
          <w:tcPr>
            <w:tcW w:w="2400" w:type="dxa"/>
            <w:tcBorders>
              <w:top w:val="single" w:sz="4" w:space="0" w:color="auto"/>
              <w:left w:val="single" w:sz="4" w:space="0" w:color="auto"/>
              <w:bottom w:val="single" w:sz="4" w:space="0" w:color="auto"/>
              <w:right w:val="single" w:sz="4" w:space="0" w:color="auto"/>
            </w:tcBorders>
            <w:vAlign w:val="center"/>
          </w:tcPr>
          <w:p w14:paraId="5BE27E63" w14:textId="77777777" w:rsidR="00F81F55" w:rsidRDefault="00F81F55" w:rsidP="00F81F55">
            <w:pPr>
              <w:jc w:val="center"/>
            </w:pPr>
            <w:r>
              <w:rPr>
                <w:i/>
              </w:rPr>
              <w:t>N</w:t>
            </w:r>
          </w:p>
        </w:tc>
      </w:tr>
      <w:tr w:rsidR="00F81F55" w14:paraId="532FC5CE" w14:textId="77777777" w:rsidTr="008B485A">
        <w:tc>
          <w:tcPr>
            <w:tcW w:w="2656" w:type="dxa"/>
            <w:gridSpan w:val="2"/>
            <w:shd w:val="clear" w:color="auto" w:fill="auto"/>
            <w:vAlign w:val="center"/>
          </w:tcPr>
          <w:p w14:paraId="71706A94" w14:textId="77777777" w:rsidR="00F81F55" w:rsidRDefault="00F81F55" w:rsidP="00F81F55">
            <w:r>
              <w:t xml:space="preserve">Location of </w:t>
            </w:r>
            <w:proofErr w:type="spellStart"/>
            <w:r>
              <w:t>rendered</w:t>
            </w:r>
            <w:proofErr w:type="spellEnd"/>
            <w:r>
              <w:t xml:space="preserve"> images:</w:t>
            </w:r>
          </w:p>
        </w:tc>
        <w:tc>
          <w:tcPr>
            <w:tcW w:w="7199" w:type="dxa"/>
            <w:gridSpan w:val="3"/>
            <w:shd w:val="clear" w:color="auto" w:fill="auto"/>
            <w:vAlign w:val="center"/>
          </w:tcPr>
          <w:p w14:paraId="00B5A2B6" w14:textId="77777777" w:rsidR="00F81F55" w:rsidRDefault="006367DC" w:rsidP="00F81F55">
            <w:pPr>
              <w:jc w:val="center"/>
            </w:pPr>
            <w:hyperlink r:id="rId16" w:history="1">
              <w:r w:rsidR="00F81F55" w:rsidRPr="00F81F55">
                <w:rPr>
                  <w:rStyle w:val="Hyperlink"/>
                  <w:i/>
                </w:rPr>
                <w:t>http://www.metoffice.gov.uk/research/climate/seasonal-to-decadal/gpc-outlooks</w:t>
              </w:r>
            </w:hyperlink>
          </w:p>
        </w:tc>
      </w:tr>
      <w:tr w:rsidR="00F81F55" w:rsidRPr="006367DC" w14:paraId="6BFCB32A" w14:textId="77777777" w:rsidTr="008B485A">
        <w:tc>
          <w:tcPr>
            <w:tcW w:w="2656" w:type="dxa"/>
            <w:gridSpan w:val="2"/>
            <w:shd w:val="clear" w:color="auto" w:fill="auto"/>
            <w:vAlign w:val="center"/>
          </w:tcPr>
          <w:p w14:paraId="6AC457AF" w14:textId="77777777" w:rsidR="00F81F55" w:rsidRPr="001F07AB" w:rsidRDefault="00F81F55" w:rsidP="00F81F55">
            <w:pPr>
              <w:rPr>
                <w:lang w:val="en-US"/>
              </w:rPr>
            </w:pPr>
            <w:r w:rsidRPr="001F07AB">
              <w:rPr>
                <w:lang w:val="en-US"/>
              </w:rPr>
              <w:t>Location of digital data (if available):</w:t>
            </w:r>
          </w:p>
        </w:tc>
        <w:tc>
          <w:tcPr>
            <w:tcW w:w="7199" w:type="dxa"/>
            <w:gridSpan w:val="3"/>
            <w:tcBorders>
              <w:top w:val="single" w:sz="4" w:space="0" w:color="auto"/>
              <w:left w:val="single" w:sz="4" w:space="0" w:color="auto"/>
              <w:bottom w:val="single" w:sz="4" w:space="0" w:color="auto"/>
              <w:right w:val="single" w:sz="4" w:space="0" w:color="auto"/>
            </w:tcBorders>
            <w:vAlign w:val="center"/>
          </w:tcPr>
          <w:p w14:paraId="0964D6CE" w14:textId="77777777" w:rsidR="00F81F55" w:rsidRDefault="00F81F55" w:rsidP="00CD6CE9">
            <w:pPr>
              <w:jc w:val="center"/>
              <w:rPr>
                <w:lang w:val="en-US"/>
              </w:rPr>
            </w:pPr>
            <w:r>
              <w:rPr>
                <w:lang w:val="en-US"/>
              </w:rPr>
              <w:t xml:space="preserve">Free and commercial data packages available </w:t>
            </w:r>
            <w:r w:rsidR="00CD6CE9">
              <w:rPr>
                <w:lang w:val="en-US"/>
              </w:rPr>
              <w:t xml:space="preserve">(ftp) </w:t>
            </w:r>
            <w:r>
              <w:rPr>
                <w:lang w:val="en-US"/>
              </w:rPr>
              <w:t>by agreement (monthly values free</w:t>
            </w:r>
            <w:r w:rsidR="00CD6CE9">
              <w:rPr>
                <w:lang w:val="en-US"/>
              </w:rPr>
              <w:t xml:space="preserve"> for no commercial use)</w:t>
            </w:r>
            <w:r>
              <w:rPr>
                <w:lang w:val="en-US"/>
              </w:rPr>
              <w:t xml:space="preserve"> </w:t>
            </w:r>
          </w:p>
          <w:p w14:paraId="7C914478" w14:textId="77777777" w:rsidR="00CD6CE9" w:rsidRDefault="00CD6CE9" w:rsidP="00CD6CE9">
            <w:pPr>
              <w:jc w:val="center"/>
              <w:rPr>
                <w:lang w:val="en-US"/>
              </w:rPr>
            </w:pPr>
            <w:r>
              <w:rPr>
                <w:lang w:val="en-US"/>
              </w:rPr>
              <w:t>Monthly values also available on IRI Data Library (after online acceptance of terms and conditions)</w:t>
            </w:r>
          </w:p>
        </w:tc>
      </w:tr>
      <w:tr w:rsidR="00F81F55" w:rsidRPr="001F07AB" w14:paraId="65050394" w14:textId="77777777" w:rsidTr="008B485A">
        <w:tc>
          <w:tcPr>
            <w:tcW w:w="2656" w:type="dxa"/>
            <w:gridSpan w:val="2"/>
            <w:shd w:val="clear" w:color="auto" w:fill="auto"/>
            <w:vAlign w:val="center"/>
          </w:tcPr>
          <w:p w14:paraId="587250F6" w14:textId="77777777" w:rsidR="00F81F55" w:rsidRPr="001F07AB" w:rsidRDefault="00F81F55" w:rsidP="00F81F55">
            <w:pPr>
              <w:rPr>
                <w:lang w:val="en-US"/>
              </w:rPr>
            </w:pPr>
            <w:r w:rsidRPr="001F07AB">
              <w:rPr>
                <w:i/>
                <w:lang w:val="en-US"/>
              </w:rPr>
              <w:t>[For non-compliant elements, please indicate intended date of compliance]</w:t>
            </w:r>
          </w:p>
        </w:tc>
        <w:tc>
          <w:tcPr>
            <w:tcW w:w="7199" w:type="dxa"/>
            <w:gridSpan w:val="3"/>
            <w:tcBorders>
              <w:top w:val="single" w:sz="4" w:space="0" w:color="auto"/>
              <w:left w:val="single" w:sz="4" w:space="0" w:color="auto"/>
              <w:bottom w:val="single" w:sz="4" w:space="0" w:color="auto"/>
              <w:right w:val="single" w:sz="4" w:space="0" w:color="auto"/>
            </w:tcBorders>
            <w:vAlign w:val="center"/>
          </w:tcPr>
          <w:p w14:paraId="3498CD34" w14:textId="112E07BC" w:rsidR="00F81F55" w:rsidRDefault="004D3828" w:rsidP="00CD6CE9">
            <w:pPr>
              <w:jc w:val="center"/>
              <w:rPr>
                <w:lang w:val="en-US"/>
              </w:rPr>
            </w:pPr>
            <w:r>
              <w:rPr>
                <w:lang w:val="en-US"/>
              </w:rPr>
              <w:t>None</w:t>
            </w:r>
          </w:p>
        </w:tc>
      </w:tr>
    </w:tbl>
    <w:p w14:paraId="0C672DBE" w14:textId="77777777" w:rsidR="00B13845" w:rsidRPr="00B13845" w:rsidRDefault="00B13845" w:rsidP="00B13845">
      <w:pPr>
        <w:jc w:val="both"/>
        <w:rPr>
          <w:lang w:val="en-US"/>
        </w:rPr>
      </w:pPr>
    </w:p>
    <w:p w14:paraId="6D5297DB" w14:textId="77777777" w:rsidR="00B13845" w:rsidRPr="00B13845" w:rsidRDefault="00B13845" w:rsidP="00B13845">
      <w:pPr>
        <w:jc w:val="both"/>
        <w:rPr>
          <w:b/>
          <w:lang w:val="en-US"/>
        </w:rPr>
      </w:pPr>
      <w:r w:rsidRPr="00B13845">
        <w:rPr>
          <w:b/>
          <w:lang w:val="en-US"/>
        </w:rPr>
        <w:t>3.</w:t>
      </w:r>
      <w:r w:rsidRPr="00B13845">
        <w:rPr>
          <w:b/>
          <w:lang w:val="en-US"/>
        </w:rPr>
        <w:tab/>
        <w:t xml:space="preserve">VERIFICATION </w:t>
      </w:r>
      <w:r w:rsidRPr="00B13845">
        <w:rPr>
          <w:i/>
          <w:lang w:val="en-US"/>
        </w:rPr>
        <w:t>[response options in brackets; change or delete as appropriate. For non-compliant elements, please indicate intended date of compliance]</w:t>
      </w:r>
    </w:p>
    <w:p w14:paraId="1498917D" w14:textId="77777777" w:rsidR="00B13845" w:rsidRPr="00B13845" w:rsidRDefault="00B13845" w:rsidP="00B13845">
      <w:pPr>
        <w:jc w:val="both"/>
        <w:rPr>
          <w:lang w:val="en-US"/>
        </w:rPr>
      </w:pPr>
    </w:p>
    <w:p w14:paraId="3C1235A9" w14:textId="77777777" w:rsidR="00B13845" w:rsidRDefault="00B13845" w:rsidP="00B13845">
      <w:pPr>
        <w:jc w:val="both"/>
      </w:pPr>
      <w:r>
        <w:t>3.1</w:t>
      </w:r>
      <w:r>
        <w:tab/>
        <w:t xml:space="preserve">SVSLRF </w:t>
      </w:r>
      <w:proofErr w:type="spellStart"/>
      <w:r>
        <w:t>Level</w:t>
      </w:r>
      <w:proofErr w:type="spellEnd"/>
      <w:r>
        <w:t xml:space="preserve"> 1 scores</w:t>
      </w:r>
    </w:p>
    <w:p w14:paraId="21A178A7" w14:textId="77777777" w:rsidR="00B13845" w:rsidRDefault="00B13845" w:rsidP="00B138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B13845" w14:paraId="0797E194" w14:textId="77777777" w:rsidTr="001F07AB">
        <w:tc>
          <w:tcPr>
            <w:tcW w:w="1971" w:type="dxa"/>
            <w:shd w:val="clear" w:color="auto" w:fill="auto"/>
            <w:vAlign w:val="center"/>
          </w:tcPr>
          <w:p w14:paraId="4A9E537E" w14:textId="77777777" w:rsidR="00B13845" w:rsidRDefault="00B13845" w:rsidP="00656CFD">
            <w:r>
              <w:t>Variable:</w:t>
            </w:r>
          </w:p>
        </w:tc>
        <w:tc>
          <w:tcPr>
            <w:tcW w:w="1971" w:type="dxa"/>
            <w:shd w:val="clear" w:color="auto" w:fill="auto"/>
            <w:vAlign w:val="center"/>
          </w:tcPr>
          <w:p w14:paraId="36F5E4C9" w14:textId="77777777" w:rsidR="00B13845" w:rsidRDefault="00B13845" w:rsidP="001F07AB">
            <w:pPr>
              <w:jc w:val="center"/>
            </w:pPr>
            <w:r>
              <w:t xml:space="preserve">2m </w:t>
            </w:r>
            <w:proofErr w:type="spellStart"/>
            <w:r>
              <w:t>temperature</w:t>
            </w:r>
            <w:proofErr w:type="spellEnd"/>
          </w:p>
        </w:tc>
        <w:tc>
          <w:tcPr>
            <w:tcW w:w="1971" w:type="dxa"/>
            <w:shd w:val="clear" w:color="auto" w:fill="auto"/>
            <w:vAlign w:val="center"/>
          </w:tcPr>
          <w:p w14:paraId="1256CEF6" w14:textId="77777777" w:rsidR="00B13845" w:rsidRDefault="00B13845" w:rsidP="001F07AB">
            <w:pPr>
              <w:jc w:val="center"/>
            </w:pPr>
            <w:proofErr w:type="spellStart"/>
            <w:r>
              <w:t>Precipitation</w:t>
            </w:r>
            <w:proofErr w:type="spellEnd"/>
          </w:p>
        </w:tc>
        <w:tc>
          <w:tcPr>
            <w:tcW w:w="1971" w:type="dxa"/>
            <w:shd w:val="clear" w:color="auto" w:fill="auto"/>
            <w:vAlign w:val="center"/>
          </w:tcPr>
          <w:p w14:paraId="274E61F9" w14:textId="77777777" w:rsidR="00B13845" w:rsidRDefault="00B13845" w:rsidP="001F07AB">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c>
          <w:tcPr>
            <w:tcW w:w="1971" w:type="dxa"/>
            <w:shd w:val="clear" w:color="auto" w:fill="auto"/>
            <w:vAlign w:val="center"/>
          </w:tcPr>
          <w:p w14:paraId="0511668D" w14:textId="77777777" w:rsidR="00B13845" w:rsidRDefault="00B13845" w:rsidP="001F07AB">
            <w:pPr>
              <w:jc w:val="center"/>
            </w:pPr>
            <w:r>
              <w:t xml:space="preserve">Niño </w:t>
            </w:r>
            <w:proofErr w:type="spellStart"/>
            <w:r>
              <w:t>region</w:t>
            </w:r>
            <w:proofErr w:type="spellEnd"/>
            <w:r>
              <w:t xml:space="preserve"> indices</w:t>
            </w:r>
          </w:p>
        </w:tc>
      </w:tr>
      <w:tr w:rsidR="003C4A68" w14:paraId="06A1596A" w14:textId="77777777" w:rsidTr="001007F0">
        <w:tc>
          <w:tcPr>
            <w:tcW w:w="1971" w:type="dxa"/>
            <w:shd w:val="clear" w:color="auto" w:fill="auto"/>
            <w:vAlign w:val="center"/>
          </w:tcPr>
          <w:p w14:paraId="68B5A0A3" w14:textId="77777777" w:rsidR="003C4A68" w:rsidRDefault="003C4A68" w:rsidP="003C4A68">
            <w:proofErr w:type="spellStart"/>
            <w:r>
              <w:t>Seasons</w:t>
            </w:r>
            <w:proofErr w:type="spellEnd"/>
            <w:r>
              <w:t>:</w:t>
            </w:r>
          </w:p>
        </w:tc>
        <w:tc>
          <w:tcPr>
            <w:tcW w:w="1971" w:type="dxa"/>
            <w:vAlign w:val="center"/>
          </w:tcPr>
          <w:p w14:paraId="1AE07E0F" w14:textId="77777777" w:rsidR="003C4A68" w:rsidRPr="00D90D10" w:rsidRDefault="003C4A68" w:rsidP="003C4A68">
            <w:pPr>
              <w:jc w:val="center"/>
              <w:rPr>
                <w:lang w:val="en-GB"/>
              </w:rPr>
            </w:pPr>
            <w:r w:rsidRPr="00D90D10">
              <w:rPr>
                <w:i/>
                <w:lang w:val="en-GB"/>
              </w:rPr>
              <w:t>As for products (nominally 12 3-month seasons)</w:t>
            </w:r>
          </w:p>
        </w:tc>
        <w:tc>
          <w:tcPr>
            <w:tcW w:w="1971" w:type="dxa"/>
            <w:vAlign w:val="center"/>
          </w:tcPr>
          <w:p w14:paraId="3150CE0E" w14:textId="77777777" w:rsidR="003C4A68" w:rsidRPr="00D90D10" w:rsidRDefault="003C4A68" w:rsidP="003C4A68">
            <w:pPr>
              <w:jc w:val="center"/>
              <w:rPr>
                <w:lang w:val="en-GB"/>
              </w:rPr>
            </w:pPr>
            <w:r w:rsidRPr="00D90D10">
              <w:rPr>
                <w:i/>
                <w:lang w:val="en-GB"/>
              </w:rPr>
              <w:t>As for products (nominally 12 3-month seasons)</w:t>
            </w:r>
          </w:p>
        </w:tc>
        <w:tc>
          <w:tcPr>
            <w:tcW w:w="1971" w:type="dxa"/>
            <w:vAlign w:val="center"/>
          </w:tcPr>
          <w:p w14:paraId="03FDC94E" w14:textId="77777777" w:rsidR="003C4A68" w:rsidRPr="00D90D10" w:rsidRDefault="003C4A68" w:rsidP="003C4A68">
            <w:pPr>
              <w:jc w:val="center"/>
              <w:rPr>
                <w:i/>
                <w:lang w:val="en-GB"/>
              </w:rPr>
            </w:pPr>
            <w:r w:rsidRPr="00D90D10">
              <w:rPr>
                <w:i/>
                <w:lang w:val="en-GB"/>
              </w:rPr>
              <w:t>N</w:t>
            </w:r>
          </w:p>
        </w:tc>
        <w:tc>
          <w:tcPr>
            <w:tcW w:w="1971" w:type="dxa"/>
            <w:vAlign w:val="center"/>
          </w:tcPr>
          <w:p w14:paraId="3A205D20" w14:textId="77777777" w:rsidR="003C4A68" w:rsidRPr="00D90D10" w:rsidRDefault="003C4A68" w:rsidP="003C4A68">
            <w:pPr>
              <w:jc w:val="center"/>
              <w:rPr>
                <w:i/>
              </w:rPr>
            </w:pPr>
            <w:r w:rsidRPr="00D90D10">
              <w:rPr>
                <w:i/>
              </w:rPr>
              <w:t>N</w:t>
            </w:r>
          </w:p>
        </w:tc>
      </w:tr>
      <w:tr w:rsidR="003C4A68" w:rsidRPr="001F07AB" w14:paraId="07AA005C" w14:textId="77777777" w:rsidTr="001007F0">
        <w:tc>
          <w:tcPr>
            <w:tcW w:w="1971" w:type="dxa"/>
            <w:shd w:val="clear" w:color="auto" w:fill="auto"/>
            <w:vAlign w:val="center"/>
          </w:tcPr>
          <w:p w14:paraId="76EFE13D" w14:textId="77777777" w:rsidR="003C4A68" w:rsidRDefault="003C4A68" w:rsidP="003C4A68">
            <w:r>
              <w:t>Leads:</w:t>
            </w:r>
          </w:p>
        </w:tc>
        <w:tc>
          <w:tcPr>
            <w:tcW w:w="1971" w:type="dxa"/>
            <w:vAlign w:val="center"/>
          </w:tcPr>
          <w:p w14:paraId="6BA0E807" w14:textId="77777777" w:rsidR="003C4A68" w:rsidRPr="00D90D10" w:rsidRDefault="003C4A68" w:rsidP="003C4A68">
            <w:pPr>
              <w:jc w:val="center"/>
              <w:rPr>
                <w:lang w:val="en-US"/>
              </w:rPr>
            </w:pPr>
            <w:r w:rsidRPr="00D90D10">
              <w:rPr>
                <w:i/>
                <w:lang w:val="en-GB"/>
              </w:rPr>
              <w:t>All leads for which forecasts are issued</w:t>
            </w:r>
          </w:p>
        </w:tc>
        <w:tc>
          <w:tcPr>
            <w:tcW w:w="1971" w:type="dxa"/>
            <w:vAlign w:val="center"/>
          </w:tcPr>
          <w:p w14:paraId="16F252F3" w14:textId="77777777" w:rsidR="003C4A68" w:rsidRPr="00D90D10" w:rsidRDefault="003C4A68" w:rsidP="003C4A68">
            <w:pPr>
              <w:jc w:val="center"/>
              <w:rPr>
                <w:lang w:val="en-US"/>
              </w:rPr>
            </w:pPr>
            <w:r w:rsidRPr="00D90D10">
              <w:rPr>
                <w:i/>
                <w:lang w:val="en-GB"/>
              </w:rPr>
              <w:t>All leads for which forecasts are issued</w:t>
            </w:r>
          </w:p>
        </w:tc>
        <w:tc>
          <w:tcPr>
            <w:tcW w:w="1971" w:type="dxa"/>
            <w:vAlign w:val="center"/>
          </w:tcPr>
          <w:p w14:paraId="6964F83C" w14:textId="77777777" w:rsidR="003C4A68" w:rsidRPr="00D90D10" w:rsidRDefault="003C4A68" w:rsidP="003C4A68">
            <w:pPr>
              <w:jc w:val="center"/>
              <w:rPr>
                <w:i/>
                <w:lang w:val="en-US"/>
              </w:rPr>
            </w:pPr>
            <w:r w:rsidRPr="00D90D10">
              <w:rPr>
                <w:i/>
              </w:rPr>
              <w:t>N</w:t>
            </w:r>
          </w:p>
        </w:tc>
        <w:tc>
          <w:tcPr>
            <w:tcW w:w="1971" w:type="dxa"/>
            <w:vAlign w:val="center"/>
          </w:tcPr>
          <w:p w14:paraId="61940C55" w14:textId="77777777" w:rsidR="003C4A68" w:rsidRPr="00D90D10" w:rsidRDefault="003C4A68" w:rsidP="003C4A68">
            <w:pPr>
              <w:jc w:val="center"/>
              <w:rPr>
                <w:i/>
                <w:lang w:val="en-US"/>
              </w:rPr>
            </w:pPr>
            <w:r w:rsidRPr="00D90D10">
              <w:rPr>
                <w:i/>
                <w:lang w:val="en-US"/>
              </w:rPr>
              <w:t>N</w:t>
            </w:r>
          </w:p>
        </w:tc>
      </w:tr>
      <w:tr w:rsidR="003C4A68" w14:paraId="3AF9D853" w14:textId="77777777" w:rsidTr="001007F0">
        <w:tc>
          <w:tcPr>
            <w:tcW w:w="1971" w:type="dxa"/>
            <w:shd w:val="clear" w:color="auto" w:fill="auto"/>
            <w:vAlign w:val="center"/>
          </w:tcPr>
          <w:p w14:paraId="1FDC76FB" w14:textId="77777777" w:rsidR="003C4A68" w:rsidRDefault="003C4A68" w:rsidP="003C4A68">
            <w:r>
              <w:t xml:space="preserve">ROC </w:t>
            </w:r>
            <w:proofErr w:type="spellStart"/>
            <w:r>
              <w:t>curves</w:t>
            </w:r>
            <w:proofErr w:type="spellEnd"/>
            <w:r>
              <w:t>:</w:t>
            </w:r>
          </w:p>
        </w:tc>
        <w:tc>
          <w:tcPr>
            <w:tcW w:w="1971" w:type="dxa"/>
            <w:vAlign w:val="center"/>
          </w:tcPr>
          <w:p w14:paraId="67CD3F71"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4807BE19"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6C149C12" w14:textId="77777777" w:rsidR="003C4A68" w:rsidRPr="00D90D10" w:rsidRDefault="003C4A68" w:rsidP="003C4A68">
            <w:pPr>
              <w:jc w:val="center"/>
              <w:rPr>
                <w:i/>
                <w:lang w:val="en-US"/>
              </w:rPr>
            </w:pPr>
            <w:r w:rsidRPr="00D90D10">
              <w:rPr>
                <w:i/>
              </w:rPr>
              <w:t>N</w:t>
            </w:r>
          </w:p>
        </w:tc>
        <w:tc>
          <w:tcPr>
            <w:tcW w:w="1971" w:type="dxa"/>
            <w:vAlign w:val="center"/>
          </w:tcPr>
          <w:p w14:paraId="6DB45A51" w14:textId="77777777" w:rsidR="003C4A68" w:rsidRPr="00D90D10" w:rsidRDefault="003C4A68" w:rsidP="003C4A68">
            <w:pPr>
              <w:jc w:val="center"/>
              <w:rPr>
                <w:i/>
              </w:rPr>
            </w:pPr>
            <w:r w:rsidRPr="00D90D10">
              <w:rPr>
                <w:i/>
              </w:rPr>
              <w:t>N</w:t>
            </w:r>
          </w:p>
        </w:tc>
      </w:tr>
      <w:tr w:rsidR="003C4A68" w14:paraId="4BC1FD6F" w14:textId="77777777" w:rsidTr="001007F0">
        <w:tc>
          <w:tcPr>
            <w:tcW w:w="1971" w:type="dxa"/>
            <w:shd w:val="clear" w:color="auto" w:fill="auto"/>
            <w:vAlign w:val="center"/>
          </w:tcPr>
          <w:p w14:paraId="1DECCE95" w14:textId="77777777" w:rsidR="003C4A68" w:rsidRDefault="003C4A68" w:rsidP="003C4A68">
            <w:r>
              <w:t>ROC area:</w:t>
            </w:r>
          </w:p>
        </w:tc>
        <w:tc>
          <w:tcPr>
            <w:tcW w:w="1971" w:type="dxa"/>
            <w:vAlign w:val="center"/>
          </w:tcPr>
          <w:p w14:paraId="20BDE939"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lastRenderedPageBreak/>
              <w:t>subregions</w:t>
            </w:r>
            <w:proofErr w:type="spellEnd"/>
          </w:p>
        </w:tc>
        <w:tc>
          <w:tcPr>
            <w:tcW w:w="1971" w:type="dxa"/>
            <w:vAlign w:val="center"/>
          </w:tcPr>
          <w:p w14:paraId="30A8E0F0" w14:textId="77777777" w:rsidR="003C4A68" w:rsidRPr="00D90D10" w:rsidRDefault="003C4A68" w:rsidP="003C4A68">
            <w:pPr>
              <w:jc w:val="center"/>
              <w:rPr>
                <w:lang w:val="en-US"/>
              </w:rPr>
            </w:pPr>
            <w:r w:rsidRPr="00D90D10">
              <w:rPr>
                <w:i/>
                <w:lang w:val="en-GB"/>
              </w:rPr>
              <w:lastRenderedPageBreak/>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lastRenderedPageBreak/>
              <w:t>subregions</w:t>
            </w:r>
            <w:proofErr w:type="spellEnd"/>
          </w:p>
        </w:tc>
        <w:tc>
          <w:tcPr>
            <w:tcW w:w="1971" w:type="dxa"/>
            <w:vAlign w:val="center"/>
          </w:tcPr>
          <w:p w14:paraId="59CA17A0" w14:textId="77777777" w:rsidR="003C4A68" w:rsidRPr="00D90D10" w:rsidRDefault="003C4A68" w:rsidP="003C4A68">
            <w:pPr>
              <w:jc w:val="center"/>
              <w:rPr>
                <w:i/>
                <w:lang w:val="en-US"/>
              </w:rPr>
            </w:pPr>
            <w:r w:rsidRPr="00D90D10">
              <w:rPr>
                <w:i/>
              </w:rPr>
              <w:lastRenderedPageBreak/>
              <w:t>N</w:t>
            </w:r>
          </w:p>
        </w:tc>
        <w:tc>
          <w:tcPr>
            <w:tcW w:w="1971" w:type="dxa"/>
            <w:vAlign w:val="center"/>
          </w:tcPr>
          <w:p w14:paraId="38F9370F" w14:textId="77777777" w:rsidR="003C4A68" w:rsidRPr="00D90D10" w:rsidRDefault="003C4A68" w:rsidP="003C4A68">
            <w:pPr>
              <w:jc w:val="center"/>
              <w:rPr>
                <w:i/>
              </w:rPr>
            </w:pPr>
            <w:r w:rsidRPr="00D90D10">
              <w:rPr>
                <w:i/>
              </w:rPr>
              <w:t>N</w:t>
            </w:r>
          </w:p>
        </w:tc>
      </w:tr>
      <w:tr w:rsidR="003C4A68" w14:paraId="20FC345D" w14:textId="77777777" w:rsidTr="001007F0">
        <w:tc>
          <w:tcPr>
            <w:tcW w:w="1971" w:type="dxa"/>
            <w:shd w:val="clear" w:color="auto" w:fill="auto"/>
            <w:vAlign w:val="center"/>
          </w:tcPr>
          <w:p w14:paraId="6C2473FF" w14:textId="77777777" w:rsidR="003C4A68" w:rsidRDefault="003C4A68" w:rsidP="003C4A68">
            <w:proofErr w:type="spellStart"/>
            <w:r>
              <w:lastRenderedPageBreak/>
              <w:t>Reliability</w:t>
            </w:r>
            <w:proofErr w:type="spellEnd"/>
            <w:r>
              <w:t xml:space="preserve"> </w:t>
            </w:r>
            <w:proofErr w:type="spellStart"/>
            <w:r>
              <w:t>curve</w:t>
            </w:r>
            <w:proofErr w:type="spellEnd"/>
            <w:r>
              <w:t>:</w:t>
            </w:r>
          </w:p>
        </w:tc>
        <w:tc>
          <w:tcPr>
            <w:tcW w:w="1971" w:type="dxa"/>
            <w:vAlign w:val="center"/>
          </w:tcPr>
          <w:p w14:paraId="4D82F453"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33E3E334"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48900D91" w14:textId="77777777" w:rsidR="003C4A68" w:rsidRPr="00D90D10" w:rsidRDefault="003C4A68" w:rsidP="003C4A68">
            <w:pPr>
              <w:jc w:val="center"/>
              <w:rPr>
                <w:i/>
                <w:lang w:val="en-US"/>
              </w:rPr>
            </w:pPr>
            <w:r w:rsidRPr="00D90D10">
              <w:rPr>
                <w:i/>
              </w:rPr>
              <w:t>N</w:t>
            </w:r>
          </w:p>
        </w:tc>
        <w:tc>
          <w:tcPr>
            <w:tcW w:w="1971" w:type="dxa"/>
            <w:vAlign w:val="center"/>
          </w:tcPr>
          <w:p w14:paraId="59655F0C" w14:textId="77777777" w:rsidR="003C4A68" w:rsidRPr="00D90D10" w:rsidRDefault="003C4A68" w:rsidP="003C4A68">
            <w:pPr>
              <w:jc w:val="center"/>
              <w:rPr>
                <w:i/>
              </w:rPr>
            </w:pPr>
            <w:r w:rsidRPr="00D90D10">
              <w:rPr>
                <w:i/>
              </w:rPr>
              <w:t>N</w:t>
            </w:r>
          </w:p>
        </w:tc>
      </w:tr>
      <w:tr w:rsidR="003C4A68" w14:paraId="747F553D" w14:textId="77777777" w:rsidTr="001007F0">
        <w:tc>
          <w:tcPr>
            <w:tcW w:w="1971" w:type="dxa"/>
            <w:shd w:val="clear" w:color="auto" w:fill="auto"/>
            <w:vAlign w:val="center"/>
          </w:tcPr>
          <w:p w14:paraId="0671A7EF" w14:textId="77777777" w:rsidR="003C4A68" w:rsidRDefault="003C4A68" w:rsidP="003C4A68">
            <w:proofErr w:type="spellStart"/>
            <w:r>
              <w:t>Frequency</w:t>
            </w:r>
            <w:proofErr w:type="spellEnd"/>
            <w:r>
              <w:t xml:space="preserve"> </w:t>
            </w:r>
            <w:proofErr w:type="spellStart"/>
            <w:r>
              <w:t>histograms</w:t>
            </w:r>
            <w:proofErr w:type="spellEnd"/>
            <w:r>
              <w:t xml:space="preserve"> (</w:t>
            </w:r>
            <w:proofErr w:type="spellStart"/>
            <w:r>
              <w:t>sharpness</w:t>
            </w:r>
            <w:proofErr w:type="spellEnd"/>
            <w:r>
              <w:t>)</w:t>
            </w:r>
          </w:p>
        </w:tc>
        <w:tc>
          <w:tcPr>
            <w:tcW w:w="1971" w:type="dxa"/>
            <w:vAlign w:val="center"/>
          </w:tcPr>
          <w:p w14:paraId="51442EA0"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3FBD8FCF" w14:textId="77777777" w:rsidR="003C4A68" w:rsidRPr="00D90D10" w:rsidRDefault="003C4A68" w:rsidP="003C4A68">
            <w:pPr>
              <w:jc w:val="center"/>
              <w:rPr>
                <w:lang w:val="en-US"/>
              </w:rPr>
            </w:pPr>
            <w:r w:rsidRPr="00D90D10">
              <w:rPr>
                <w:i/>
                <w:lang w:val="en-GB"/>
              </w:rPr>
              <w:t xml:space="preserve">Northern </w:t>
            </w:r>
            <w:proofErr w:type="spellStart"/>
            <w:r w:rsidRPr="00D90D10">
              <w:rPr>
                <w:i/>
                <w:lang w:val="en-GB"/>
              </w:rPr>
              <w:t>extratropics</w:t>
            </w:r>
            <w:proofErr w:type="spellEnd"/>
            <w:r w:rsidRPr="00D90D10">
              <w:rPr>
                <w:i/>
                <w:lang w:val="en-GB"/>
              </w:rPr>
              <w:t xml:space="preserve">, southern </w:t>
            </w:r>
            <w:proofErr w:type="spellStart"/>
            <w:r w:rsidRPr="00D90D10">
              <w:rPr>
                <w:i/>
                <w:lang w:val="en-GB"/>
              </w:rPr>
              <w:t>extratropics</w:t>
            </w:r>
            <w:proofErr w:type="spellEnd"/>
            <w:r w:rsidRPr="00D90D10">
              <w:rPr>
                <w:i/>
                <w:lang w:val="en-GB"/>
              </w:rPr>
              <w:t xml:space="preserve">, tropics, other </w:t>
            </w:r>
            <w:proofErr w:type="spellStart"/>
            <w:r w:rsidRPr="00D90D10">
              <w:rPr>
                <w:i/>
                <w:lang w:val="en-GB"/>
              </w:rPr>
              <w:t>subregions</w:t>
            </w:r>
            <w:proofErr w:type="spellEnd"/>
          </w:p>
        </w:tc>
        <w:tc>
          <w:tcPr>
            <w:tcW w:w="1971" w:type="dxa"/>
            <w:vAlign w:val="center"/>
          </w:tcPr>
          <w:p w14:paraId="6642D050" w14:textId="77777777" w:rsidR="003C4A68" w:rsidRPr="00D90D10" w:rsidRDefault="003C4A68" w:rsidP="003C4A68">
            <w:pPr>
              <w:jc w:val="center"/>
              <w:rPr>
                <w:i/>
                <w:lang w:val="en-US"/>
              </w:rPr>
            </w:pPr>
            <w:r w:rsidRPr="00D90D10">
              <w:rPr>
                <w:i/>
              </w:rPr>
              <w:t>N</w:t>
            </w:r>
          </w:p>
        </w:tc>
        <w:tc>
          <w:tcPr>
            <w:tcW w:w="1971" w:type="dxa"/>
            <w:vAlign w:val="center"/>
          </w:tcPr>
          <w:p w14:paraId="2C3E7E48" w14:textId="77777777" w:rsidR="003C4A68" w:rsidRPr="00D90D10" w:rsidRDefault="003C4A68" w:rsidP="003C4A68">
            <w:pPr>
              <w:jc w:val="center"/>
              <w:rPr>
                <w:i/>
              </w:rPr>
            </w:pPr>
            <w:r w:rsidRPr="00D90D10">
              <w:rPr>
                <w:i/>
              </w:rPr>
              <w:t>N</w:t>
            </w:r>
          </w:p>
        </w:tc>
      </w:tr>
      <w:tr w:rsidR="003C4A68" w14:paraId="310B7EBC" w14:textId="77777777" w:rsidTr="001007F0">
        <w:tc>
          <w:tcPr>
            <w:tcW w:w="1971" w:type="dxa"/>
            <w:shd w:val="clear" w:color="auto" w:fill="auto"/>
            <w:vAlign w:val="center"/>
          </w:tcPr>
          <w:p w14:paraId="53F5F122" w14:textId="77777777" w:rsidR="003C4A68" w:rsidRDefault="003C4A68" w:rsidP="003C4A68">
            <w:r>
              <w:t>MSSS</w:t>
            </w:r>
          </w:p>
        </w:tc>
        <w:tc>
          <w:tcPr>
            <w:tcW w:w="1971" w:type="dxa"/>
            <w:vAlign w:val="center"/>
          </w:tcPr>
          <w:p w14:paraId="1D307574" w14:textId="77777777" w:rsidR="003C4A68" w:rsidRPr="00D90D10" w:rsidRDefault="003C4A68" w:rsidP="003C4A68">
            <w:pPr>
              <w:jc w:val="center"/>
              <w:rPr>
                <w:lang w:val="en-US"/>
              </w:rPr>
            </w:pPr>
            <w:r w:rsidRPr="00D90D10">
              <w:rPr>
                <w:i/>
                <w:lang w:val="en-GB"/>
              </w:rPr>
              <w:t>Global*</w:t>
            </w:r>
          </w:p>
        </w:tc>
        <w:tc>
          <w:tcPr>
            <w:tcW w:w="1971" w:type="dxa"/>
            <w:vAlign w:val="center"/>
          </w:tcPr>
          <w:p w14:paraId="67169D48" w14:textId="77777777" w:rsidR="003C4A68" w:rsidRPr="00D90D10" w:rsidRDefault="003C4A68" w:rsidP="003C4A68">
            <w:pPr>
              <w:jc w:val="center"/>
              <w:rPr>
                <w:lang w:val="en-US"/>
              </w:rPr>
            </w:pPr>
            <w:r w:rsidRPr="00D90D10">
              <w:rPr>
                <w:i/>
                <w:lang w:val="en-GB"/>
              </w:rPr>
              <w:t>Global*</w:t>
            </w:r>
          </w:p>
        </w:tc>
        <w:tc>
          <w:tcPr>
            <w:tcW w:w="1971" w:type="dxa"/>
            <w:vAlign w:val="center"/>
          </w:tcPr>
          <w:p w14:paraId="699CD18F" w14:textId="77777777" w:rsidR="003C4A68" w:rsidRPr="00D90D10" w:rsidRDefault="003C4A68" w:rsidP="003C4A68">
            <w:pPr>
              <w:jc w:val="center"/>
              <w:rPr>
                <w:i/>
                <w:lang w:val="en-US"/>
              </w:rPr>
            </w:pPr>
            <w:r w:rsidRPr="00D90D10">
              <w:rPr>
                <w:i/>
              </w:rPr>
              <w:t>N</w:t>
            </w:r>
          </w:p>
        </w:tc>
        <w:tc>
          <w:tcPr>
            <w:tcW w:w="1971" w:type="dxa"/>
            <w:vAlign w:val="center"/>
          </w:tcPr>
          <w:p w14:paraId="40204533" w14:textId="77777777" w:rsidR="003C4A68" w:rsidRPr="00D90D10" w:rsidRDefault="003C4A68" w:rsidP="003C4A68">
            <w:pPr>
              <w:jc w:val="center"/>
              <w:rPr>
                <w:i/>
              </w:rPr>
            </w:pPr>
            <w:r w:rsidRPr="00D90D10">
              <w:rPr>
                <w:i/>
              </w:rPr>
              <w:t>N</w:t>
            </w:r>
          </w:p>
        </w:tc>
      </w:tr>
      <w:tr w:rsidR="003C4A68" w:rsidRPr="006367DC" w14:paraId="7CB86885" w14:textId="77777777" w:rsidTr="001007F0">
        <w:tc>
          <w:tcPr>
            <w:tcW w:w="1971" w:type="dxa"/>
            <w:shd w:val="clear" w:color="auto" w:fill="auto"/>
            <w:vAlign w:val="center"/>
          </w:tcPr>
          <w:p w14:paraId="2109B788" w14:textId="77777777" w:rsidR="003C4A68" w:rsidRDefault="003C4A68" w:rsidP="003C4A68">
            <w:r>
              <w:t>Location of scores:</w:t>
            </w:r>
          </w:p>
        </w:tc>
        <w:tc>
          <w:tcPr>
            <w:tcW w:w="7884" w:type="dxa"/>
            <w:gridSpan w:val="4"/>
            <w:shd w:val="clear" w:color="auto" w:fill="auto"/>
            <w:vAlign w:val="center"/>
          </w:tcPr>
          <w:p w14:paraId="0CD2AFF4" w14:textId="77777777" w:rsidR="003C4A68" w:rsidRPr="002B31B4" w:rsidRDefault="006367DC" w:rsidP="003C4A68">
            <w:pPr>
              <w:jc w:val="center"/>
              <w:rPr>
                <w:i/>
              </w:rPr>
            </w:pPr>
            <w:hyperlink r:id="rId17" w:history="1">
              <w:r w:rsidR="003C4A68" w:rsidRPr="00D90D10">
                <w:rPr>
                  <w:rStyle w:val="Hyperlink"/>
                  <w:i/>
                </w:rPr>
                <w:t>http://www.metoffice.gov.uk/research/climate/seasonal-to-decadal/gpc-outlooks</w:t>
              </w:r>
            </w:hyperlink>
          </w:p>
          <w:p w14:paraId="09B4EB6D" w14:textId="77777777" w:rsidR="003C4A68" w:rsidRPr="002B31B4" w:rsidRDefault="003C4A68" w:rsidP="003C4A68">
            <w:pPr>
              <w:jc w:val="center"/>
              <w:rPr>
                <w:lang w:val="en-US"/>
              </w:rPr>
            </w:pPr>
            <w:r w:rsidRPr="00D90D10">
              <w:rPr>
                <w:i/>
                <w:lang w:val="en-US"/>
              </w:rPr>
              <w:t xml:space="preserve">* only available at LC-SVSLRF </w:t>
            </w:r>
            <w:hyperlink r:id="rId18" w:history="1">
              <w:r w:rsidRPr="00D90D10">
                <w:rPr>
                  <w:rStyle w:val="Hyperlink"/>
                  <w:i/>
                  <w:lang w:val="en-US"/>
                </w:rPr>
                <w:t>http://www.bom.gov.au/wmo/lrfvs/</w:t>
              </w:r>
            </w:hyperlink>
          </w:p>
        </w:tc>
      </w:tr>
      <w:tr w:rsidR="003C4A68" w14:paraId="4A329B53" w14:textId="77777777" w:rsidTr="001007F0">
        <w:tc>
          <w:tcPr>
            <w:tcW w:w="1971" w:type="dxa"/>
            <w:shd w:val="clear" w:color="auto" w:fill="auto"/>
            <w:vAlign w:val="center"/>
          </w:tcPr>
          <w:p w14:paraId="498EB1CC" w14:textId="77777777" w:rsidR="003C4A68" w:rsidRPr="001F07AB" w:rsidRDefault="003C4A68" w:rsidP="003C4A68">
            <w:pPr>
              <w:rPr>
                <w:lang w:val="en-US"/>
              </w:rPr>
            </w:pPr>
            <w:r w:rsidRPr="001F07AB">
              <w:rPr>
                <w:lang w:val="en-US"/>
              </w:rPr>
              <w:t>Scores’ availability on the LC-SVSLRF web site</w:t>
            </w:r>
          </w:p>
        </w:tc>
        <w:tc>
          <w:tcPr>
            <w:tcW w:w="1971" w:type="dxa"/>
            <w:vAlign w:val="center"/>
          </w:tcPr>
          <w:p w14:paraId="0247C624" w14:textId="77777777" w:rsidR="003C4A68" w:rsidRDefault="003C4A68" w:rsidP="003C4A68">
            <w:pPr>
              <w:jc w:val="center"/>
            </w:pPr>
            <w:proofErr w:type="spellStart"/>
            <w:r w:rsidRPr="00D90D10">
              <w:rPr>
                <w:i/>
              </w:rPr>
              <w:t>Subset</w:t>
            </w:r>
            <w:proofErr w:type="spellEnd"/>
          </w:p>
        </w:tc>
        <w:tc>
          <w:tcPr>
            <w:tcW w:w="1971" w:type="dxa"/>
            <w:vAlign w:val="center"/>
          </w:tcPr>
          <w:p w14:paraId="1688FD31" w14:textId="77777777" w:rsidR="003C4A68" w:rsidRDefault="003C4A68" w:rsidP="003C4A68">
            <w:pPr>
              <w:jc w:val="center"/>
            </w:pPr>
            <w:proofErr w:type="spellStart"/>
            <w:r w:rsidRPr="00D90D10">
              <w:rPr>
                <w:i/>
              </w:rPr>
              <w:t>Subset</w:t>
            </w:r>
            <w:proofErr w:type="spellEnd"/>
          </w:p>
        </w:tc>
        <w:tc>
          <w:tcPr>
            <w:tcW w:w="1971" w:type="dxa"/>
            <w:vAlign w:val="center"/>
          </w:tcPr>
          <w:p w14:paraId="2065F76E" w14:textId="77777777" w:rsidR="003C4A68" w:rsidRDefault="003C4A68" w:rsidP="003C4A68">
            <w:pPr>
              <w:jc w:val="center"/>
            </w:pPr>
            <w:r w:rsidRPr="00D90D10">
              <w:rPr>
                <w:i/>
              </w:rPr>
              <w:t>-</w:t>
            </w:r>
          </w:p>
        </w:tc>
        <w:tc>
          <w:tcPr>
            <w:tcW w:w="1971" w:type="dxa"/>
            <w:vAlign w:val="center"/>
          </w:tcPr>
          <w:p w14:paraId="02D1EB0A" w14:textId="77777777" w:rsidR="003C4A68" w:rsidRDefault="003C4A68" w:rsidP="003C4A68">
            <w:pPr>
              <w:jc w:val="center"/>
            </w:pPr>
            <w:r w:rsidRPr="00D90D10">
              <w:rPr>
                <w:i/>
              </w:rPr>
              <w:t>-</w:t>
            </w:r>
          </w:p>
        </w:tc>
      </w:tr>
      <w:tr w:rsidR="003C4A68" w:rsidRPr="001F07AB" w14:paraId="2C6D7A31" w14:textId="77777777" w:rsidTr="001007F0">
        <w:tc>
          <w:tcPr>
            <w:tcW w:w="1971" w:type="dxa"/>
            <w:shd w:val="clear" w:color="auto" w:fill="auto"/>
            <w:vAlign w:val="center"/>
          </w:tcPr>
          <w:p w14:paraId="127D9DF1" w14:textId="77777777" w:rsidR="003C4A68" w:rsidRPr="001F07AB" w:rsidRDefault="003C4A68" w:rsidP="003C4A68">
            <w:pPr>
              <w:rPr>
                <w:lang w:val="en-US"/>
              </w:rPr>
            </w:pPr>
            <w:r w:rsidRPr="001F07AB">
              <w:rPr>
                <w:i/>
                <w:lang w:val="en-US"/>
              </w:rPr>
              <w:t>[For non-compliant elements, please indicate intended date of compliance]</w:t>
            </w:r>
          </w:p>
        </w:tc>
        <w:tc>
          <w:tcPr>
            <w:tcW w:w="1971" w:type="dxa"/>
            <w:vAlign w:val="center"/>
          </w:tcPr>
          <w:p w14:paraId="7820E869" w14:textId="77777777" w:rsidR="003C4A68" w:rsidRPr="00D90D10" w:rsidRDefault="003C4A68" w:rsidP="003C4A68">
            <w:pPr>
              <w:jc w:val="center"/>
              <w:rPr>
                <w:lang w:val="en-US"/>
              </w:rPr>
            </w:pPr>
            <w:r w:rsidRPr="00D90D10">
              <w:rPr>
                <w:lang w:val="en-US"/>
              </w:rPr>
              <w:t xml:space="preserve">Note: Only 4 conventional seasons required for level 1 temperature and </w:t>
            </w:r>
            <w:proofErr w:type="spellStart"/>
            <w:r w:rsidRPr="00D90D10">
              <w:rPr>
                <w:lang w:val="en-US"/>
              </w:rPr>
              <w:t>precip</w:t>
            </w:r>
            <w:proofErr w:type="spellEnd"/>
            <w:r w:rsidRPr="00D90D10">
              <w:rPr>
                <w:lang w:val="en-US"/>
              </w:rPr>
              <w:t>.</w:t>
            </w:r>
          </w:p>
        </w:tc>
        <w:tc>
          <w:tcPr>
            <w:tcW w:w="1971" w:type="dxa"/>
            <w:vAlign w:val="center"/>
          </w:tcPr>
          <w:p w14:paraId="2180F763" w14:textId="77777777" w:rsidR="003C4A68" w:rsidRPr="00D90D10" w:rsidRDefault="003C4A68" w:rsidP="003C4A68">
            <w:pPr>
              <w:jc w:val="center"/>
              <w:rPr>
                <w:lang w:val="en-US"/>
              </w:rPr>
            </w:pPr>
          </w:p>
        </w:tc>
        <w:tc>
          <w:tcPr>
            <w:tcW w:w="1971" w:type="dxa"/>
            <w:vAlign w:val="center"/>
          </w:tcPr>
          <w:p w14:paraId="6B9F5286" w14:textId="69CDBC50" w:rsidR="003C4A68" w:rsidRPr="00D90D10" w:rsidRDefault="003C4A68" w:rsidP="003C4A68">
            <w:pPr>
              <w:rPr>
                <w:lang w:val="en-US"/>
              </w:rPr>
            </w:pPr>
            <w:r>
              <w:rPr>
                <w:lang w:val="en-US"/>
              </w:rPr>
              <w:t>December 201</w:t>
            </w:r>
            <w:r w:rsidR="002613FE">
              <w:rPr>
                <w:lang w:val="en-US"/>
              </w:rPr>
              <w:t>9</w:t>
            </w:r>
          </w:p>
        </w:tc>
        <w:tc>
          <w:tcPr>
            <w:tcW w:w="1971" w:type="dxa"/>
            <w:vAlign w:val="center"/>
          </w:tcPr>
          <w:p w14:paraId="5A2DDC68" w14:textId="10C62A90" w:rsidR="003C4A68" w:rsidRPr="00D90D10" w:rsidRDefault="003C4A68" w:rsidP="003C4A68">
            <w:pPr>
              <w:jc w:val="center"/>
              <w:rPr>
                <w:lang w:val="en-US"/>
              </w:rPr>
            </w:pPr>
            <w:r>
              <w:rPr>
                <w:lang w:val="en-US"/>
              </w:rPr>
              <w:t>December 201</w:t>
            </w:r>
            <w:r w:rsidR="002613FE">
              <w:rPr>
                <w:lang w:val="en-US"/>
              </w:rPr>
              <w:t>9</w:t>
            </w:r>
          </w:p>
        </w:tc>
      </w:tr>
    </w:tbl>
    <w:p w14:paraId="7EF57FAA" w14:textId="77777777" w:rsidR="00B13845" w:rsidRPr="00B13845" w:rsidRDefault="00B13845" w:rsidP="00B13845">
      <w:pPr>
        <w:jc w:val="both"/>
        <w:rPr>
          <w:lang w:val="en-US"/>
        </w:rPr>
      </w:pPr>
    </w:p>
    <w:p w14:paraId="2B2FA31B" w14:textId="77777777" w:rsidR="00B13845" w:rsidRPr="00B13845" w:rsidRDefault="00B13845" w:rsidP="00B13845">
      <w:pPr>
        <w:jc w:val="both"/>
        <w:rPr>
          <w:lang w:val="en-US"/>
        </w:rPr>
      </w:pPr>
    </w:p>
    <w:p w14:paraId="5D911082" w14:textId="77777777" w:rsidR="00B13845" w:rsidRPr="00B13845" w:rsidRDefault="00B13845" w:rsidP="00B13845">
      <w:pPr>
        <w:jc w:val="both"/>
        <w:rPr>
          <w:lang w:val="en-US"/>
        </w:rPr>
      </w:pPr>
    </w:p>
    <w:p w14:paraId="213332EE" w14:textId="77777777" w:rsidR="00B13845" w:rsidRPr="00B13845" w:rsidRDefault="00B13845" w:rsidP="00B13845">
      <w:pPr>
        <w:jc w:val="both"/>
        <w:rPr>
          <w:lang w:val="en-US"/>
        </w:rPr>
      </w:pPr>
    </w:p>
    <w:p w14:paraId="443596EC" w14:textId="77777777" w:rsidR="00B13845" w:rsidRPr="00B13845" w:rsidRDefault="00B13845" w:rsidP="00B13845">
      <w:pPr>
        <w:jc w:val="both"/>
        <w:rPr>
          <w:lang w:val="en-US"/>
        </w:rPr>
      </w:pPr>
    </w:p>
    <w:p w14:paraId="56EBB9FE" w14:textId="77777777" w:rsidR="00B13845" w:rsidRDefault="00B13845" w:rsidP="00B13845">
      <w:pPr>
        <w:jc w:val="both"/>
      </w:pPr>
      <w:r>
        <w:t>3.2</w:t>
      </w:r>
      <w:r>
        <w:tab/>
        <w:t xml:space="preserve">SVSLRF </w:t>
      </w:r>
      <w:proofErr w:type="spellStart"/>
      <w:r>
        <w:t>Level</w:t>
      </w:r>
      <w:proofErr w:type="spellEnd"/>
      <w:r>
        <w:t xml:space="preserve"> 2 scores</w:t>
      </w:r>
    </w:p>
    <w:p w14:paraId="2C4B3272" w14:textId="77777777" w:rsidR="00B13845" w:rsidRDefault="00B13845" w:rsidP="00B138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B13845" w14:paraId="038C3C76" w14:textId="77777777" w:rsidTr="001F07AB">
        <w:tc>
          <w:tcPr>
            <w:tcW w:w="2463" w:type="dxa"/>
            <w:shd w:val="clear" w:color="auto" w:fill="auto"/>
            <w:vAlign w:val="center"/>
          </w:tcPr>
          <w:p w14:paraId="5BDB0BD7" w14:textId="77777777" w:rsidR="00B13845" w:rsidRDefault="00B13845" w:rsidP="00656CFD">
            <w:r>
              <w:t>Variable:</w:t>
            </w:r>
          </w:p>
        </w:tc>
        <w:tc>
          <w:tcPr>
            <w:tcW w:w="2464" w:type="dxa"/>
            <w:shd w:val="clear" w:color="auto" w:fill="auto"/>
            <w:vAlign w:val="center"/>
          </w:tcPr>
          <w:p w14:paraId="7D621B6E" w14:textId="77777777" w:rsidR="00B13845" w:rsidRDefault="00B13845" w:rsidP="001F07AB">
            <w:pPr>
              <w:jc w:val="center"/>
            </w:pPr>
            <w:r>
              <w:t xml:space="preserve">2m </w:t>
            </w:r>
            <w:proofErr w:type="spellStart"/>
            <w:r>
              <w:t>temperature</w:t>
            </w:r>
            <w:proofErr w:type="spellEnd"/>
          </w:p>
        </w:tc>
        <w:tc>
          <w:tcPr>
            <w:tcW w:w="2464" w:type="dxa"/>
            <w:shd w:val="clear" w:color="auto" w:fill="auto"/>
            <w:vAlign w:val="center"/>
          </w:tcPr>
          <w:p w14:paraId="37C3537B" w14:textId="77777777" w:rsidR="00B13845" w:rsidRDefault="00B13845" w:rsidP="001F07AB">
            <w:pPr>
              <w:jc w:val="center"/>
            </w:pPr>
            <w:proofErr w:type="spellStart"/>
            <w:r>
              <w:t>Precipitation</w:t>
            </w:r>
            <w:proofErr w:type="spellEnd"/>
          </w:p>
        </w:tc>
        <w:tc>
          <w:tcPr>
            <w:tcW w:w="2464" w:type="dxa"/>
            <w:shd w:val="clear" w:color="auto" w:fill="auto"/>
            <w:vAlign w:val="center"/>
          </w:tcPr>
          <w:p w14:paraId="5B666DB9" w14:textId="77777777" w:rsidR="00B13845" w:rsidRDefault="00B13845" w:rsidP="001F07AB">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r>
      <w:tr w:rsidR="000046CA" w:rsidRPr="006367DC" w14:paraId="021CC8A1" w14:textId="77777777" w:rsidTr="001007F0">
        <w:tc>
          <w:tcPr>
            <w:tcW w:w="2463" w:type="dxa"/>
            <w:shd w:val="clear" w:color="auto" w:fill="auto"/>
            <w:vAlign w:val="center"/>
          </w:tcPr>
          <w:p w14:paraId="35F81DB6" w14:textId="77777777" w:rsidR="000046CA" w:rsidRDefault="000046CA" w:rsidP="000046CA">
            <w:proofErr w:type="spellStart"/>
            <w:r>
              <w:t>Seasons</w:t>
            </w:r>
            <w:proofErr w:type="spellEnd"/>
            <w:r>
              <w:t>:</w:t>
            </w:r>
          </w:p>
        </w:tc>
        <w:tc>
          <w:tcPr>
            <w:tcW w:w="2464" w:type="dxa"/>
            <w:vAlign w:val="center"/>
          </w:tcPr>
          <w:p w14:paraId="0A98945B" w14:textId="77777777" w:rsidR="000046CA" w:rsidRPr="00D90D10" w:rsidRDefault="000046CA" w:rsidP="000046CA">
            <w:pPr>
              <w:jc w:val="center"/>
              <w:rPr>
                <w:lang w:val="en-GB"/>
              </w:rPr>
            </w:pPr>
            <w:r w:rsidRPr="00D90D10">
              <w:rPr>
                <w:i/>
                <w:lang w:val="en-GB"/>
              </w:rPr>
              <w:t>As for products (nominally all 12 seasons)</w:t>
            </w:r>
          </w:p>
        </w:tc>
        <w:tc>
          <w:tcPr>
            <w:tcW w:w="2464" w:type="dxa"/>
            <w:vAlign w:val="center"/>
          </w:tcPr>
          <w:p w14:paraId="1A80143E" w14:textId="77777777" w:rsidR="000046CA" w:rsidRPr="00D90D10" w:rsidRDefault="000046CA" w:rsidP="000046CA">
            <w:pPr>
              <w:jc w:val="center"/>
              <w:rPr>
                <w:lang w:val="en-GB"/>
              </w:rPr>
            </w:pPr>
            <w:r w:rsidRPr="00D90D10">
              <w:rPr>
                <w:i/>
                <w:lang w:val="en-GB"/>
              </w:rPr>
              <w:t>As for products (nominally all 12 seasons)</w:t>
            </w:r>
          </w:p>
        </w:tc>
        <w:tc>
          <w:tcPr>
            <w:tcW w:w="2464" w:type="dxa"/>
            <w:vAlign w:val="center"/>
          </w:tcPr>
          <w:p w14:paraId="3E95564E" w14:textId="77777777" w:rsidR="000046CA" w:rsidRPr="00D90D10" w:rsidRDefault="000046CA" w:rsidP="000046CA">
            <w:pPr>
              <w:jc w:val="center"/>
              <w:rPr>
                <w:lang w:val="en-GB"/>
              </w:rPr>
            </w:pPr>
            <w:r w:rsidRPr="00D90D10">
              <w:rPr>
                <w:i/>
                <w:lang w:val="en-GB"/>
              </w:rPr>
              <w:t>As for products (nominally all 12 seasons)</w:t>
            </w:r>
          </w:p>
        </w:tc>
      </w:tr>
      <w:tr w:rsidR="000046CA" w:rsidRPr="001F07AB" w14:paraId="616EE089" w14:textId="77777777" w:rsidTr="001007F0">
        <w:tc>
          <w:tcPr>
            <w:tcW w:w="2463" w:type="dxa"/>
            <w:shd w:val="clear" w:color="auto" w:fill="auto"/>
            <w:vAlign w:val="center"/>
          </w:tcPr>
          <w:p w14:paraId="2549773F" w14:textId="77777777" w:rsidR="000046CA" w:rsidRDefault="000046CA" w:rsidP="000046CA">
            <w:r>
              <w:t>Leads:</w:t>
            </w:r>
          </w:p>
        </w:tc>
        <w:tc>
          <w:tcPr>
            <w:tcW w:w="2464" w:type="dxa"/>
            <w:vAlign w:val="center"/>
          </w:tcPr>
          <w:p w14:paraId="0E706C8E" w14:textId="77777777" w:rsidR="000046CA" w:rsidRPr="00D90D10" w:rsidRDefault="000046CA" w:rsidP="000046CA">
            <w:pPr>
              <w:jc w:val="center"/>
              <w:rPr>
                <w:lang w:val="en-US"/>
              </w:rPr>
            </w:pPr>
            <w:r w:rsidRPr="00D90D10">
              <w:rPr>
                <w:i/>
                <w:lang w:val="en-GB"/>
              </w:rPr>
              <w:t>All leads for which forecasts are issued</w:t>
            </w:r>
          </w:p>
        </w:tc>
        <w:tc>
          <w:tcPr>
            <w:tcW w:w="2464" w:type="dxa"/>
            <w:vAlign w:val="center"/>
          </w:tcPr>
          <w:p w14:paraId="0A0144B4" w14:textId="77777777" w:rsidR="000046CA" w:rsidRPr="00D90D10" w:rsidRDefault="000046CA" w:rsidP="000046CA">
            <w:pPr>
              <w:jc w:val="center"/>
              <w:rPr>
                <w:lang w:val="en-US"/>
              </w:rPr>
            </w:pPr>
            <w:r w:rsidRPr="00D90D10">
              <w:rPr>
                <w:i/>
                <w:lang w:val="en-GB"/>
              </w:rPr>
              <w:t>All leads for which forecasts are issued</w:t>
            </w:r>
          </w:p>
        </w:tc>
        <w:tc>
          <w:tcPr>
            <w:tcW w:w="2464" w:type="dxa"/>
            <w:vAlign w:val="center"/>
          </w:tcPr>
          <w:p w14:paraId="6DB55AF2" w14:textId="77777777" w:rsidR="000046CA" w:rsidRPr="00D90D10" w:rsidRDefault="000046CA" w:rsidP="000046CA">
            <w:pPr>
              <w:jc w:val="center"/>
              <w:rPr>
                <w:lang w:val="en-US"/>
              </w:rPr>
            </w:pPr>
            <w:r w:rsidRPr="00D90D10">
              <w:rPr>
                <w:i/>
              </w:rPr>
              <w:t>N</w:t>
            </w:r>
          </w:p>
        </w:tc>
      </w:tr>
      <w:tr w:rsidR="000046CA" w14:paraId="645A3CDF" w14:textId="77777777" w:rsidTr="001007F0">
        <w:tc>
          <w:tcPr>
            <w:tcW w:w="2463" w:type="dxa"/>
            <w:shd w:val="clear" w:color="auto" w:fill="auto"/>
            <w:vAlign w:val="center"/>
          </w:tcPr>
          <w:p w14:paraId="75A8D3E3" w14:textId="77777777" w:rsidR="000046CA" w:rsidRDefault="000046CA" w:rsidP="000046CA">
            <w:r>
              <w:t xml:space="preserve">ROC </w:t>
            </w:r>
            <w:proofErr w:type="spellStart"/>
            <w:r>
              <w:t>maps</w:t>
            </w:r>
            <w:proofErr w:type="spellEnd"/>
            <w:r>
              <w:t>:</w:t>
            </w:r>
          </w:p>
        </w:tc>
        <w:tc>
          <w:tcPr>
            <w:tcW w:w="2464" w:type="dxa"/>
            <w:vAlign w:val="center"/>
          </w:tcPr>
          <w:p w14:paraId="68D5AFC9" w14:textId="77777777" w:rsidR="000046CA" w:rsidRDefault="000046CA" w:rsidP="000046CA">
            <w:pPr>
              <w:jc w:val="center"/>
            </w:pPr>
            <w:r w:rsidRPr="00D90D10">
              <w:rPr>
                <w:i/>
              </w:rPr>
              <w:t>Y</w:t>
            </w:r>
          </w:p>
        </w:tc>
        <w:tc>
          <w:tcPr>
            <w:tcW w:w="2464" w:type="dxa"/>
            <w:vAlign w:val="center"/>
          </w:tcPr>
          <w:p w14:paraId="68C5A9D4" w14:textId="77777777" w:rsidR="000046CA" w:rsidRDefault="000046CA" w:rsidP="000046CA">
            <w:pPr>
              <w:jc w:val="center"/>
            </w:pPr>
            <w:r w:rsidRPr="00D90D10">
              <w:rPr>
                <w:i/>
              </w:rPr>
              <w:t>Y</w:t>
            </w:r>
          </w:p>
        </w:tc>
        <w:tc>
          <w:tcPr>
            <w:tcW w:w="2464" w:type="dxa"/>
            <w:vAlign w:val="center"/>
          </w:tcPr>
          <w:p w14:paraId="021114DE" w14:textId="77777777" w:rsidR="000046CA" w:rsidRDefault="000046CA" w:rsidP="000046CA">
            <w:pPr>
              <w:jc w:val="center"/>
            </w:pPr>
            <w:r w:rsidRPr="00D90D10">
              <w:rPr>
                <w:i/>
              </w:rPr>
              <w:t>N</w:t>
            </w:r>
          </w:p>
        </w:tc>
      </w:tr>
      <w:tr w:rsidR="000046CA" w14:paraId="2BDCBDE0" w14:textId="77777777" w:rsidTr="001007F0">
        <w:tc>
          <w:tcPr>
            <w:tcW w:w="2463" w:type="dxa"/>
            <w:shd w:val="clear" w:color="auto" w:fill="auto"/>
            <w:vAlign w:val="center"/>
          </w:tcPr>
          <w:p w14:paraId="74DE2801" w14:textId="77777777" w:rsidR="000046CA" w:rsidRDefault="000046CA" w:rsidP="000046CA">
            <w:r>
              <w:t xml:space="preserve">MSSS </w:t>
            </w:r>
            <w:proofErr w:type="spellStart"/>
            <w:r>
              <w:t>maps</w:t>
            </w:r>
            <w:proofErr w:type="spellEnd"/>
            <w:r>
              <w:t>:</w:t>
            </w:r>
          </w:p>
        </w:tc>
        <w:tc>
          <w:tcPr>
            <w:tcW w:w="2464" w:type="dxa"/>
            <w:vAlign w:val="center"/>
          </w:tcPr>
          <w:p w14:paraId="09B19BE9" w14:textId="77777777" w:rsidR="000046CA" w:rsidRDefault="000046CA" w:rsidP="000046CA">
            <w:pPr>
              <w:jc w:val="center"/>
            </w:pPr>
            <w:r w:rsidRPr="00D90D10">
              <w:rPr>
                <w:i/>
              </w:rPr>
              <w:t>Y</w:t>
            </w:r>
          </w:p>
        </w:tc>
        <w:tc>
          <w:tcPr>
            <w:tcW w:w="2464" w:type="dxa"/>
            <w:vAlign w:val="center"/>
          </w:tcPr>
          <w:p w14:paraId="7DB702B2" w14:textId="77777777" w:rsidR="000046CA" w:rsidRDefault="000046CA" w:rsidP="000046CA">
            <w:pPr>
              <w:jc w:val="center"/>
            </w:pPr>
            <w:r w:rsidRPr="00D90D10">
              <w:rPr>
                <w:i/>
              </w:rPr>
              <w:t>Y</w:t>
            </w:r>
          </w:p>
        </w:tc>
        <w:tc>
          <w:tcPr>
            <w:tcW w:w="2464" w:type="dxa"/>
            <w:vAlign w:val="center"/>
          </w:tcPr>
          <w:p w14:paraId="70EF6AAF" w14:textId="77777777" w:rsidR="000046CA" w:rsidRDefault="000046CA" w:rsidP="000046CA">
            <w:pPr>
              <w:jc w:val="center"/>
            </w:pPr>
            <w:r w:rsidRPr="00D90D10">
              <w:rPr>
                <w:i/>
              </w:rPr>
              <w:t>N</w:t>
            </w:r>
          </w:p>
        </w:tc>
      </w:tr>
      <w:tr w:rsidR="000046CA" w14:paraId="2CAE18FC" w14:textId="77777777" w:rsidTr="001007F0">
        <w:tc>
          <w:tcPr>
            <w:tcW w:w="2463" w:type="dxa"/>
            <w:shd w:val="clear" w:color="auto" w:fill="auto"/>
            <w:vAlign w:val="center"/>
          </w:tcPr>
          <w:p w14:paraId="4E6D0F6B" w14:textId="77777777" w:rsidR="000046CA" w:rsidRDefault="000046CA" w:rsidP="000046CA">
            <w:r>
              <w:t xml:space="preserve">MSSS 1 </w:t>
            </w:r>
            <w:proofErr w:type="spellStart"/>
            <w:r>
              <w:t>maps</w:t>
            </w:r>
            <w:proofErr w:type="spellEnd"/>
            <w:r>
              <w:t>:</w:t>
            </w:r>
          </w:p>
        </w:tc>
        <w:tc>
          <w:tcPr>
            <w:tcW w:w="2464" w:type="dxa"/>
            <w:vAlign w:val="center"/>
          </w:tcPr>
          <w:p w14:paraId="48F55BEE" w14:textId="77777777" w:rsidR="000046CA" w:rsidRDefault="000046CA" w:rsidP="000046CA">
            <w:pPr>
              <w:jc w:val="center"/>
            </w:pPr>
            <w:r w:rsidRPr="00D90D10">
              <w:rPr>
                <w:i/>
              </w:rPr>
              <w:t>Y</w:t>
            </w:r>
          </w:p>
        </w:tc>
        <w:tc>
          <w:tcPr>
            <w:tcW w:w="2464" w:type="dxa"/>
            <w:vAlign w:val="center"/>
          </w:tcPr>
          <w:p w14:paraId="07D48E0F" w14:textId="77777777" w:rsidR="000046CA" w:rsidRDefault="000046CA" w:rsidP="000046CA">
            <w:pPr>
              <w:jc w:val="center"/>
            </w:pPr>
            <w:r w:rsidRPr="00D90D10">
              <w:rPr>
                <w:i/>
              </w:rPr>
              <w:t>Y</w:t>
            </w:r>
          </w:p>
        </w:tc>
        <w:tc>
          <w:tcPr>
            <w:tcW w:w="2464" w:type="dxa"/>
            <w:vAlign w:val="center"/>
          </w:tcPr>
          <w:p w14:paraId="005A8BB4" w14:textId="77777777" w:rsidR="000046CA" w:rsidRDefault="000046CA" w:rsidP="000046CA">
            <w:pPr>
              <w:jc w:val="center"/>
            </w:pPr>
            <w:r w:rsidRPr="00D90D10">
              <w:rPr>
                <w:i/>
              </w:rPr>
              <w:t>N</w:t>
            </w:r>
          </w:p>
        </w:tc>
      </w:tr>
      <w:tr w:rsidR="000046CA" w14:paraId="0647E40A" w14:textId="77777777" w:rsidTr="001007F0">
        <w:tc>
          <w:tcPr>
            <w:tcW w:w="2463" w:type="dxa"/>
            <w:shd w:val="clear" w:color="auto" w:fill="auto"/>
            <w:vAlign w:val="center"/>
          </w:tcPr>
          <w:p w14:paraId="2E0155EA" w14:textId="77777777" w:rsidR="000046CA" w:rsidRDefault="000046CA" w:rsidP="000046CA">
            <w:r>
              <w:t xml:space="preserve">MSSS 2 </w:t>
            </w:r>
            <w:proofErr w:type="spellStart"/>
            <w:r>
              <w:t>maps</w:t>
            </w:r>
            <w:proofErr w:type="spellEnd"/>
            <w:r>
              <w:t>:</w:t>
            </w:r>
          </w:p>
        </w:tc>
        <w:tc>
          <w:tcPr>
            <w:tcW w:w="2464" w:type="dxa"/>
            <w:vAlign w:val="center"/>
          </w:tcPr>
          <w:p w14:paraId="0449B61F" w14:textId="77777777" w:rsidR="000046CA" w:rsidRDefault="000046CA" w:rsidP="000046CA">
            <w:pPr>
              <w:jc w:val="center"/>
            </w:pPr>
            <w:r w:rsidRPr="00D90D10">
              <w:rPr>
                <w:i/>
              </w:rPr>
              <w:t>Y</w:t>
            </w:r>
          </w:p>
        </w:tc>
        <w:tc>
          <w:tcPr>
            <w:tcW w:w="2464" w:type="dxa"/>
            <w:vAlign w:val="center"/>
          </w:tcPr>
          <w:p w14:paraId="1ADC7B03" w14:textId="77777777" w:rsidR="000046CA" w:rsidRDefault="000046CA" w:rsidP="000046CA">
            <w:pPr>
              <w:jc w:val="center"/>
            </w:pPr>
            <w:r w:rsidRPr="00D90D10">
              <w:rPr>
                <w:i/>
              </w:rPr>
              <w:t>Y</w:t>
            </w:r>
          </w:p>
        </w:tc>
        <w:tc>
          <w:tcPr>
            <w:tcW w:w="2464" w:type="dxa"/>
            <w:vAlign w:val="center"/>
          </w:tcPr>
          <w:p w14:paraId="1767DAF7" w14:textId="77777777" w:rsidR="000046CA" w:rsidRDefault="000046CA" w:rsidP="000046CA">
            <w:pPr>
              <w:jc w:val="center"/>
            </w:pPr>
            <w:r w:rsidRPr="00D90D10">
              <w:rPr>
                <w:i/>
              </w:rPr>
              <w:t>N</w:t>
            </w:r>
          </w:p>
        </w:tc>
      </w:tr>
      <w:tr w:rsidR="000046CA" w14:paraId="70A7BEAD" w14:textId="77777777" w:rsidTr="001007F0">
        <w:tc>
          <w:tcPr>
            <w:tcW w:w="2463" w:type="dxa"/>
            <w:shd w:val="clear" w:color="auto" w:fill="auto"/>
            <w:vAlign w:val="center"/>
          </w:tcPr>
          <w:p w14:paraId="0F0410DA" w14:textId="77777777" w:rsidR="000046CA" w:rsidRDefault="000046CA" w:rsidP="000046CA">
            <w:r>
              <w:t xml:space="preserve">MSSS 3 </w:t>
            </w:r>
            <w:proofErr w:type="spellStart"/>
            <w:r>
              <w:t>maps</w:t>
            </w:r>
            <w:proofErr w:type="spellEnd"/>
            <w:r>
              <w:t>:</w:t>
            </w:r>
          </w:p>
        </w:tc>
        <w:tc>
          <w:tcPr>
            <w:tcW w:w="2464" w:type="dxa"/>
            <w:vAlign w:val="center"/>
          </w:tcPr>
          <w:p w14:paraId="2A073E08" w14:textId="77777777" w:rsidR="000046CA" w:rsidRDefault="000046CA" w:rsidP="000046CA">
            <w:pPr>
              <w:jc w:val="center"/>
            </w:pPr>
            <w:r w:rsidRPr="00D90D10">
              <w:rPr>
                <w:i/>
              </w:rPr>
              <w:t>Y</w:t>
            </w:r>
          </w:p>
        </w:tc>
        <w:tc>
          <w:tcPr>
            <w:tcW w:w="2464" w:type="dxa"/>
            <w:vAlign w:val="center"/>
          </w:tcPr>
          <w:p w14:paraId="72E393A4" w14:textId="77777777" w:rsidR="000046CA" w:rsidRDefault="000046CA" w:rsidP="000046CA">
            <w:pPr>
              <w:jc w:val="center"/>
            </w:pPr>
            <w:r w:rsidRPr="00D90D10">
              <w:rPr>
                <w:i/>
              </w:rPr>
              <w:t>Y</w:t>
            </w:r>
          </w:p>
        </w:tc>
        <w:tc>
          <w:tcPr>
            <w:tcW w:w="2464" w:type="dxa"/>
            <w:vAlign w:val="center"/>
          </w:tcPr>
          <w:p w14:paraId="1FA3F982" w14:textId="77777777" w:rsidR="000046CA" w:rsidRDefault="000046CA" w:rsidP="000046CA">
            <w:pPr>
              <w:jc w:val="center"/>
            </w:pPr>
            <w:r w:rsidRPr="00D90D10">
              <w:rPr>
                <w:i/>
              </w:rPr>
              <w:t>N</w:t>
            </w:r>
          </w:p>
        </w:tc>
      </w:tr>
      <w:tr w:rsidR="000046CA" w:rsidRPr="006367DC" w14:paraId="03749260" w14:textId="77777777" w:rsidTr="001007F0">
        <w:tc>
          <w:tcPr>
            <w:tcW w:w="2463" w:type="dxa"/>
            <w:shd w:val="clear" w:color="auto" w:fill="auto"/>
            <w:vAlign w:val="center"/>
          </w:tcPr>
          <w:p w14:paraId="6E4AD381" w14:textId="77777777" w:rsidR="000046CA" w:rsidRDefault="000046CA" w:rsidP="000046CA">
            <w:r>
              <w:t>Location:</w:t>
            </w:r>
          </w:p>
        </w:tc>
        <w:tc>
          <w:tcPr>
            <w:tcW w:w="7392" w:type="dxa"/>
            <w:gridSpan w:val="3"/>
            <w:shd w:val="clear" w:color="auto" w:fill="auto"/>
            <w:vAlign w:val="center"/>
          </w:tcPr>
          <w:p w14:paraId="47A0E1FE" w14:textId="77777777" w:rsidR="000046CA" w:rsidRPr="002B31B4" w:rsidRDefault="006367DC" w:rsidP="000046CA">
            <w:pPr>
              <w:jc w:val="center"/>
              <w:rPr>
                <w:i/>
              </w:rPr>
            </w:pPr>
            <w:hyperlink r:id="rId19" w:history="1">
              <w:r w:rsidR="000046CA" w:rsidRPr="00D90D10">
                <w:rPr>
                  <w:rStyle w:val="Hyperlink"/>
                  <w:i/>
                </w:rPr>
                <w:t>http://www.metoffice.gov.uk/research/climate/seasonal-to-decadal/gpc-outlooks</w:t>
              </w:r>
            </w:hyperlink>
          </w:p>
          <w:p w14:paraId="020A96EF" w14:textId="77777777" w:rsidR="000046CA" w:rsidRPr="002B31B4" w:rsidRDefault="000046CA" w:rsidP="000046CA">
            <w:pPr>
              <w:jc w:val="center"/>
              <w:rPr>
                <w:i/>
              </w:rPr>
            </w:pPr>
          </w:p>
          <w:p w14:paraId="6B4CF124" w14:textId="77777777" w:rsidR="000046CA" w:rsidRPr="00D90D10" w:rsidRDefault="000046CA" w:rsidP="000046CA">
            <w:pPr>
              <w:jc w:val="center"/>
              <w:rPr>
                <w:i/>
                <w:lang w:val="en-GB"/>
              </w:rPr>
            </w:pPr>
            <w:r w:rsidRPr="00D90D10">
              <w:rPr>
                <w:i/>
                <w:lang w:val="en-US"/>
              </w:rPr>
              <w:t xml:space="preserve">Note: MSSS maps available on LC-SVSLRF site only </w:t>
            </w:r>
            <w:hyperlink r:id="rId20" w:history="1">
              <w:r w:rsidRPr="00D90D10">
                <w:rPr>
                  <w:rStyle w:val="Hyperlink"/>
                  <w:i/>
                  <w:lang w:val="en-US"/>
                </w:rPr>
                <w:t>http://www.bom.gov.au/wmo/lrfvs/</w:t>
              </w:r>
            </w:hyperlink>
          </w:p>
          <w:p w14:paraId="01CBD344" w14:textId="77777777" w:rsidR="000046CA" w:rsidRPr="002B31B4" w:rsidRDefault="000046CA" w:rsidP="000046CA">
            <w:pPr>
              <w:jc w:val="center"/>
              <w:rPr>
                <w:lang w:val="en-US"/>
              </w:rPr>
            </w:pPr>
          </w:p>
        </w:tc>
      </w:tr>
      <w:tr w:rsidR="000046CA" w:rsidRPr="001F07AB" w14:paraId="45F71F12" w14:textId="77777777" w:rsidTr="001F07AB">
        <w:tc>
          <w:tcPr>
            <w:tcW w:w="2463" w:type="dxa"/>
            <w:shd w:val="clear" w:color="auto" w:fill="auto"/>
            <w:vAlign w:val="center"/>
          </w:tcPr>
          <w:p w14:paraId="2A2028F9" w14:textId="77777777" w:rsidR="000046CA" w:rsidRPr="001F07AB" w:rsidRDefault="000046CA" w:rsidP="000046CA">
            <w:pPr>
              <w:rPr>
                <w:lang w:val="en-US"/>
              </w:rPr>
            </w:pPr>
            <w:r w:rsidRPr="001F07AB">
              <w:rPr>
                <w:i/>
                <w:lang w:val="en-US"/>
              </w:rPr>
              <w:t xml:space="preserve">[For non-compliant elements, please </w:t>
            </w:r>
            <w:r w:rsidRPr="001F07AB">
              <w:rPr>
                <w:i/>
                <w:lang w:val="en-US"/>
              </w:rPr>
              <w:lastRenderedPageBreak/>
              <w:t>indicate intended date of compliance]</w:t>
            </w:r>
          </w:p>
        </w:tc>
        <w:tc>
          <w:tcPr>
            <w:tcW w:w="2464" w:type="dxa"/>
            <w:shd w:val="clear" w:color="auto" w:fill="auto"/>
            <w:vAlign w:val="center"/>
          </w:tcPr>
          <w:p w14:paraId="2ED0967D" w14:textId="77777777" w:rsidR="000046CA" w:rsidRPr="001F07AB" w:rsidRDefault="000046CA" w:rsidP="000046CA">
            <w:pPr>
              <w:jc w:val="center"/>
              <w:rPr>
                <w:lang w:val="en-US"/>
              </w:rPr>
            </w:pPr>
          </w:p>
        </w:tc>
        <w:tc>
          <w:tcPr>
            <w:tcW w:w="2464" w:type="dxa"/>
            <w:shd w:val="clear" w:color="auto" w:fill="auto"/>
            <w:vAlign w:val="center"/>
          </w:tcPr>
          <w:p w14:paraId="132A134A" w14:textId="77777777" w:rsidR="000046CA" w:rsidRPr="001F07AB" w:rsidRDefault="000046CA" w:rsidP="000046CA">
            <w:pPr>
              <w:jc w:val="center"/>
              <w:rPr>
                <w:lang w:val="en-US"/>
              </w:rPr>
            </w:pPr>
          </w:p>
        </w:tc>
        <w:tc>
          <w:tcPr>
            <w:tcW w:w="2464" w:type="dxa"/>
            <w:shd w:val="clear" w:color="auto" w:fill="auto"/>
            <w:vAlign w:val="center"/>
          </w:tcPr>
          <w:p w14:paraId="5032BFDB" w14:textId="0C380E2B" w:rsidR="000046CA" w:rsidRPr="001F07AB" w:rsidRDefault="000046CA" w:rsidP="000046CA">
            <w:pPr>
              <w:jc w:val="center"/>
              <w:rPr>
                <w:lang w:val="en-US"/>
              </w:rPr>
            </w:pPr>
            <w:r>
              <w:rPr>
                <w:lang w:val="en-US"/>
              </w:rPr>
              <w:t>December 201</w:t>
            </w:r>
            <w:r w:rsidR="002613FE">
              <w:rPr>
                <w:lang w:val="en-US"/>
              </w:rPr>
              <w:t>9</w:t>
            </w:r>
          </w:p>
        </w:tc>
      </w:tr>
    </w:tbl>
    <w:p w14:paraId="346FC3EA" w14:textId="77777777" w:rsidR="00B13845" w:rsidRPr="00B13845" w:rsidRDefault="00B13845" w:rsidP="00B13845">
      <w:pPr>
        <w:jc w:val="both"/>
        <w:rPr>
          <w:lang w:val="en-US"/>
        </w:rPr>
      </w:pPr>
    </w:p>
    <w:p w14:paraId="3EBBC1B3" w14:textId="77777777" w:rsidR="00B13845" w:rsidRPr="00B13845" w:rsidRDefault="00B13845" w:rsidP="00B13845">
      <w:pPr>
        <w:jc w:val="both"/>
        <w:rPr>
          <w:b/>
          <w:lang w:val="en-US"/>
        </w:rPr>
      </w:pPr>
      <w:r w:rsidRPr="00B13845">
        <w:rPr>
          <w:b/>
          <w:lang w:val="en-US"/>
        </w:rPr>
        <w:t>4.</w:t>
      </w:r>
      <w:r w:rsidRPr="00B13845">
        <w:rPr>
          <w:b/>
          <w:lang w:val="en-US"/>
        </w:rPr>
        <w:tab/>
        <w:t xml:space="preserve">DISSEMINATION </w:t>
      </w:r>
    </w:p>
    <w:p w14:paraId="4402B3C3" w14:textId="77777777" w:rsidR="00B13845" w:rsidRPr="00B13845" w:rsidRDefault="00B13845" w:rsidP="00B13845">
      <w:pPr>
        <w:jc w:val="both"/>
        <w:rPr>
          <w:lang w:val="en-US"/>
        </w:rPr>
      </w:pPr>
    </w:p>
    <w:p w14:paraId="36B72179" w14:textId="77777777" w:rsidR="00E67563" w:rsidRDefault="00E67563" w:rsidP="00E67563">
      <w:pPr>
        <w:jc w:val="both"/>
        <w:rPr>
          <w:lang w:val="en-US"/>
        </w:rPr>
      </w:pPr>
      <w:r w:rsidRPr="00BE496F">
        <w:rPr>
          <w:lang w:val="en-US"/>
        </w:rPr>
        <w:t xml:space="preserve">Graphical products are freely available at: </w:t>
      </w:r>
      <w:hyperlink r:id="rId21" w:history="1">
        <w:r w:rsidRPr="00BE496F">
          <w:rPr>
            <w:rStyle w:val="Hyperlink"/>
            <w:lang w:val="en-GB"/>
          </w:rPr>
          <w:t>http://www.metoffice.gov.uk/research/climate/seasonal-to-decadal/gpc-outlooks</w:t>
        </w:r>
      </w:hyperlink>
      <w:r w:rsidRPr="00BE496F">
        <w:rPr>
          <w:lang w:val="en-US"/>
        </w:rPr>
        <w:t xml:space="preserve">. </w:t>
      </w:r>
      <w:r>
        <w:rPr>
          <w:lang w:val="en-US"/>
        </w:rPr>
        <w:t xml:space="preserve"> Monthly-mean data products are freely available by ftp on request, or via the IRI Data Library (</w:t>
      </w:r>
      <w:hyperlink r:id="rId22" w:history="1">
        <w:r w:rsidR="005B6634" w:rsidRPr="00B75C80">
          <w:rPr>
            <w:rStyle w:val="Hyperlink"/>
            <w:lang w:val="en-US"/>
          </w:rPr>
          <w:t>http://iridl.ldeo.columbia.edu/SOURCES/.UKMO/</w:t>
        </w:r>
      </w:hyperlink>
      <w:r w:rsidR="005B6634">
        <w:rPr>
          <w:lang w:val="en-US"/>
        </w:rPr>
        <w:t xml:space="preserve"> </w:t>
      </w:r>
      <w:r>
        <w:rPr>
          <w:lang w:val="en-US"/>
        </w:rPr>
        <w:t>) under agreement of non-commercial use.</w:t>
      </w:r>
    </w:p>
    <w:p w14:paraId="2A8BEC6F" w14:textId="77777777" w:rsidR="00E67563" w:rsidRDefault="00E67563" w:rsidP="00E67563">
      <w:pPr>
        <w:jc w:val="both"/>
        <w:rPr>
          <w:lang w:val="en-US"/>
        </w:rPr>
      </w:pPr>
    </w:p>
    <w:p w14:paraId="54FA311E" w14:textId="77777777" w:rsidR="00B13845" w:rsidRPr="00B13845" w:rsidRDefault="00B13845" w:rsidP="00B13845">
      <w:pPr>
        <w:jc w:val="both"/>
        <w:rPr>
          <w:lang w:val="en-US"/>
        </w:rPr>
      </w:pPr>
    </w:p>
    <w:p w14:paraId="1D3B4117" w14:textId="77777777" w:rsidR="00B13845" w:rsidRPr="00B13845" w:rsidRDefault="00A33C32" w:rsidP="00B13845">
      <w:pPr>
        <w:jc w:val="both"/>
        <w:rPr>
          <w:b/>
          <w:lang w:val="en-US"/>
        </w:rPr>
      </w:pPr>
      <w:r>
        <w:rPr>
          <w:b/>
          <w:lang w:val="en-US"/>
        </w:rPr>
        <w:t>5.</w:t>
      </w:r>
      <w:r>
        <w:rPr>
          <w:b/>
          <w:lang w:val="en-US"/>
        </w:rPr>
        <w:tab/>
        <w:t>LRF MULTI-MODEL ENSEMBLE</w:t>
      </w:r>
    </w:p>
    <w:p w14:paraId="053CC622" w14:textId="77777777" w:rsidR="00B13845" w:rsidRPr="00B13845" w:rsidRDefault="00B13845" w:rsidP="00B13845">
      <w:pPr>
        <w:jc w:val="both"/>
        <w:rPr>
          <w:lang w:val="en-US"/>
        </w:rPr>
      </w:pPr>
    </w:p>
    <w:p w14:paraId="0789B15D" w14:textId="5E6A64B7" w:rsidR="00E67563" w:rsidRPr="006367DC" w:rsidRDefault="00E67563" w:rsidP="009742D9">
      <w:pPr>
        <w:pStyle w:val="CommentText"/>
        <w:rPr>
          <w:lang w:val="en-US"/>
        </w:rPr>
      </w:pPr>
      <w:r w:rsidRPr="00BE496F">
        <w:rPr>
          <w:lang w:val="en-US"/>
        </w:rPr>
        <w:t xml:space="preserve">Data </w:t>
      </w:r>
      <w:r>
        <w:rPr>
          <w:lang w:val="en-US"/>
        </w:rPr>
        <w:t>are</w:t>
      </w:r>
      <w:r w:rsidRPr="00BE496F">
        <w:rPr>
          <w:lang w:val="en-US"/>
        </w:rPr>
        <w:t xml:space="preserve"> contributed to the LC-LRFMME m</w:t>
      </w:r>
      <w:r w:rsidR="009742D9">
        <w:rPr>
          <w:lang w:val="en-US"/>
        </w:rPr>
        <w:t xml:space="preserve">ulti-model, the </w:t>
      </w:r>
      <w:r w:rsidRPr="00BE496F">
        <w:rPr>
          <w:lang w:val="en-US"/>
        </w:rPr>
        <w:t>EUROSIP multi-model</w:t>
      </w:r>
      <w:r w:rsidR="009742D9">
        <w:rPr>
          <w:lang w:val="en-US"/>
        </w:rPr>
        <w:t xml:space="preserve"> and </w:t>
      </w:r>
      <w:r w:rsidR="009742D9" w:rsidRPr="006367DC">
        <w:rPr>
          <w:lang w:val="en-US"/>
        </w:rPr>
        <w:t>Copernicus Climate Change Service (C3S)</w:t>
      </w:r>
      <w:r>
        <w:rPr>
          <w:lang w:val="en-US"/>
        </w:rPr>
        <w:t>. Nino indices are provided to the International Research Institute for Climate and Society (I</w:t>
      </w:r>
      <w:r w:rsidRPr="00BE496F">
        <w:rPr>
          <w:lang w:val="en-US"/>
        </w:rPr>
        <w:t>RI</w:t>
      </w:r>
      <w:r>
        <w:rPr>
          <w:lang w:val="en-US"/>
        </w:rPr>
        <w:t>)</w:t>
      </w:r>
      <w:r w:rsidRPr="00BE496F">
        <w:rPr>
          <w:lang w:val="en-US"/>
        </w:rPr>
        <w:t xml:space="preserve"> for their multi-model ‘plume’ forecasts</w:t>
      </w:r>
      <w:r>
        <w:rPr>
          <w:lang w:val="en-US"/>
        </w:rPr>
        <w:t xml:space="preserve">.  Nino indices and IOD indices are provided to the Australian Bureau of Meteorology’s climate model summary. </w:t>
      </w:r>
    </w:p>
    <w:p w14:paraId="4865FA4D" w14:textId="77777777" w:rsidR="00E67563" w:rsidRDefault="00E67563" w:rsidP="00E67563">
      <w:pPr>
        <w:jc w:val="both"/>
        <w:rPr>
          <w:lang w:val="en-US"/>
        </w:rPr>
      </w:pPr>
    </w:p>
    <w:p w14:paraId="0B403AB0" w14:textId="5E6700E9" w:rsidR="00E67563" w:rsidRPr="009742D9" w:rsidRDefault="009742D9" w:rsidP="00E67563">
      <w:pPr>
        <w:jc w:val="both"/>
        <w:rPr>
          <w:lang w:val="en-US"/>
        </w:rPr>
      </w:pPr>
      <w:r>
        <w:rPr>
          <w:lang w:val="en-US"/>
        </w:rPr>
        <w:t xml:space="preserve">GPC-LRF Exeter has additionally been designated as the Lead Centre for Annual to Decadal Climate Prediction (LC-ADCP) at WMO EC-69 (May 2017). This is a new activity within WMO and builds on </w:t>
      </w:r>
      <w:r w:rsidR="00E67563" w:rsidRPr="00CD792C">
        <w:rPr>
          <w:lang w:val="en-US"/>
        </w:rPr>
        <w:t>an informal exchange of real-time</w:t>
      </w:r>
      <w:r w:rsidR="00E67563">
        <w:rPr>
          <w:lang w:val="en-US"/>
        </w:rPr>
        <w:t xml:space="preserve"> multi-annual to decadal</w:t>
      </w:r>
      <w:r w:rsidR="00E67563" w:rsidRPr="00CD792C">
        <w:rPr>
          <w:lang w:val="en-US"/>
        </w:rPr>
        <w:t xml:space="preserve"> forecasts</w:t>
      </w:r>
      <w:r>
        <w:rPr>
          <w:lang w:val="en-US"/>
        </w:rPr>
        <w:t xml:space="preserve"> between </w:t>
      </w:r>
      <w:proofErr w:type="spellStart"/>
      <w:r>
        <w:rPr>
          <w:lang w:val="en-US"/>
        </w:rPr>
        <w:t>centres</w:t>
      </w:r>
      <w:proofErr w:type="spellEnd"/>
      <w:r>
        <w:rPr>
          <w:lang w:val="en-US"/>
        </w:rPr>
        <w:t xml:space="preserve"> active in producing predictions on these timescales. The aim is to assess</w:t>
      </w:r>
      <w:r w:rsidR="00E67563" w:rsidRPr="00CD792C">
        <w:rPr>
          <w:lang w:val="en-US"/>
        </w:rPr>
        <w:t xml:space="preserve"> and understanding differences and similarities between forecasts, identifying a consensus (multi-model ensemble) view in order to prevent over-confidence in a single model, and establishing </w:t>
      </w:r>
      <w:r w:rsidR="00134263">
        <w:rPr>
          <w:lang w:val="en-US"/>
        </w:rPr>
        <w:t>access to this kind of information for a wider range of member</w:t>
      </w:r>
      <w:r>
        <w:rPr>
          <w:lang w:val="en-US"/>
        </w:rPr>
        <w:t>s</w:t>
      </w:r>
      <w:r w:rsidR="00134263">
        <w:rPr>
          <w:lang w:val="en-US"/>
        </w:rPr>
        <w:t>. This is also a step towards ensuring that this activity is</w:t>
      </w:r>
      <w:r w:rsidR="00E67563" w:rsidRPr="00CD792C">
        <w:rPr>
          <w:bCs/>
          <w:lang w:val="en-GB"/>
        </w:rPr>
        <w:t xml:space="preserve"> incorporated into the Climate Service Information System (CSIS) of the GFCS. </w:t>
      </w:r>
      <w:r w:rsidR="00E67563" w:rsidRPr="00CD792C">
        <w:rPr>
          <w:lang w:val="en-US"/>
        </w:rPr>
        <w:t xml:space="preserve"> </w:t>
      </w:r>
      <w:r w:rsidR="00134263">
        <w:rPr>
          <w:lang w:val="en-US"/>
        </w:rPr>
        <w:t>Seven</w:t>
      </w:r>
      <w:r w:rsidR="00E67563" w:rsidRPr="00E425ED">
        <w:rPr>
          <w:lang w:val="en-US"/>
        </w:rPr>
        <w:t xml:space="preserve"> </w:t>
      </w:r>
      <w:r w:rsidR="00134263">
        <w:rPr>
          <w:lang w:val="en-US"/>
        </w:rPr>
        <w:t xml:space="preserve">informal </w:t>
      </w:r>
      <w:r w:rsidR="00E67563" w:rsidRPr="00E425ED">
        <w:rPr>
          <w:lang w:val="en-US"/>
        </w:rPr>
        <w:t>exchanges have taken place so far: specifically for forecasts starting nominally on 1</w:t>
      </w:r>
      <w:r w:rsidR="00E67563" w:rsidRPr="00E425ED">
        <w:rPr>
          <w:vertAlign w:val="superscript"/>
          <w:lang w:val="en-US"/>
        </w:rPr>
        <w:t>st</w:t>
      </w:r>
      <w:r w:rsidR="00E67563" w:rsidRPr="00E425ED">
        <w:rPr>
          <w:lang w:val="en-US"/>
        </w:rPr>
        <w:t xml:space="preserve"> January 20</w:t>
      </w:r>
      <w:r w:rsidR="00134263">
        <w:rPr>
          <w:lang w:val="en-US"/>
        </w:rPr>
        <w:t>11-17.</w:t>
      </w:r>
      <w:r w:rsidR="00E67563" w:rsidRPr="00E425ED">
        <w:rPr>
          <w:lang w:val="en-US"/>
        </w:rPr>
        <w:t xml:space="preserve"> Details of the first two exchanges, including a description of forecasts and verification, are provided in</w:t>
      </w:r>
      <w:r w:rsidR="00E67563">
        <w:rPr>
          <w:lang w:val="en-US"/>
        </w:rPr>
        <w:t xml:space="preserve"> </w:t>
      </w:r>
      <w:r w:rsidR="00E67563" w:rsidRPr="00E425ED">
        <w:rPr>
          <w:lang w:val="en-US"/>
        </w:rPr>
        <w:t>Smith et al. 2012. Each exchange consists of up to 9 dynamical climate models and 3 empirical techniques</w:t>
      </w:r>
      <w:r w:rsidR="00E67563">
        <w:rPr>
          <w:lang w:val="en-US"/>
        </w:rPr>
        <w:t xml:space="preserve"> (Table 1)</w:t>
      </w:r>
      <w:r w:rsidR="00E67563" w:rsidRPr="00E425ED">
        <w:rPr>
          <w:lang w:val="en-US"/>
        </w:rPr>
        <w:t>. Both initialized and uninitialized predictions are exchanged so that the impacts of initialization can be assessed. Analysis so far has focused on generating, for each individual model and the multi-model</w:t>
      </w:r>
      <w:r w:rsidR="00E67563">
        <w:rPr>
          <w:lang w:val="en-US"/>
        </w:rPr>
        <w:t xml:space="preserve"> mean</w:t>
      </w:r>
      <w:r w:rsidR="00E67563" w:rsidRPr="00E425ED">
        <w:rPr>
          <w:lang w:val="en-US"/>
        </w:rPr>
        <w:t>, global maps of forecast near-surface temperature averaged over the first year and subsequent 5 year periods</w:t>
      </w:r>
      <w:r w:rsidR="00E67563">
        <w:rPr>
          <w:lang w:val="en-US"/>
        </w:rPr>
        <w:t xml:space="preserve">. </w:t>
      </w:r>
      <w:r w:rsidR="00134263">
        <w:rPr>
          <w:lang w:val="en-GB"/>
        </w:rPr>
        <w:t xml:space="preserve">A new website for the LC-ADCP is under development, and a process to select producing centres (GPC-ADCP) is now underway. </w:t>
      </w:r>
    </w:p>
    <w:p w14:paraId="3A1815D4" w14:textId="77777777" w:rsidR="00E67563" w:rsidRPr="00B13845" w:rsidRDefault="00E67563" w:rsidP="00E67563">
      <w:pPr>
        <w:jc w:val="both"/>
        <w:rPr>
          <w:lang w:val="en-US"/>
        </w:rPr>
      </w:pPr>
    </w:p>
    <w:p w14:paraId="490A4014" w14:textId="77777777" w:rsidR="00B13845" w:rsidRPr="00B13845" w:rsidRDefault="00B13845" w:rsidP="00B13845">
      <w:pPr>
        <w:jc w:val="both"/>
        <w:rPr>
          <w:lang w:val="en-US"/>
        </w:rPr>
      </w:pPr>
    </w:p>
    <w:p w14:paraId="294925D8" w14:textId="77777777" w:rsidR="00B13845" w:rsidRPr="00B13845" w:rsidRDefault="00B13845" w:rsidP="00B13845">
      <w:pPr>
        <w:jc w:val="both"/>
        <w:rPr>
          <w:lang w:val="en-US"/>
        </w:rPr>
      </w:pPr>
    </w:p>
    <w:p w14:paraId="763D9C7E" w14:textId="77777777" w:rsidR="00B13845" w:rsidRPr="00B13845" w:rsidRDefault="00B13845" w:rsidP="00B13845">
      <w:pPr>
        <w:jc w:val="both"/>
        <w:rPr>
          <w:b/>
          <w:lang w:val="en-US"/>
        </w:rPr>
      </w:pPr>
      <w:r w:rsidRPr="00B13845">
        <w:rPr>
          <w:b/>
          <w:lang w:val="en-US"/>
        </w:rPr>
        <w:t>6.</w:t>
      </w:r>
      <w:r w:rsidRPr="00B13845">
        <w:rPr>
          <w:b/>
          <w:lang w:val="en-US"/>
        </w:rPr>
        <w:tab/>
        <w:t>ADDITIONAL INFORMATION PROVIDED BY THE GPC</w:t>
      </w:r>
    </w:p>
    <w:p w14:paraId="34A9837D" w14:textId="77777777" w:rsidR="00B13845" w:rsidRPr="00B13845" w:rsidRDefault="00B13845" w:rsidP="00B13845">
      <w:pPr>
        <w:jc w:val="both"/>
        <w:rPr>
          <w:lang w:val="en-US"/>
        </w:rPr>
      </w:pPr>
    </w:p>
    <w:p w14:paraId="662613AC" w14:textId="77777777" w:rsidR="00E67563" w:rsidRPr="00953F29" w:rsidRDefault="00E67563" w:rsidP="00E67563">
      <w:pPr>
        <w:jc w:val="both"/>
        <w:rPr>
          <w:lang w:val="en-GB"/>
        </w:rPr>
      </w:pPr>
      <w:r w:rsidRPr="00953F29">
        <w:rPr>
          <w:lang w:val="en-GB"/>
        </w:rPr>
        <w:t>Further additional real-time products currently available include:</w:t>
      </w:r>
    </w:p>
    <w:p w14:paraId="5DCD8F57" w14:textId="77777777" w:rsidR="00E67563" w:rsidRPr="00953F29" w:rsidRDefault="00E67563" w:rsidP="00E67563">
      <w:pPr>
        <w:numPr>
          <w:ilvl w:val="0"/>
          <w:numId w:val="19"/>
        </w:numPr>
        <w:jc w:val="both"/>
        <w:rPr>
          <w:lang w:val="en-GB"/>
        </w:rPr>
      </w:pPr>
      <w:r w:rsidRPr="00953F29">
        <w:rPr>
          <w:lang w:val="en-GB"/>
        </w:rPr>
        <w:t>SST “plumes” showing the predicted monthly evolution of Nino3/3.4/4</w:t>
      </w:r>
      <w:r>
        <w:rPr>
          <w:lang w:val="en-GB"/>
        </w:rPr>
        <w:t xml:space="preserve"> (plumes for Indian Ocean and Tropical Atlantic SST indices are expected to be available by May 2016)</w:t>
      </w:r>
      <w:r w:rsidRPr="00953F29">
        <w:rPr>
          <w:lang w:val="en-GB"/>
        </w:rPr>
        <w:t>;</w:t>
      </w:r>
    </w:p>
    <w:p w14:paraId="3200DEFD" w14:textId="77777777" w:rsidR="00E67563" w:rsidRPr="00953F29" w:rsidRDefault="00E67563" w:rsidP="00E67563">
      <w:pPr>
        <w:numPr>
          <w:ilvl w:val="0"/>
          <w:numId w:val="19"/>
        </w:numPr>
        <w:jc w:val="both"/>
        <w:rPr>
          <w:lang w:val="en-GB"/>
        </w:rPr>
      </w:pPr>
      <w:r w:rsidRPr="00953F29">
        <w:rPr>
          <w:lang w:val="en-GB"/>
        </w:rPr>
        <w:t>Probability forecasts and SVSLRF verification for outer-quintile categories</w:t>
      </w:r>
    </w:p>
    <w:p w14:paraId="66775657" w14:textId="77777777" w:rsidR="00E67563" w:rsidRPr="00953F29" w:rsidRDefault="00E67563" w:rsidP="00E67563">
      <w:pPr>
        <w:numPr>
          <w:ilvl w:val="0"/>
          <w:numId w:val="19"/>
        </w:numPr>
        <w:ind w:left="567" w:hanging="227"/>
        <w:jc w:val="both"/>
        <w:rPr>
          <w:lang w:val="en-GB"/>
        </w:rPr>
      </w:pPr>
      <w:r w:rsidRPr="00953F29">
        <w:rPr>
          <w:lang w:val="en-GB"/>
        </w:rPr>
        <w:t xml:space="preserve">Tailored forecasts, including for specific regions, available at: </w:t>
      </w:r>
      <w:hyperlink r:id="rId23" w:history="1">
        <w:r w:rsidRPr="00953F29">
          <w:rPr>
            <w:rStyle w:val="Hyperlink"/>
            <w:lang w:val="en-GB"/>
          </w:rPr>
          <w:t>http://www.metoffice.gov.uk/research/climate/seasonal-to-decadal/long-range/forecasts</w:t>
        </w:r>
      </w:hyperlink>
    </w:p>
    <w:p w14:paraId="0B383DEC" w14:textId="77777777" w:rsidR="00E67563" w:rsidRPr="00953F29" w:rsidRDefault="00E67563" w:rsidP="00E67563">
      <w:pPr>
        <w:numPr>
          <w:ilvl w:val="1"/>
          <w:numId w:val="19"/>
        </w:numPr>
        <w:jc w:val="both"/>
        <w:rPr>
          <w:lang w:val="en-GB"/>
        </w:rPr>
      </w:pPr>
      <w:r w:rsidRPr="00953F29">
        <w:rPr>
          <w:lang w:val="en-GB"/>
        </w:rPr>
        <w:t xml:space="preserve">Precipitation prediction for tropical North Africa; East Africa and </w:t>
      </w:r>
      <w:smartTag w:uri="urn:schemas-microsoft-com:office:smarttags" w:element="place">
        <w:r w:rsidRPr="00953F29">
          <w:rPr>
            <w:lang w:val="en-GB"/>
          </w:rPr>
          <w:t>NE Brazil</w:t>
        </w:r>
      </w:smartTag>
      <w:r w:rsidRPr="00953F29">
        <w:rPr>
          <w:lang w:val="en-GB"/>
        </w:rPr>
        <w:t>;</w:t>
      </w:r>
    </w:p>
    <w:p w14:paraId="07AC32F2" w14:textId="77777777" w:rsidR="00E67563" w:rsidRPr="00953F29" w:rsidRDefault="00E67563" w:rsidP="00E67563">
      <w:pPr>
        <w:numPr>
          <w:ilvl w:val="1"/>
          <w:numId w:val="19"/>
        </w:numPr>
        <w:jc w:val="both"/>
        <w:rPr>
          <w:lang w:val="en-GB"/>
        </w:rPr>
      </w:pPr>
      <w:smartTag w:uri="urn:schemas-microsoft-com:office:smarttags" w:element="place">
        <w:r w:rsidRPr="00953F29">
          <w:rPr>
            <w:lang w:val="en-GB"/>
          </w:rPr>
          <w:t>North Atlantic</w:t>
        </w:r>
      </w:smartTag>
      <w:r w:rsidRPr="00953F29">
        <w:rPr>
          <w:lang w:val="en-GB"/>
        </w:rPr>
        <w:t xml:space="preserve"> tropical storm forecasts;</w:t>
      </w:r>
    </w:p>
    <w:p w14:paraId="742B27D5" w14:textId="77777777" w:rsidR="00E67563" w:rsidRDefault="00E67563" w:rsidP="00E67563">
      <w:pPr>
        <w:numPr>
          <w:ilvl w:val="1"/>
          <w:numId w:val="19"/>
        </w:numPr>
        <w:jc w:val="both"/>
      </w:pPr>
      <w:proofErr w:type="spellStart"/>
      <w:r>
        <w:t>Arctic</w:t>
      </w:r>
      <w:proofErr w:type="spellEnd"/>
      <w:r>
        <w:t xml:space="preserve"> </w:t>
      </w:r>
      <w:proofErr w:type="spellStart"/>
      <w:r>
        <w:t>sea</w:t>
      </w:r>
      <w:proofErr w:type="spellEnd"/>
      <w:r>
        <w:t xml:space="preserve"> </w:t>
      </w:r>
      <w:proofErr w:type="spellStart"/>
      <w:r>
        <w:t>ice</w:t>
      </w:r>
      <w:proofErr w:type="spellEnd"/>
      <w:r>
        <w:t xml:space="preserve"> </w:t>
      </w:r>
      <w:proofErr w:type="spellStart"/>
      <w:r>
        <w:t>extent</w:t>
      </w:r>
      <w:proofErr w:type="spellEnd"/>
      <w:r>
        <w:t>;</w:t>
      </w:r>
    </w:p>
    <w:p w14:paraId="36A3FFE1" w14:textId="77777777" w:rsidR="00B13845" w:rsidRPr="00E67563" w:rsidRDefault="00E67563" w:rsidP="001007F0">
      <w:pPr>
        <w:numPr>
          <w:ilvl w:val="1"/>
          <w:numId w:val="19"/>
        </w:numPr>
        <w:jc w:val="both"/>
        <w:rPr>
          <w:i/>
          <w:lang w:val="en-US"/>
        </w:rPr>
      </w:pPr>
      <w:r w:rsidRPr="00E67563">
        <w:rPr>
          <w:lang w:val="en-GB"/>
        </w:rPr>
        <w:t xml:space="preserve">Experimental decadal predictions including next 5-year means (global coverage) and real-time verification. </w:t>
      </w:r>
    </w:p>
    <w:p w14:paraId="4C9C2AFC" w14:textId="77777777" w:rsidR="00B13845" w:rsidRDefault="00B13845" w:rsidP="00B13845">
      <w:pPr>
        <w:jc w:val="both"/>
        <w:rPr>
          <w:lang w:val="en-US"/>
        </w:rPr>
      </w:pPr>
    </w:p>
    <w:p w14:paraId="1E29F3FE" w14:textId="77777777" w:rsidR="001C73B1" w:rsidRDefault="001C73B1" w:rsidP="00B13845">
      <w:pPr>
        <w:jc w:val="both"/>
        <w:rPr>
          <w:lang w:val="en-US"/>
        </w:rPr>
      </w:pPr>
    </w:p>
    <w:p w14:paraId="4A822712" w14:textId="77777777" w:rsidR="001C73B1" w:rsidRPr="00B13845" w:rsidRDefault="001C73B1" w:rsidP="00B13845">
      <w:pPr>
        <w:jc w:val="both"/>
        <w:rPr>
          <w:lang w:val="en-US"/>
        </w:rPr>
      </w:pPr>
    </w:p>
    <w:p w14:paraId="7E21C888" w14:textId="77777777" w:rsidR="00B13845" w:rsidRPr="002B31B4" w:rsidRDefault="00B13845" w:rsidP="00B13845">
      <w:pPr>
        <w:jc w:val="both"/>
        <w:rPr>
          <w:b/>
          <w:lang w:val="en-US"/>
        </w:rPr>
      </w:pPr>
      <w:r w:rsidRPr="002B31B4">
        <w:rPr>
          <w:b/>
          <w:lang w:val="en-US"/>
        </w:rPr>
        <w:t>7.</w:t>
      </w:r>
      <w:r w:rsidRPr="002B31B4">
        <w:rPr>
          <w:b/>
          <w:lang w:val="en-US"/>
        </w:rPr>
        <w:tab/>
        <w:t xml:space="preserve">CAPACITY BUILDING AND TRAINING </w:t>
      </w:r>
    </w:p>
    <w:p w14:paraId="7117184B" w14:textId="77777777" w:rsidR="00B13845" w:rsidRPr="002B31B4" w:rsidRDefault="00B13845" w:rsidP="00B13845">
      <w:pPr>
        <w:jc w:val="both"/>
        <w:rPr>
          <w:lang w:val="en-US"/>
        </w:rPr>
      </w:pPr>
    </w:p>
    <w:p w14:paraId="7B745B26" w14:textId="1039C410" w:rsidR="00F151F9" w:rsidRPr="006367DC" w:rsidRDefault="00F151F9" w:rsidP="00F151F9">
      <w:pPr>
        <w:jc w:val="both"/>
        <w:rPr>
          <w:lang w:val="en-US"/>
        </w:rPr>
      </w:pPr>
      <w:r w:rsidRPr="006367DC">
        <w:rPr>
          <w:lang w:val="en-US"/>
        </w:rPr>
        <w:lastRenderedPageBreak/>
        <w:t xml:space="preserve">A modular seasonal forecast capacity development course has been further developed and used as part of a number of projects. The modules are </w:t>
      </w:r>
      <w:proofErr w:type="spellStart"/>
      <w:r w:rsidRPr="006367DC">
        <w:rPr>
          <w:lang w:val="en-US"/>
        </w:rPr>
        <w:t>centred</w:t>
      </w:r>
      <w:proofErr w:type="spellEnd"/>
      <w:r w:rsidRPr="006367DC">
        <w:rPr>
          <w:lang w:val="en-US"/>
        </w:rPr>
        <w:t xml:space="preserve"> on hands on training and include:</w:t>
      </w:r>
    </w:p>
    <w:p w14:paraId="13234580" w14:textId="77777777" w:rsidR="00F151F9" w:rsidRPr="006367DC" w:rsidRDefault="00F151F9" w:rsidP="00F151F9">
      <w:pPr>
        <w:jc w:val="both"/>
        <w:rPr>
          <w:lang w:val="en-US"/>
        </w:rPr>
      </w:pPr>
    </w:p>
    <w:p w14:paraId="39D9C2F5" w14:textId="77777777" w:rsidR="00F151F9" w:rsidRPr="00F151F9" w:rsidRDefault="00F151F9" w:rsidP="00F151F9">
      <w:pPr>
        <w:pStyle w:val="ListParagraph"/>
        <w:numPr>
          <w:ilvl w:val="0"/>
          <w:numId w:val="25"/>
        </w:numPr>
        <w:jc w:val="both"/>
        <w:rPr>
          <w:rFonts w:ascii="Arial" w:hAnsi="Arial" w:cs="Arial"/>
        </w:rPr>
      </w:pPr>
      <w:r w:rsidRPr="00F151F9">
        <w:rPr>
          <w:rFonts w:ascii="Arial" w:hAnsi="Arial" w:cs="Arial"/>
        </w:rPr>
        <w:t>familiarisation with climate drivers – using exercises with KMNI’s Climate Explorer online tool.</w:t>
      </w:r>
    </w:p>
    <w:p w14:paraId="7218F81C" w14:textId="77777777" w:rsidR="00F151F9" w:rsidRPr="00F151F9" w:rsidRDefault="00F151F9" w:rsidP="00F151F9">
      <w:pPr>
        <w:pStyle w:val="ListParagraph"/>
        <w:numPr>
          <w:ilvl w:val="0"/>
          <w:numId w:val="25"/>
        </w:numPr>
        <w:jc w:val="both"/>
        <w:rPr>
          <w:rFonts w:ascii="Arial" w:hAnsi="Arial" w:cs="Arial"/>
        </w:rPr>
      </w:pPr>
      <w:r w:rsidRPr="00F151F9">
        <w:rPr>
          <w:rFonts w:ascii="Arial" w:hAnsi="Arial" w:cs="Arial"/>
        </w:rPr>
        <w:t xml:space="preserve">familiarisation with output from dynamical ensemble prediction systems – using an interactive spreadsheet tool to study ensemble characteristics, measure </w:t>
      </w:r>
      <w:proofErr w:type="spellStart"/>
      <w:r w:rsidRPr="00F151F9">
        <w:rPr>
          <w:rFonts w:ascii="Arial" w:hAnsi="Arial" w:cs="Arial"/>
        </w:rPr>
        <w:t>hindcast</w:t>
      </w:r>
      <w:proofErr w:type="spellEnd"/>
      <w:r w:rsidRPr="00F151F9">
        <w:rPr>
          <w:rFonts w:ascii="Arial" w:hAnsi="Arial" w:cs="Arial"/>
        </w:rPr>
        <w:t xml:space="preserve"> skill of GPC systems for the region concerned (using SVSLRF skill measures) and generate regional real-time forecasts.</w:t>
      </w:r>
    </w:p>
    <w:p w14:paraId="42F33279" w14:textId="77777777" w:rsidR="00F151F9" w:rsidRPr="00F151F9" w:rsidRDefault="00F151F9" w:rsidP="00F151F9">
      <w:pPr>
        <w:pStyle w:val="ListParagraph"/>
        <w:numPr>
          <w:ilvl w:val="0"/>
          <w:numId w:val="25"/>
        </w:numPr>
        <w:jc w:val="both"/>
        <w:rPr>
          <w:rFonts w:ascii="Arial" w:hAnsi="Arial" w:cs="Arial"/>
        </w:rPr>
      </w:pPr>
      <w:r w:rsidRPr="00F151F9">
        <w:rPr>
          <w:rFonts w:ascii="Arial" w:hAnsi="Arial" w:cs="Arial"/>
        </w:rPr>
        <w:t>Introduction to output from the WMO GPCs through the LC-LRFMME website</w:t>
      </w:r>
    </w:p>
    <w:p w14:paraId="06E41FCE" w14:textId="77777777" w:rsidR="00F151F9" w:rsidRPr="00F151F9" w:rsidRDefault="00F151F9" w:rsidP="00F151F9">
      <w:pPr>
        <w:pStyle w:val="ListParagraph"/>
        <w:numPr>
          <w:ilvl w:val="0"/>
          <w:numId w:val="25"/>
        </w:numPr>
        <w:jc w:val="both"/>
        <w:rPr>
          <w:rFonts w:ascii="Arial" w:hAnsi="Arial" w:cs="Arial"/>
        </w:rPr>
      </w:pPr>
      <w:r w:rsidRPr="00F151F9">
        <w:rPr>
          <w:rFonts w:ascii="Arial" w:hAnsi="Arial" w:cs="Arial"/>
        </w:rPr>
        <w:t xml:space="preserve">Use of IRI’s Climate Predictability Tool (CPT) to carry out statistical post processing of GPC output – to discover and correct for systematic model biases and make (statistically) downscaled real-time forecasts. </w:t>
      </w:r>
    </w:p>
    <w:p w14:paraId="78A4DF20" w14:textId="6CD54D60" w:rsidR="00F151F9" w:rsidRPr="006367DC" w:rsidRDefault="00F151F9" w:rsidP="00F151F9">
      <w:pPr>
        <w:jc w:val="both"/>
        <w:rPr>
          <w:lang w:val="en-US"/>
        </w:rPr>
      </w:pPr>
      <w:r w:rsidRPr="006367DC">
        <w:rPr>
          <w:lang w:val="en-US"/>
        </w:rPr>
        <w:t xml:space="preserve">This period has seen 4 training workshops in East Africa as part of the WISER </w:t>
      </w:r>
      <w:proofErr w:type="spellStart"/>
      <w:r w:rsidRPr="006367DC">
        <w:rPr>
          <w:lang w:val="en-US"/>
        </w:rPr>
        <w:t>programme</w:t>
      </w:r>
      <w:proofErr w:type="spellEnd"/>
      <w:r w:rsidRPr="006367DC">
        <w:rPr>
          <w:lang w:val="en-US"/>
        </w:rPr>
        <w:t xml:space="preserve"> and in collaboration with RCC ICPAC. The participants included both NMHS personnel as well as participants from Universities and Training </w:t>
      </w:r>
      <w:proofErr w:type="spellStart"/>
      <w:r w:rsidRPr="006367DC">
        <w:rPr>
          <w:lang w:val="en-US"/>
        </w:rPr>
        <w:t>Centres</w:t>
      </w:r>
      <w:proofErr w:type="spellEnd"/>
      <w:r w:rsidRPr="006367DC">
        <w:rPr>
          <w:lang w:val="en-US"/>
        </w:rPr>
        <w:t xml:space="preserve">, the latter included to strengthen in-country sustainability of capacity. The WISER-SCIPEA project also included a post-workshop sustained training component by tasking participants to use the skills acquired in the workshops to </w:t>
      </w:r>
      <w:proofErr w:type="spellStart"/>
      <w:r w:rsidRPr="006367DC">
        <w:rPr>
          <w:lang w:val="en-US"/>
        </w:rPr>
        <w:t>analyse</w:t>
      </w:r>
      <w:proofErr w:type="spellEnd"/>
      <w:r w:rsidRPr="006367DC">
        <w:rPr>
          <w:lang w:val="en-US"/>
        </w:rPr>
        <w:t xml:space="preserve"> each new (monthly) update from the GPCs and submit results for review. Training materials from the workshops have been used to draft lesson modules that could be used by other trainers. Under the DFID BRACED-Burkina and WISER-ASPIRE project similar training has been delivered to Sahel countries – with sustained training undertaken by the ASPIRE “in-region” embedded consultant.</w:t>
      </w:r>
    </w:p>
    <w:p w14:paraId="45DAA8C9" w14:textId="77777777" w:rsidR="00F151F9" w:rsidRPr="006367DC" w:rsidRDefault="00F151F9" w:rsidP="00F151F9">
      <w:pPr>
        <w:jc w:val="both"/>
        <w:rPr>
          <w:lang w:val="en-US"/>
        </w:rPr>
      </w:pPr>
    </w:p>
    <w:p w14:paraId="3846712D" w14:textId="4B6729F8" w:rsidR="00F151F9" w:rsidRPr="006367DC" w:rsidRDefault="00F151F9" w:rsidP="00F151F9">
      <w:pPr>
        <w:jc w:val="both"/>
        <w:rPr>
          <w:lang w:val="en-US"/>
        </w:rPr>
      </w:pPr>
      <w:r w:rsidRPr="006367DC">
        <w:rPr>
          <w:lang w:val="en-US"/>
        </w:rPr>
        <w:t>Andrew Colman of the Met Office is lead author of the seasonal forecasting chapter of the West Africa Forecasters handbook, published in 2017.</w:t>
      </w:r>
    </w:p>
    <w:p w14:paraId="5F388979" w14:textId="77777777" w:rsidR="00B13845" w:rsidRPr="00B13845" w:rsidRDefault="00B13845" w:rsidP="00B13845">
      <w:pPr>
        <w:jc w:val="both"/>
        <w:rPr>
          <w:lang w:val="en-US"/>
        </w:rPr>
      </w:pPr>
    </w:p>
    <w:p w14:paraId="16FECBAA" w14:textId="77777777" w:rsidR="00B13845" w:rsidRPr="00B13845" w:rsidRDefault="00B13845" w:rsidP="00B13845">
      <w:pPr>
        <w:jc w:val="both"/>
        <w:rPr>
          <w:b/>
          <w:lang w:val="en-US"/>
        </w:rPr>
      </w:pPr>
      <w:r>
        <w:rPr>
          <w:b/>
          <w:lang w:val="en-US"/>
        </w:rPr>
        <w:t>8</w:t>
      </w:r>
      <w:r w:rsidRPr="00B13845">
        <w:rPr>
          <w:b/>
          <w:lang w:val="en-US"/>
        </w:rPr>
        <w:t>.</w:t>
      </w:r>
      <w:r w:rsidRPr="00B13845">
        <w:rPr>
          <w:b/>
          <w:lang w:val="en-US"/>
        </w:rPr>
        <w:tab/>
      </w:r>
      <w:r>
        <w:rPr>
          <w:b/>
          <w:lang w:val="en-US"/>
        </w:rPr>
        <w:t>SPECIFIC NEEDS</w:t>
      </w:r>
    </w:p>
    <w:p w14:paraId="47D7F107" w14:textId="77777777" w:rsidR="00B13845" w:rsidRPr="00B13845" w:rsidRDefault="00B13845" w:rsidP="00B13845">
      <w:pPr>
        <w:jc w:val="both"/>
        <w:rPr>
          <w:lang w:val="en-US"/>
        </w:rPr>
      </w:pPr>
    </w:p>
    <w:p w14:paraId="42468331" w14:textId="77777777" w:rsidR="005B6634" w:rsidRPr="00953F29" w:rsidRDefault="005B6634" w:rsidP="005B6634">
      <w:pPr>
        <w:jc w:val="both"/>
        <w:rPr>
          <w:lang w:val="en-US"/>
        </w:rPr>
      </w:pPr>
      <w:r w:rsidRPr="00953F29">
        <w:rPr>
          <w:lang w:val="en-US"/>
        </w:rPr>
        <w:t>Continued and strengthened support from WMO in emphasizing the need and value of global long-range forecast operations and research to improve systems would be helpful – particularly in the light of increasing demands on GPCs from the developing GFCS. Support with regard to the need for development of applications products and for capacity building would also be helpful to assist leverage of funding sources for these activities.</w:t>
      </w:r>
    </w:p>
    <w:p w14:paraId="2623CCFD" w14:textId="77777777" w:rsidR="00B13845" w:rsidRPr="00B13845" w:rsidRDefault="00B13845" w:rsidP="00B13845">
      <w:pPr>
        <w:jc w:val="both"/>
        <w:rPr>
          <w:lang w:val="en-US"/>
        </w:rPr>
      </w:pPr>
    </w:p>
    <w:p w14:paraId="467BC5C0" w14:textId="77777777" w:rsidR="00B13845" w:rsidRPr="00B13845" w:rsidRDefault="00B13845" w:rsidP="00B13845">
      <w:pPr>
        <w:jc w:val="both"/>
        <w:rPr>
          <w:b/>
          <w:lang w:val="en-US"/>
        </w:rPr>
      </w:pPr>
      <w:r>
        <w:rPr>
          <w:b/>
          <w:lang w:val="en-US"/>
        </w:rPr>
        <w:t>9</w:t>
      </w:r>
      <w:r w:rsidRPr="00B13845">
        <w:rPr>
          <w:b/>
          <w:lang w:val="en-US"/>
        </w:rPr>
        <w:t>.</w:t>
      </w:r>
      <w:r w:rsidRPr="00B13845">
        <w:rPr>
          <w:b/>
          <w:lang w:val="en-US"/>
        </w:rPr>
        <w:tab/>
        <w:t>FUTURE DEVELOPMENTS</w:t>
      </w:r>
    </w:p>
    <w:p w14:paraId="155E274D" w14:textId="77777777" w:rsidR="00B13845" w:rsidRPr="00B13845" w:rsidRDefault="00B13845" w:rsidP="00B13845">
      <w:pPr>
        <w:jc w:val="both"/>
        <w:rPr>
          <w:lang w:val="en-US"/>
        </w:rPr>
      </w:pPr>
    </w:p>
    <w:p w14:paraId="58167290" w14:textId="07B0887C" w:rsidR="00B13845" w:rsidRDefault="00547975" w:rsidP="00B13845">
      <w:pPr>
        <w:jc w:val="both"/>
        <w:rPr>
          <w:lang w:val="en-US"/>
        </w:rPr>
      </w:pPr>
      <w:r>
        <w:rPr>
          <w:lang w:val="en-US"/>
        </w:rPr>
        <w:t xml:space="preserve">New versions of the underlying physical model that is used in the GloSea5 system are under test and there is a hope to implement these improved versions in 2019. </w:t>
      </w:r>
      <w:r w:rsidR="00C45548">
        <w:rPr>
          <w:lang w:val="en-US"/>
        </w:rPr>
        <w:t xml:space="preserve"> </w:t>
      </w:r>
    </w:p>
    <w:p w14:paraId="7035E3FD" w14:textId="77777777" w:rsidR="00C45548" w:rsidRPr="00B13845" w:rsidRDefault="00C45548" w:rsidP="00B13845">
      <w:pPr>
        <w:jc w:val="both"/>
        <w:rPr>
          <w:lang w:val="en-US"/>
        </w:rPr>
      </w:pPr>
    </w:p>
    <w:p w14:paraId="5E784D68" w14:textId="77777777" w:rsidR="00B13845" w:rsidRPr="00B13845" w:rsidRDefault="00B13845" w:rsidP="00B13845">
      <w:pPr>
        <w:jc w:val="both"/>
        <w:rPr>
          <w:b/>
          <w:lang w:val="en-US"/>
        </w:rPr>
      </w:pPr>
      <w:r>
        <w:rPr>
          <w:b/>
          <w:lang w:val="en-US"/>
        </w:rPr>
        <w:t>10</w:t>
      </w:r>
      <w:r w:rsidRPr="00B13845">
        <w:rPr>
          <w:b/>
          <w:lang w:val="en-US"/>
        </w:rPr>
        <w:t>.</w:t>
      </w:r>
      <w:r w:rsidRPr="00B13845">
        <w:rPr>
          <w:b/>
          <w:lang w:val="en-US"/>
        </w:rPr>
        <w:tab/>
        <w:t>USERS OF THE LRF</w:t>
      </w:r>
    </w:p>
    <w:p w14:paraId="483E6938" w14:textId="77777777" w:rsidR="00B13845" w:rsidRPr="00B13845" w:rsidRDefault="00B13845" w:rsidP="00B13845">
      <w:pPr>
        <w:jc w:val="both"/>
        <w:rPr>
          <w:lang w:val="en-US"/>
        </w:rPr>
      </w:pPr>
    </w:p>
    <w:p w14:paraId="1D576C67" w14:textId="77777777" w:rsidR="00DD48FF" w:rsidRDefault="00DD48FF" w:rsidP="00DD48FF">
      <w:pPr>
        <w:jc w:val="both"/>
        <w:rPr>
          <w:lang w:val="en-US"/>
        </w:rPr>
      </w:pPr>
      <w:r w:rsidRPr="001725D8">
        <w:rPr>
          <w:lang w:val="en-US"/>
        </w:rPr>
        <w:t>Users include:</w:t>
      </w:r>
    </w:p>
    <w:p w14:paraId="3DE663D7" w14:textId="77777777" w:rsidR="00DD48FF" w:rsidRPr="004A3456" w:rsidRDefault="00DD48FF" w:rsidP="00DD48FF">
      <w:pPr>
        <w:numPr>
          <w:ilvl w:val="0"/>
          <w:numId w:val="20"/>
        </w:numPr>
        <w:jc w:val="both"/>
        <w:rPr>
          <w:lang w:val="en-GB"/>
        </w:rPr>
      </w:pPr>
      <w:r>
        <w:rPr>
          <w:lang w:val="en-GB"/>
        </w:rPr>
        <w:t xml:space="preserve">National Meteorological and Hydrological Services and </w:t>
      </w:r>
      <w:r w:rsidRPr="001725D8">
        <w:rPr>
          <w:lang w:val="en-GB"/>
        </w:rPr>
        <w:t xml:space="preserve">Regional </w:t>
      </w:r>
      <w:r>
        <w:rPr>
          <w:lang w:val="en-GB"/>
        </w:rPr>
        <w:t>Organisations, globally.</w:t>
      </w:r>
      <w:r w:rsidRPr="001725D8">
        <w:rPr>
          <w:lang w:val="en-GB"/>
        </w:rPr>
        <w:t xml:space="preserve"> </w:t>
      </w:r>
      <w:r>
        <w:rPr>
          <w:lang w:val="en-GB"/>
        </w:rPr>
        <w:t xml:space="preserve">Tailored information is supplied to </w:t>
      </w:r>
      <w:r w:rsidRPr="001725D8">
        <w:rPr>
          <w:lang w:val="en-GB"/>
        </w:rPr>
        <w:t>African Regional Climate Organisations and associated RCOFs : ICPAC, ACMAD, SADC-DMC for the GHACOF</w:t>
      </w:r>
      <w:r>
        <w:rPr>
          <w:lang w:val="en-GB"/>
        </w:rPr>
        <w:t>, PRESAO and SARCOF meetings, respectively</w:t>
      </w:r>
      <w:r w:rsidRPr="001725D8">
        <w:rPr>
          <w:lang w:val="en-GB"/>
        </w:rPr>
        <w:t>.</w:t>
      </w:r>
    </w:p>
    <w:p w14:paraId="4A910054" w14:textId="77777777" w:rsidR="00DD48FF" w:rsidRPr="001725D8" w:rsidRDefault="00DD48FF" w:rsidP="00DD48FF">
      <w:pPr>
        <w:numPr>
          <w:ilvl w:val="0"/>
          <w:numId w:val="20"/>
        </w:numPr>
        <w:jc w:val="both"/>
        <w:rPr>
          <w:lang w:val="fr-FR"/>
        </w:rPr>
      </w:pPr>
      <w:proofErr w:type="spellStart"/>
      <w:r w:rsidRPr="001725D8">
        <w:rPr>
          <w:lang w:val="fr-FR"/>
        </w:rPr>
        <w:t>Prediction</w:t>
      </w:r>
      <w:proofErr w:type="spellEnd"/>
      <w:r w:rsidRPr="001725D8">
        <w:rPr>
          <w:lang w:val="fr-FR"/>
        </w:rPr>
        <w:t xml:space="preserve"> centres/multi-</w:t>
      </w:r>
      <w:proofErr w:type="spellStart"/>
      <w:r w:rsidRPr="001725D8">
        <w:rPr>
          <w:lang w:val="fr-FR"/>
        </w:rPr>
        <w:t>models</w:t>
      </w:r>
      <w:proofErr w:type="spellEnd"/>
      <w:r w:rsidRPr="001725D8">
        <w:rPr>
          <w:lang w:val="fr-FR"/>
        </w:rPr>
        <w:t>: LC-LRFMME, EUROSIP, IRI</w:t>
      </w:r>
      <w:r>
        <w:rPr>
          <w:lang w:val="fr-FR"/>
        </w:rPr>
        <w:t xml:space="preserve">, </w:t>
      </w:r>
      <w:proofErr w:type="spellStart"/>
      <w:r>
        <w:rPr>
          <w:lang w:val="fr-FR"/>
        </w:rPr>
        <w:t>BoM</w:t>
      </w:r>
      <w:proofErr w:type="spellEnd"/>
      <w:r>
        <w:rPr>
          <w:lang w:val="fr-FR"/>
        </w:rPr>
        <w:t>.</w:t>
      </w:r>
    </w:p>
    <w:p w14:paraId="37C66C76" w14:textId="77777777" w:rsidR="00DD48FF" w:rsidRDefault="00DD48FF" w:rsidP="00DD48FF">
      <w:pPr>
        <w:numPr>
          <w:ilvl w:val="0"/>
          <w:numId w:val="20"/>
        </w:numPr>
        <w:jc w:val="both"/>
        <w:rPr>
          <w:lang w:val="en-GB"/>
        </w:rPr>
      </w:pPr>
      <w:r w:rsidRPr="001725D8">
        <w:rPr>
          <w:lang w:val="en-GB"/>
        </w:rPr>
        <w:t xml:space="preserve">3-month outlooks are provided to </w:t>
      </w:r>
      <w:smartTag w:uri="urn:schemas-microsoft-com:office:smarttags" w:element="place">
        <w:smartTag w:uri="urn:schemas-microsoft-com:office:smarttags" w:element="country-region">
          <w:r w:rsidRPr="001725D8">
            <w:rPr>
              <w:lang w:val="en-GB"/>
            </w:rPr>
            <w:t>UK</w:t>
          </w:r>
        </w:smartTag>
      </w:smartTag>
      <w:r w:rsidRPr="001725D8">
        <w:rPr>
          <w:lang w:val="en-GB"/>
        </w:rPr>
        <w:t xml:space="preserve"> government using information from GloSea</w:t>
      </w:r>
      <w:r>
        <w:rPr>
          <w:lang w:val="en-GB"/>
        </w:rPr>
        <w:t>5</w:t>
      </w:r>
      <w:r w:rsidRPr="001725D8">
        <w:rPr>
          <w:lang w:val="en-GB"/>
        </w:rPr>
        <w:t>, EUROSIP and the LC-LRFMME as well as other observational and predictive information and expert assessment.</w:t>
      </w:r>
    </w:p>
    <w:p w14:paraId="523BAB74" w14:textId="77777777" w:rsidR="00DD48FF" w:rsidRDefault="00DD48FF" w:rsidP="00DD48FF">
      <w:pPr>
        <w:numPr>
          <w:ilvl w:val="0"/>
          <w:numId w:val="20"/>
        </w:numPr>
        <w:jc w:val="both"/>
        <w:rPr>
          <w:lang w:val="en-GB"/>
        </w:rPr>
      </w:pPr>
      <w:r>
        <w:rPr>
          <w:lang w:val="en-GB"/>
        </w:rPr>
        <w:lastRenderedPageBreak/>
        <w:t>Seasonal forecasts of Volta reservoir (</w:t>
      </w:r>
      <w:smartTag w:uri="urn:schemas-microsoft-com:office:smarttags" w:element="country-region">
        <w:smartTag w:uri="urn:schemas-microsoft-com:office:smarttags" w:element="place">
          <w:r>
            <w:rPr>
              <w:lang w:val="en-GB"/>
            </w:rPr>
            <w:t>Ghana</w:t>
          </w:r>
        </w:smartTag>
      </w:smartTag>
      <w:r>
        <w:rPr>
          <w:lang w:val="en-GB"/>
        </w:rPr>
        <w:t>) water volume inflow have been provided since 2003 for purposes of hydro-electric power generation management.</w:t>
      </w:r>
    </w:p>
    <w:p w14:paraId="562D7102" w14:textId="77777777" w:rsidR="00DD48FF" w:rsidRDefault="00DD48FF" w:rsidP="00DD48FF">
      <w:pPr>
        <w:numPr>
          <w:ilvl w:val="0"/>
          <w:numId w:val="20"/>
        </w:numPr>
        <w:jc w:val="both"/>
        <w:rPr>
          <w:lang w:val="en-GB"/>
        </w:rPr>
      </w:pPr>
      <w:r w:rsidRPr="001725D8">
        <w:rPr>
          <w:lang w:val="en-GB"/>
        </w:rPr>
        <w:t xml:space="preserve">Various other </w:t>
      </w:r>
      <w:r>
        <w:rPr>
          <w:lang w:val="en-GB"/>
        </w:rPr>
        <w:t>UK government and commercial organisations</w:t>
      </w:r>
      <w:r w:rsidRPr="001725D8">
        <w:rPr>
          <w:lang w:val="en-GB"/>
        </w:rPr>
        <w:t>.</w:t>
      </w:r>
    </w:p>
    <w:p w14:paraId="28553AD6" w14:textId="77777777" w:rsidR="00DD48FF" w:rsidRDefault="00DD48FF" w:rsidP="00DD48FF">
      <w:pPr>
        <w:ind w:left="720"/>
        <w:jc w:val="both"/>
        <w:rPr>
          <w:lang w:val="en-GB"/>
        </w:rPr>
      </w:pPr>
    </w:p>
    <w:p w14:paraId="68BEE6CD" w14:textId="77777777" w:rsidR="00DD48FF" w:rsidRPr="00DD48FF" w:rsidRDefault="00DD48FF" w:rsidP="00DD48FF">
      <w:pPr>
        <w:jc w:val="both"/>
        <w:rPr>
          <w:lang w:val="en-GB"/>
        </w:rPr>
      </w:pPr>
      <w:r w:rsidRPr="00DD48FF">
        <w:rPr>
          <w:b/>
          <w:lang w:val="en-GB"/>
        </w:rPr>
        <w:t>References</w:t>
      </w:r>
    </w:p>
    <w:p w14:paraId="7EA9361D" w14:textId="77777777" w:rsidR="00DD48FF" w:rsidRPr="00B13845" w:rsidRDefault="00DD48FF" w:rsidP="00DD48FF">
      <w:pPr>
        <w:jc w:val="both"/>
        <w:rPr>
          <w:lang w:val="en-US"/>
        </w:rPr>
      </w:pPr>
      <w:proofErr w:type="spellStart"/>
      <w:r w:rsidRPr="002B31B4">
        <w:rPr>
          <w:lang w:val="en-US"/>
        </w:rPr>
        <w:t>MacLachlan</w:t>
      </w:r>
      <w:proofErr w:type="spellEnd"/>
      <w:r w:rsidRPr="002B31B4">
        <w:rPr>
          <w:lang w:val="en-US"/>
        </w:rPr>
        <w:t xml:space="preserve">, C., </w:t>
      </w:r>
      <w:proofErr w:type="spellStart"/>
      <w:r w:rsidRPr="002B31B4">
        <w:rPr>
          <w:lang w:val="en-US"/>
        </w:rPr>
        <w:t>Arribas</w:t>
      </w:r>
      <w:proofErr w:type="spellEnd"/>
      <w:r w:rsidRPr="002B31B4">
        <w:rPr>
          <w:lang w:val="en-US"/>
        </w:rPr>
        <w:t xml:space="preserve">, A., Peterson, K. A., Maidens, A., </w:t>
      </w:r>
      <w:proofErr w:type="spellStart"/>
      <w:r w:rsidRPr="002B31B4">
        <w:rPr>
          <w:lang w:val="en-US"/>
        </w:rPr>
        <w:t>Fereday</w:t>
      </w:r>
      <w:proofErr w:type="spellEnd"/>
      <w:r w:rsidRPr="002B31B4">
        <w:rPr>
          <w:lang w:val="en-US"/>
        </w:rPr>
        <w:t xml:space="preserve">, D., </w:t>
      </w:r>
      <w:proofErr w:type="spellStart"/>
      <w:r w:rsidRPr="002B31B4">
        <w:rPr>
          <w:lang w:val="en-US"/>
        </w:rPr>
        <w:t>Scaife</w:t>
      </w:r>
      <w:proofErr w:type="spellEnd"/>
      <w:r w:rsidRPr="002B31B4">
        <w:rPr>
          <w:lang w:val="en-US"/>
        </w:rPr>
        <w:t xml:space="preserve">, A. A., Gordon, M., </w:t>
      </w:r>
      <w:proofErr w:type="spellStart"/>
      <w:r w:rsidRPr="002B31B4">
        <w:rPr>
          <w:lang w:val="en-US"/>
        </w:rPr>
        <w:t>Vellinga</w:t>
      </w:r>
      <w:proofErr w:type="spellEnd"/>
      <w:r w:rsidRPr="002B31B4">
        <w:rPr>
          <w:lang w:val="en-US"/>
        </w:rPr>
        <w:t xml:space="preserve">, M., Williams, A., Comer, R. E., Camp, J., Xavier, P. and </w:t>
      </w:r>
      <w:proofErr w:type="spellStart"/>
      <w:r w:rsidRPr="002B31B4">
        <w:rPr>
          <w:lang w:val="en-US"/>
        </w:rPr>
        <w:t>Madec</w:t>
      </w:r>
      <w:proofErr w:type="spellEnd"/>
      <w:r w:rsidRPr="002B31B4">
        <w:rPr>
          <w:lang w:val="en-US"/>
        </w:rPr>
        <w:t xml:space="preserve">, G. (2015), Global Seasonal forecast system version 5 (GloSea5): a high-resolution seasonal forecast system. Q.J.R. </w:t>
      </w:r>
      <w:proofErr w:type="spellStart"/>
      <w:r w:rsidRPr="002B31B4">
        <w:rPr>
          <w:lang w:val="en-US"/>
        </w:rPr>
        <w:t>Meteorol</w:t>
      </w:r>
      <w:proofErr w:type="spellEnd"/>
      <w:r w:rsidRPr="002B31B4">
        <w:rPr>
          <w:lang w:val="en-US"/>
        </w:rPr>
        <w:t xml:space="preserve">. Soc., 141: 1072–1084. </w:t>
      </w:r>
      <w:proofErr w:type="spellStart"/>
      <w:r w:rsidRPr="002B31B4">
        <w:rPr>
          <w:lang w:val="en-US"/>
        </w:rPr>
        <w:t>doi</w:t>
      </w:r>
      <w:proofErr w:type="spellEnd"/>
      <w:r w:rsidRPr="002B31B4">
        <w:rPr>
          <w:lang w:val="en-US"/>
        </w:rPr>
        <w:t>: 10.1002/qj.2396</w:t>
      </w:r>
    </w:p>
    <w:p w14:paraId="3C8DE91A" w14:textId="77777777" w:rsidR="00DD48FF" w:rsidRDefault="00DD48FF" w:rsidP="00DD48FF">
      <w:pPr>
        <w:jc w:val="both"/>
        <w:rPr>
          <w:lang w:val="en-GB"/>
        </w:rPr>
      </w:pPr>
    </w:p>
    <w:p w14:paraId="2B3459F2" w14:textId="77777777" w:rsidR="00DD48FF" w:rsidRPr="00607C5B" w:rsidRDefault="00DD48FF" w:rsidP="00DD48FF">
      <w:pPr>
        <w:jc w:val="both"/>
        <w:rPr>
          <w:lang w:val="en-GB"/>
        </w:rPr>
      </w:pPr>
      <w:r w:rsidRPr="00607C5B">
        <w:rPr>
          <w:lang w:val="en-GB"/>
        </w:rPr>
        <w:t xml:space="preserve">Smith, D. and co-authors, 2012: Real-time multi-model decadal predictions. </w:t>
      </w:r>
      <w:proofErr w:type="spellStart"/>
      <w:r w:rsidRPr="00607C5B">
        <w:rPr>
          <w:lang w:val="en-GB"/>
        </w:rPr>
        <w:t>Clim</w:t>
      </w:r>
      <w:proofErr w:type="spellEnd"/>
      <w:r w:rsidRPr="00607C5B">
        <w:rPr>
          <w:lang w:val="en-GB"/>
        </w:rPr>
        <w:t xml:space="preserve">. </w:t>
      </w:r>
      <w:proofErr w:type="spellStart"/>
      <w:r w:rsidRPr="00607C5B">
        <w:rPr>
          <w:lang w:val="en-GB"/>
        </w:rPr>
        <w:t>Dyn</w:t>
      </w:r>
      <w:proofErr w:type="spellEnd"/>
      <w:r w:rsidRPr="00607C5B">
        <w:rPr>
          <w:lang w:val="en-GB"/>
        </w:rPr>
        <w:t>.</w:t>
      </w:r>
    </w:p>
    <w:p w14:paraId="126B680B" w14:textId="77777777" w:rsidR="00DD48FF" w:rsidRDefault="00DD48FF" w:rsidP="001C73B1">
      <w:pPr>
        <w:jc w:val="both"/>
        <w:rPr>
          <w:lang w:val="en-GB"/>
        </w:rPr>
      </w:pPr>
      <w:r w:rsidRPr="00607C5B">
        <w:rPr>
          <w:lang w:val="en-GB"/>
        </w:rPr>
        <w:t>DOI 10.1007/s00382-012-1600-0</w:t>
      </w:r>
    </w:p>
    <w:p w14:paraId="3D831A47" w14:textId="77777777" w:rsidR="00C45548" w:rsidRDefault="00C45548" w:rsidP="001C73B1">
      <w:pPr>
        <w:jc w:val="both"/>
        <w:rPr>
          <w:lang w:val="en-GB"/>
        </w:rPr>
      </w:pPr>
    </w:p>
    <w:p w14:paraId="6993FD0B" w14:textId="77777777" w:rsidR="00C45548" w:rsidRPr="00C45548" w:rsidRDefault="00C45548" w:rsidP="00C45548">
      <w:pPr>
        <w:jc w:val="both"/>
      </w:pPr>
      <w:r w:rsidRPr="002B31B4">
        <w:rPr>
          <w:lang w:val="en-US"/>
        </w:rPr>
        <w:t xml:space="preserve">Williams, K. D., Harris, C. M., </w:t>
      </w:r>
      <w:proofErr w:type="spellStart"/>
      <w:r w:rsidRPr="002B31B4">
        <w:rPr>
          <w:lang w:val="en-US"/>
        </w:rPr>
        <w:t>Bodas</w:t>
      </w:r>
      <w:proofErr w:type="spellEnd"/>
      <w:r w:rsidRPr="002B31B4">
        <w:rPr>
          <w:lang w:val="en-US"/>
        </w:rPr>
        <w:t xml:space="preserve">-Salcedo, A., Camp, J., Comer, R. E., </w:t>
      </w:r>
      <w:proofErr w:type="spellStart"/>
      <w:r w:rsidRPr="002B31B4">
        <w:rPr>
          <w:lang w:val="en-US"/>
        </w:rPr>
        <w:t>Copsey</w:t>
      </w:r>
      <w:proofErr w:type="spellEnd"/>
      <w:r w:rsidRPr="002B31B4">
        <w:rPr>
          <w:lang w:val="en-US"/>
        </w:rPr>
        <w:t xml:space="preserve">, D., </w:t>
      </w:r>
      <w:proofErr w:type="spellStart"/>
      <w:r w:rsidRPr="002B31B4">
        <w:rPr>
          <w:lang w:val="en-US"/>
        </w:rPr>
        <w:t>Fereday</w:t>
      </w:r>
      <w:proofErr w:type="spellEnd"/>
      <w:r w:rsidRPr="002B31B4">
        <w:rPr>
          <w:lang w:val="en-US"/>
        </w:rPr>
        <w:t xml:space="preserve">, D., Graham, T., Hill, R., Hinton, T., </w:t>
      </w:r>
      <w:proofErr w:type="spellStart"/>
      <w:r w:rsidRPr="002B31B4">
        <w:rPr>
          <w:lang w:val="en-US"/>
        </w:rPr>
        <w:t>Hyder</w:t>
      </w:r>
      <w:proofErr w:type="spellEnd"/>
      <w:r w:rsidRPr="002B31B4">
        <w:rPr>
          <w:lang w:val="en-US"/>
        </w:rPr>
        <w:t xml:space="preserve">, P., </w:t>
      </w:r>
      <w:proofErr w:type="spellStart"/>
      <w:r w:rsidRPr="002B31B4">
        <w:rPr>
          <w:lang w:val="en-US"/>
        </w:rPr>
        <w:t>Ineson</w:t>
      </w:r>
      <w:proofErr w:type="spellEnd"/>
      <w:r w:rsidRPr="002B31B4">
        <w:rPr>
          <w:lang w:val="en-US"/>
        </w:rPr>
        <w:t xml:space="preserve">, S., Masato, G., Milton, S. F., Roberts, M. J., Rowell, D. P., Sanchez, C., Shelly, A., Sinha, B., Walters, D. N., West, A., </w:t>
      </w:r>
      <w:proofErr w:type="spellStart"/>
      <w:r w:rsidRPr="002B31B4">
        <w:rPr>
          <w:lang w:val="en-US"/>
        </w:rPr>
        <w:t>Woollings</w:t>
      </w:r>
      <w:proofErr w:type="spellEnd"/>
      <w:r w:rsidRPr="002B31B4">
        <w:rPr>
          <w:lang w:val="en-US"/>
        </w:rPr>
        <w:t xml:space="preserve">, T., and Xavier, P. K.: The Met Office Global Coupled model 2.0 (GC2) configuration, </w:t>
      </w:r>
      <w:proofErr w:type="spellStart"/>
      <w:r w:rsidRPr="002B31B4">
        <w:rPr>
          <w:lang w:val="en-US"/>
        </w:rPr>
        <w:t>Geosci</w:t>
      </w:r>
      <w:proofErr w:type="spellEnd"/>
      <w:r w:rsidRPr="002B31B4">
        <w:rPr>
          <w:lang w:val="en-US"/>
        </w:rPr>
        <w:t xml:space="preserve">. </w:t>
      </w:r>
      <w:r w:rsidRPr="00C45548">
        <w:t>Model Dev., 8, 1509-1524, doi:10.5194/gmd-8-1509-2015, 2015.</w:t>
      </w:r>
    </w:p>
    <w:p w14:paraId="6D5F745F" w14:textId="77777777" w:rsidR="00C45548" w:rsidRDefault="00C45548" w:rsidP="001C73B1">
      <w:pPr>
        <w:jc w:val="both"/>
      </w:pPr>
    </w:p>
    <w:p w14:paraId="02005780" w14:textId="77777777" w:rsidR="005B1949" w:rsidRPr="003B56C6" w:rsidRDefault="00B13845" w:rsidP="00B13845">
      <w:pPr>
        <w:jc w:val="center"/>
        <w:rPr>
          <w:rFonts w:cs="Arial"/>
          <w:lang w:val="en-US"/>
        </w:rPr>
      </w:pPr>
      <w:r w:rsidRPr="00FF73BC">
        <w:t>__________________</w:t>
      </w:r>
    </w:p>
    <w:sectPr w:rsidR="005B1949" w:rsidRPr="003B56C6">
      <w:headerReference w:type="default" r:id="rId24"/>
      <w:headerReference w:type="first" r:id="rId25"/>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1E503" w14:textId="77777777" w:rsidR="00E03878" w:rsidRDefault="00E03878">
      <w:r>
        <w:separator/>
      </w:r>
    </w:p>
  </w:endnote>
  <w:endnote w:type="continuationSeparator" w:id="0">
    <w:p w14:paraId="440DD9CF" w14:textId="77777777" w:rsidR="00E03878" w:rsidRDefault="00E0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73C5" w14:textId="77777777" w:rsidR="00E03878" w:rsidRDefault="00E03878">
      <w:r>
        <w:separator/>
      </w:r>
    </w:p>
  </w:footnote>
  <w:footnote w:type="continuationSeparator" w:id="0">
    <w:p w14:paraId="1E39B0DB" w14:textId="77777777" w:rsidR="00E03878" w:rsidRDefault="00E0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952E" w14:textId="5EAB31D3" w:rsidR="00B13845" w:rsidRPr="000E33FF" w:rsidRDefault="00B13845"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FE3DC4">
      <w:rPr>
        <w:rStyle w:val="PageNumber"/>
        <w:noProof/>
        <w:lang w:val="pt-PT"/>
      </w:rPr>
      <w:t>2</w:t>
    </w:r>
    <w:r w:rsidRPr="000E33FF">
      <w:rPr>
        <w:rStyle w:val="PageNumber"/>
      </w:rPr>
      <w:fldChar w:fldCharType="end"/>
    </w:r>
  </w:p>
  <w:p w14:paraId="187AB49E" w14:textId="77777777" w:rsidR="00B13845" w:rsidRPr="000E33FF" w:rsidRDefault="00B13845"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283A" w14:textId="77777777" w:rsidR="00B13845" w:rsidRDefault="00B13845">
    <w:pPr>
      <w:pStyle w:val="Header"/>
    </w:pPr>
  </w:p>
  <w:p w14:paraId="4AA13D2B" w14:textId="77777777" w:rsidR="00B13845" w:rsidRDefault="00B13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9504" w14:textId="67E8747F" w:rsidR="00B13845" w:rsidRPr="000E33FF" w:rsidRDefault="002B31B4" w:rsidP="000E33FF">
    <w:pPr>
      <w:pStyle w:val="Header"/>
      <w:jc w:val="right"/>
      <w:rPr>
        <w:rStyle w:val="PageNumber"/>
      </w:rPr>
    </w:pPr>
    <w:r w:rsidRPr="0017384C">
      <w:rPr>
        <w:color w:val="000000"/>
        <w:lang w:val="fr-FR"/>
      </w:rPr>
      <w:t>CBS-DPFS/ET-</w:t>
    </w:r>
    <w:r>
      <w:rPr>
        <w:color w:val="000000"/>
        <w:lang w:val="fr-FR"/>
      </w:rPr>
      <w:t>OPSLS</w:t>
    </w:r>
    <w:r w:rsidRPr="0017384C">
      <w:rPr>
        <w:color w:val="000000"/>
        <w:lang w:val="fr-FR"/>
      </w:rPr>
      <w:t xml:space="preserve"> /Doc. </w:t>
    </w:r>
    <w:r>
      <w:rPr>
        <w:color w:val="000000"/>
        <w:lang w:val="fr-FR"/>
      </w:rPr>
      <w:t>4.1(4)</w:t>
    </w:r>
    <w:r w:rsidR="00B13845" w:rsidRPr="00EC7FD3">
      <w:rPr>
        <w:rFonts w:cs="Arial"/>
        <w:lang w:val="fr-FR"/>
      </w:rPr>
      <w:t xml:space="preserve">, p. </w:t>
    </w:r>
    <w:r w:rsidR="00B13845" w:rsidRPr="000E33FF">
      <w:rPr>
        <w:rStyle w:val="PageNumber"/>
      </w:rPr>
      <w:fldChar w:fldCharType="begin"/>
    </w:r>
    <w:r w:rsidR="00B13845" w:rsidRPr="00EC7FD3">
      <w:rPr>
        <w:rStyle w:val="PageNumber"/>
        <w:lang w:val="fr-FR"/>
      </w:rPr>
      <w:instrText xml:space="preserve"> PAGE </w:instrText>
    </w:r>
    <w:r w:rsidR="00B13845" w:rsidRPr="000E33FF">
      <w:rPr>
        <w:rStyle w:val="PageNumber"/>
      </w:rPr>
      <w:fldChar w:fldCharType="separate"/>
    </w:r>
    <w:r w:rsidR="006367DC">
      <w:rPr>
        <w:rStyle w:val="PageNumber"/>
        <w:noProof/>
        <w:lang w:val="fr-FR"/>
      </w:rPr>
      <w:t>3</w:t>
    </w:r>
    <w:r w:rsidR="00B13845" w:rsidRPr="000E33FF">
      <w:rPr>
        <w:rStyle w:val="PageNumber"/>
      </w:rPr>
      <w:fldChar w:fldCharType="end"/>
    </w:r>
  </w:p>
  <w:p w14:paraId="568ABE67" w14:textId="77777777" w:rsidR="00B13845" w:rsidRPr="000E33FF" w:rsidRDefault="00B13845" w:rsidP="000E33FF">
    <w:pPr>
      <w:pStyle w:val="Heade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B12F" w14:textId="152A07A5" w:rsidR="00B13845" w:rsidRPr="000E33FF" w:rsidRDefault="002B31B4" w:rsidP="00604C71">
    <w:pPr>
      <w:jc w:val="right"/>
      <w:rPr>
        <w:rStyle w:val="PageNumber"/>
      </w:rPr>
    </w:pPr>
    <w:r w:rsidRPr="0017384C">
      <w:rPr>
        <w:color w:val="000000"/>
        <w:lang w:val="fr-FR"/>
      </w:rPr>
      <w:t>CBS-DPFS/ET-</w:t>
    </w:r>
    <w:r>
      <w:rPr>
        <w:color w:val="000000"/>
        <w:lang w:val="fr-FR"/>
      </w:rPr>
      <w:t>OPSLS</w:t>
    </w:r>
    <w:r w:rsidRPr="0017384C">
      <w:rPr>
        <w:color w:val="000000"/>
        <w:lang w:val="fr-FR"/>
      </w:rPr>
      <w:t xml:space="preserve"> /Doc. </w:t>
    </w:r>
    <w:r>
      <w:rPr>
        <w:color w:val="000000"/>
        <w:lang w:val="fr-FR"/>
      </w:rPr>
      <w:t>4.1(4)</w:t>
    </w:r>
    <w:r w:rsidR="00B13845" w:rsidRPr="00EC7FD3">
      <w:rPr>
        <w:rFonts w:cs="Arial"/>
        <w:lang w:val="fr-FR"/>
      </w:rPr>
      <w:t xml:space="preserve">, p. </w:t>
    </w:r>
    <w:r w:rsidR="00B13845" w:rsidRPr="000E33FF">
      <w:rPr>
        <w:rStyle w:val="PageNumber"/>
      </w:rPr>
      <w:fldChar w:fldCharType="begin"/>
    </w:r>
    <w:r w:rsidR="00B13845" w:rsidRPr="00EC7FD3">
      <w:rPr>
        <w:rStyle w:val="PageNumber"/>
        <w:lang w:val="fr-FR"/>
      </w:rPr>
      <w:instrText xml:space="preserve"> PAGE </w:instrText>
    </w:r>
    <w:r w:rsidR="00B13845" w:rsidRPr="000E33FF">
      <w:rPr>
        <w:rStyle w:val="PageNumber"/>
      </w:rPr>
      <w:fldChar w:fldCharType="separate"/>
    </w:r>
    <w:r w:rsidR="006367DC">
      <w:rPr>
        <w:rStyle w:val="PageNumber"/>
        <w:noProof/>
        <w:lang w:val="fr-FR"/>
      </w:rPr>
      <w:t>2</w:t>
    </w:r>
    <w:r w:rsidR="00B13845" w:rsidRPr="000E33FF">
      <w:rPr>
        <w:rStyle w:val="PageNumber"/>
      </w:rPr>
      <w:fldChar w:fldCharType="end"/>
    </w:r>
  </w:p>
  <w:p w14:paraId="345C34E9" w14:textId="77777777" w:rsidR="00B13845" w:rsidRDefault="00B13845" w:rsidP="00CB0EAD">
    <w:pPr>
      <w:pStyle w:val="Header"/>
      <w:jc w:val="right"/>
    </w:pPr>
  </w:p>
  <w:p w14:paraId="5066AA82" w14:textId="77777777" w:rsidR="00B13845" w:rsidRDefault="00B13845" w:rsidP="00CB0E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7FC7F43"/>
    <w:multiLevelType w:val="hybridMultilevel"/>
    <w:tmpl w:val="146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F833B9F"/>
    <w:multiLevelType w:val="hybridMultilevel"/>
    <w:tmpl w:val="075A56B4"/>
    <w:lvl w:ilvl="0" w:tplc="EC609CD6">
      <w:start w:val="1"/>
      <w:numFmt w:val="bullet"/>
      <w:lvlText w:val=""/>
      <w:lvlJc w:val="left"/>
      <w:pPr>
        <w:tabs>
          <w:tab w:val="num" w:pos="73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1A219B1"/>
    <w:multiLevelType w:val="multilevel"/>
    <w:tmpl w:val="821E168A"/>
    <w:lvl w:ilvl="0">
      <w:start w:val="1"/>
      <w:numFmt w:val="decimal"/>
      <w:lvlText w:val="%1"/>
      <w:lvlJc w:val="left"/>
      <w:pPr>
        <w:ind w:left="1134" w:hanging="1134"/>
      </w:pPr>
      <w:rPr>
        <w:rFonts w:hint="default"/>
        <w:i w:val="0"/>
      </w:rPr>
    </w:lvl>
    <w:lvl w:ilvl="1">
      <w:start w:val="1"/>
      <w:numFmt w:val="decimal"/>
      <w:lvlText w:val="%1.%2"/>
      <w:lvlJc w:val="left"/>
      <w:pPr>
        <w:ind w:left="1134" w:hanging="1134"/>
      </w:pPr>
      <w:rPr>
        <w:rFonts w:hint="default"/>
        <w:i w:val="0"/>
      </w:rPr>
    </w:lvl>
    <w:lvl w:ilvl="2">
      <w:start w:val="1"/>
      <w:numFmt w:val="decimal"/>
      <w:lvlText w:val="%1.%2.%3"/>
      <w:lvlJc w:val="left"/>
      <w:pPr>
        <w:ind w:left="1134" w:hanging="1134"/>
      </w:pPr>
      <w:rPr>
        <w:rFonts w:hint="default"/>
        <w:i w:val="0"/>
      </w:rPr>
    </w:lvl>
    <w:lvl w:ilvl="3">
      <w:start w:val="1"/>
      <w:numFmt w:val="decimal"/>
      <w:lvlText w:val="%1.%2.%3.%4"/>
      <w:lvlJc w:val="left"/>
      <w:pPr>
        <w:ind w:left="1134" w:hanging="1134"/>
      </w:pPr>
      <w:rPr>
        <w:rFonts w:hint="default"/>
        <w:i w:val="0"/>
      </w:rPr>
    </w:lvl>
    <w:lvl w:ilvl="4">
      <w:start w:val="1"/>
      <w:numFmt w:val="decimal"/>
      <w:lvlText w:val="%1.%2.%3.%4.%5"/>
      <w:lvlJc w:val="left"/>
      <w:pPr>
        <w:ind w:left="1134" w:hanging="1134"/>
      </w:pPr>
      <w:rPr>
        <w:rFonts w:hint="default"/>
        <w:i w:val="0"/>
      </w:rPr>
    </w:lvl>
    <w:lvl w:ilvl="5">
      <w:start w:val="1"/>
      <w:numFmt w:val="decimal"/>
      <w:lvlText w:val="%1.%2.%3.%4.%5.%6"/>
      <w:lvlJc w:val="left"/>
      <w:pPr>
        <w:ind w:left="1134" w:hanging="1134"/>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C902D05"/>
    <w:multiLevelType w:val="hybridMultilevel"/>
    <w:tmpl w:val="9FBA158A"/>
    <w:lvl w:ilvl="0" w:tplc="D0E67D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EB613E3"/>
    <w:multiLevelType w:val="hybridMultilevel"/>
    <w:tmpl w:val="0322A908"/>
    <w:lvl w:ilvl="0" w:tplc="8E9C5F0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B1981"/>
    <w:multiLevelType w:val="hybridMultilevel"/>
    <w:tmpl w:val="4F6063FC"/>
    <w:lvl w:ilvl="0" w:tplc="BAC6E5DA">
      <w:start w:val="1"/>
      <w:numFmt w:val="bullet"/>
      <w:lvlText w:val=""/>
      <w:lvlJc w:val="left"/>
      <w:pPr>
        <w:tabs>
          <w:tab w:val="num" w:pos="510"/>
        </w:tabs>
        <w:ind w:left="796" w:hanging="45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6">
    <w:nsid w:val="52EE4DD6"/>
    <w:multiLevelType w:val="multilevel"/>
    <w:tmpl w:val="91B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4035D6"/>
    <w:multiLevelType w:val="hybridMultilevel"/>
    <w:tmpl w:val="3C5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74867F4"/>
    <w:multiLevelType w:val="hybridMultilevel"/>
    <w:tmpl w:val="EAB48F58"/>
    <w:lvl w:ilvl="0" w:tplc="EC609CD6">
      <w:start w:val="1"/>
      <w:numFmt w:val="bullet"/>
      <w:lvlText w:val=""/>
      <w:lvlJc w:val="left"/>
      <w:pPr>
        <w:tabs>
          <w:tab w:val="num" w:pos="73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9"/>
  </w:num>
  <w:num w:numId="3">
    <w:abstractNumId w:val="8"/>
  </w:num>
  <w:num w:numId="4">
    <w:abstractNumId w:val="13"/>
  </w:num>
  <w:num w:numId="5">
    <w:abstractNumId w:val="14"/>
  </w:num>
  <w:num w:numId="6">
    <w:abstractNumId w:val="21"/>
  </w:num>
  <w:num w:numId="7">
    <w:abstractNumId w:val="3"/>
  </w:num>
  <w:num w:numId="8">
    <w:abstractNumId w:val="2"/>
  </w:num>
  <w:num w:numId="9">
    <w:abstractNumId w:val="9"/>
  </w:num>
  <w:num w:numId="10">
    <w:abstractNumId w:val="7"/>
  </w:num>
  <w:num w:numId="11">
    <w:abstractNumId w:val="22"/>
  </w:num>
  <w:num w:numId="12">
    <w:abstractNumId w:val="20"/>
  </w:num>
  <w:num w:numId="13">
    <w:abstractNumId w:val="15"/>
  </w:num>
  <w:num w:numId="14">
    <w:abstractNumId w:val="17"/>
  </w:num>
  <w:num w:numId="15">
    <w:abstractNumId w:val="24"/>
  </w:num>
  <w:num w:numId="16">
    <w:abstractNumId w:val="5"/>
  </w:num>
  <w:num w:numId="17">
    <w:abstractNumId w:val="11"/>
  </w:num>
  <w:num w:numId="18">
    <w:abstractNumId w:val="10"/>
  </w:num>
  <w:num w:numId="19">
    <w:abstractNumId w:val="12"/>
  </w:num>
  <w:num w:numId="20">
    <w:abstractNumId w:val="4"/>
  </w:num>
  <w:num w:numId="21">
    <w:abstractNumId w:val="23"/>
  </w:num>
  <w:num w:numId="22">
    <w:abstractNumId w:val="6"/>
  </w:num>
  <w:num w:numId="23">
    <w:abstractNumId w:val="18"/>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E"/>
    <w:rsid w:val="000046CA"/>
    <w:rsid w:val="00096BEB"/>
    <w:rsid w:val="000E33FF"/>
    <w:rsid w:val="000F532A"/>
    <w:rsid w:val="000F5B9C"/>
    <w:rsid w:val="001007F0"/>
    <w:rsid w:val="00123308"/>
    <w:rsid w:val="00134263"/>
    <w:rsid w:val="00147267"/>
    <w:rsid w:val="001520D7"/>
    <w:rsid w:val="00156040"/>
    <w:rsid w:val="00172B35"/>
    <w:rsid w:val="001A1F5E"/>
    <w:rsid w:val="001B7E9E"/>
    <w:rsid w:val="001C40E4"/>
    <w:rsid w:val="001C73B1"/>
    <w:rsid w:val="001F07AB"/>
    <w:rsid w:val="00226279"/>
    <w:rsid w:val="002613FE"/>
    <w:rsid w:val="002B31B4"/>
    <w:rsid w:val="002D193E"/>
    <w:rsid w:val="002E6927"/>
    <w:rsid w:val="003146EC"/>
    <w:rsid w:val="003419F6"/>
    <w:rsid w:val="00341E34"/>
    <w:rsid w:val="00342BB3"/>
    <w:rsid w:val="003630EF"/>
    <w:rsid w:val="00373D74"/>
    <w:rsid w:val="00387792"/>
    <w:rsid w:val="003A5DA5"/>
    <w:rsid w:val="003B56C6"/>
    <w:rsid w:val="003C4A68"/>
    <w:rsid w:val="003C69A3"/>
    <w:rsid w:val="003E2B07"/>
    <w:rsid w:val="003F2080"/>
    <w:rsid w:val="00404C86"/>
    <w:rsid w:val="00492A29"/>
    <w:rsid w:val="004A2F46"/>
    <w:rsid w:val="004D3828"/>
    <w:rsid w:val="004F24F2"/>
    <w:rsid w:val="00546D4A"/>
    <w:rsid w:val="00547975"/>
    <w:rsid w:val="005B1949"/>
    <w:rsid w:val="005B6634"/>
    <w:rsid w:val="00604C71"/>
    <w:rsid w:val="00605635"/>
    <w:rsid w:val="00616C0A"/>
    <w:rsid w:val="0063333A"/>
    <w:rsid w:val="006367DC"/>
    <w:rsid w:val="00654F8D"/>
    <w:rsid w:val="00656CFD"/>
    <w:rsid w:val="00674455"/>
    <w:rsid w:val="00676D9C"/>
    <w:rsid w:val="006B71B0"/>
    <w:rsid w:val="006C53DA"/>
    <w:rsid w:val="00705202"/>
    <w:rsid w:val="00770EE7"/>
    <w:rsid w:val="00775D85"/>
    <w:rsid w:val="0078289D"/>
    <w:rsid w:val="00793916"/>
    <w:rsid w:val="007C125B"/>
    <w:rsid w:val="007E12A3"/>
    <w:rsid w:val="0083130A"/>
    <w:rsid w:val="00836925"/>
    <w:rsid w:val="008414E0"/>
    <w:rsid w:val="00893550"/>
    <w:rsid w:val="008A20F1"/>
    <w:rsid w:val="008B485A"/>
    <w:rsid w:val="00902160"/>
    <w:rsid w:val="00904476"/>
    <w:rsid w:val="009742D9"/>
    <w:rsid w:val="00994FEF"/>
    <w:rsid w:val="009E1BB6"/>
    <w:rsid w:val="00A33C32"/>
    <w:rsid w:val="00A655F1"/>
    <w:rsid w:val="00A85402"/>
    <w:rsid w:val="00AD5004"/>
    <w:rsid w:val="00AF4610"/>
    <w:rsid w:val="00B13845"/>
    <w:rsid w:val="00B413B8"/>
    <w:rsid w:val="00B6267F"/>
    <w:rsid w:val="00B9070B"/>
    <w:rsid w:val="00BD1D23"/>
    <w:rsid w:val="00C45548"/>
    <w:rsid w:val="00C50A59"/>
    <w:rsid w:val="00C74D96"/>
    <w:rsid w:val="00CA4BA9"/>
    <w:rsid w:val="00CB0EAD"/>
    <w:rsid w:val="00CD6CE9"/>
    <w:rsid w:val="00D048CE"/>
    <w:rsid w:val="00D760B5"/>
    <w:rsid w:val="00DA1D32"/>
    <w:rsid w:val="00DD48FF"/>
    <w:rsid w:val="00DE3B6A"/>
    <w:rsid w:val="00DE3C84"/>
    <w:rsid w:val="00E03878"/>
    <w:rsid w:val="00E50D14"/>
    <w:rsid w:val="00E67563"/>
    <w:rsid w:val="00E75E7A"/>
    <w:rsid w:val="00E77D47"/>
    <w:rsid w:val="00E815E9"/>
    <w:rsid w:val="00E937F0"/>
    <w:rsid w:val="00EC7FD3"/>
    <w:rsid w:val="00F151F9"/>
    <w:rsid w:val="00F44650"/>
    <w:rsid w:val="00F81F55"/>
    <w:rsid w:val="00F82166"/>
    <w:rsid w:val="00FE3D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6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character" w:styleId="FollowedHyperlink">
    <w:name w:val="FollowedHyperlink"/>
    <w:rsid w:val="003C4A68"/>
    <w:rPr>
      <w:color w:val="954F72"/>
      <w:u w:val="single"/>
    </w:rPr>
  </w:style>
  <w:style w:type="character" w:styleId="CommentReference">
    <w:name w:val="annotation reference"/>
    <w:basedOn w:val="DefaultParagraphFont"/>
    <w:rsid w:val="00836925"/>
    <w:rPr>
      <w:sz w:val="16"/>
      <w:szCs w:val="16"/>
    </w:rPr>
  </w:style>
  <w:style w:type="paragraph" w:styleId="CommentText">
    <w:name w:val="annotation text"/>
    <w:basedOn w:val="Normal"/>
    <w:link w:val="CommentTextChar"/>
    <w:rsid w:val="00836925"/>
    <w:rPr>
      <w:sz w:val="20"/>
      <w:szCs w:val="20"/>
    </w:rPr>
  </w:style>
  <w:style w:type="character" w:customStyle="1" w:styleId="CommentTextChar">
    <w:name w:val="Comment Text Char"/>
    <w:basedOn w:val="DefaultParagraphFont"/>
    <w:link w:val="CommentText"/>
    <w:rsid w:val="00836925"/>
    <w:rPr>
      <w:rFonts w:ascii="Arial" w:hAnsi="Arial"/>
      <w:lang w:val="fr-CH" w:eastAsia="zh-CN"/>
    </w:rPr>
  </w:style>
  <w:style w:type="paragraph" w:styleId="CommentSubject">
    <w:name w:val="annotation subject"/>
    <w:basedOn w:val="CommentText"/>
    <w:next w:val="CommentText"/>
    <w:link w:val="CommentSubjectChar"/>
    <w:rsid w:val="00836925"/>
    <w:rPr>
      <w:b/>
      <w:bCs/>
    </w:rPr>
  </w:style>
  <w:style w:type="character" w:customStyle="1" w:styleId="CommentSubjectChar">
    <w:name w:val="Comment Subject Char"/>
    <w:basedOn w:val="CommentTextChar"/>
    <w:link w:val="CommentSubject"/>
    <w:rsid w:val="00836925"/>
    <w:rPr>
      <w:rFonts w:ascii="Arial" w:hAnsi="Arial"/>
      <w:b/>
      <w:bCs/>
      <w:lang w:val="fr-CH" w:eastAsia="zh-CN"/>
    </w:rPr>
  </w:style>
  <w:style w:type="paragraph" w:styleId="BalloonText">
    <w:name w:val="Balloon Text"/>
    <w:basedOn w:val="Normal"/>
    <w:link w:val="BalloonTextChar"/>
    <w:rsid w:val="00836925"/>
    <w:rPr>
      <w:rFonts w:ascii="Segoe UI" w:hAnsi="Segoe UI" w:cs="Segoe UI"/>
      <w:sz w:val="18"/>
      <w:szCs w:val="18"/>
    </w:rPr>
  </w:style>
  <w:style w:type="character" w:customStyle="1" w:styleId="BalloonTextChar">
    <w:name w:val="Balloon Text Char"/>
    <w:basedOn w:val="DefaultParagraphFont"/>
    <w:link w:val="BalloonText"/>
    <w:rsid w:val="00836925"/>
    <w:rPr>
      <w:rFonts w:ascii="Segoe UI" w:hAnsi="Segoe UI" w:cs="Segoe UI"/>
      <w:sz w:val="18"/>
      <w:szCs w:val="18"/>
      <w:lang w:val="fr-CH" w:eastAsia="zh-CN"/>
    </w:rPr>
  </w:style>
  <w:style w:type="paragraph" w:styleId="ListParagraph">
    <w:name w:val="List Paragraph"/>
    <w:basedOn w:val="Normal"/>
    <w:uiPriority w:val="34"/>
    <w:qFormat/>
    <w:rsid w:val="00F151F9"/>
    <w:pPr>
      <w:spacing w:after="200" w:line="276" w:lineRule="auto"/>
      <w:ind w:left="720"/>
      <w:contextualSpacing/>
    </w:pPr>
    <w:rPr>
      <w:rFonts w:asciiTheme="minorHAnsi" w:eastAsiaTheme="minorHAnsi" w:hAnsiTheme="minorHAnsi" w:cstheme="minorBid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6267F"/>
    <w:rPr>
      <w:rFonts w:ascii="Arial" w:eastAsia="Times New Roman" w:hAnsi="Arial"/>
      <w:b/>
      <w:bCs/>
      <w:sz w:val="22"/>
      <w:szCs w:val="22"/>
      <w:lang w:val="en-GB" w:eastAsia="en-US"/>
    </w:rPr>
  </w:style>
  <w:style w:type="character" w:styleId="FollowedHyperlink">
    <w:name w:val="FollowedHyperlink"/>
    <w:rsid w:val="003C4A68"/>
    <w:rPr>
      <w:color w:val="954F72"/>
      <w:u w:val="single"/>
    </w:rPr>
  </w:style>
  <w:style w:type="character" w:styleId="CommentReference">
    <w:name w:val="annotation reference"/>
    <w:basedOn w:val="DefaultParagraphFont"/>
    <w:rsid w:val="00836925"/>
    <w:rPr>
      <w:sz w:val="16"/>
      <w:szCs w:val="16"/>
    </w:rPr>
  </w:style>
  <w:style w:type="paragraph" w:styleId="CommentText">
    <w:name w:val="annotation text"/>
    <w:basedOn w:val="Normal"/>
    <w:link w:val="CommentTextChar"/>
    <w:rsid w:val="00836925"/>
    <w:rPr>
      <w:sz w:val="20"/>
      <w:szCs w:val="20"/>
    </w:rPr>
  </w:style>
  <w:style w:type="character" w:customStyle="1" w:styleId="CommentTextChar">
    <w:name w:val="Comment Text Char"/>
    <w:basedOn w:val="DefaultParagraphFont"/>
    <w:link w:val="CommentText"/>
    <w:rsid w:val="00836925"/>
    <w:rPr>
      <w:rFonts w:ascii="Arial" w:hAnsi="Arial"/>
      <w:lang w:val="fr-CH" w:eastAsia="zh-CN"/>
    </w:rPr>
  </w:style>
  <w:style w:type="paragraph" w:styleId="CommentSubject">
    <w:name w:val="annotation subject"/>
    <w:basedOn w:val="CommentText"/>
    <w:next w:val="CommentText"/>
    <w:link w:val="CommentSubjectChar"/>
    <w:rsid w:val="00836925"/>
    <w:rPr>
      <w:b/>
      <w:bCs/>
    </w:rPr>
  </w:style>
  <w:style w:type="character" w:customStyle="1" w:styleId="CommentSubjectChar">
    <w:name w:val="Comment Subject Char"/>
    <w:basedOn w:val="CommentTextChar"/>
    <w:link w:val="CommentSubject"/>
    <w:rsid w:val="00836925"/>
    <w:rPr>
      <w:rFonts w:ascii="Arial" w:hAnsi="Arial"/>
      <w:b/>
      <w:bCs/>
      <w:lang w:val="fr-CH" w:eastAsia="zh-CN"/>
    </w:rPr>
  </w:style>
  <w:style w:type="paragraph" w:styleId="BalloonText">
    <w:name w:val="Balloon Text"/>
    <w:basedOn w:val="Normal"/>
    <w:link w:val="BalloonTextChar"/>
    <w:rsid w:val="00836925"/>
    <w:rPr>
      <w:rFonts w:ascii="Segoe UI" w:hAnsi="Segoe UI" w:cs="Segoe UI"/>
      <w:sz w:val="18"/>
      <w:szCs w:val="18"/>
    </w:rPr>
  </w:style>
  <w:style w:type="character" w:customStyle="1" w:styleId="BalloonTextChar">
    <w:name w:val="Balloon Text Char"/>
    <w:basedOn w:val="DefaultParagraphFont"/>
    <w:link w:val="BalloonText"/>
    <w:rsid w:val="00836925"/>
    <w:rPr>
      <w:rFonts w:ascii="Segoe UI" w:hAnsi="Segoe UI" w:cs="Segoe UI"/>
      <w:sz w:val="18"/>
      <w:szCs w:val="18"/>
      <w:lang w:val="fr-CH" w:eastAsia="zh-CN"/>
    </w:rPr>
  </w:style>
  <w:style w:type="paragraph" w:styleId="ListParagraph">
    <w:name w:val="List Paragraph"/>
    <w:basedOn w:val="Normal"/>
    <w:uiPriority w:val="34"/>
    <w:qFormat/>
    <w:rsid w:val="00F151F9"/>
    <w:pPr>
      <w:spacing w:after="200" w:line="276" w:lineRule="auto"/>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93422">
      <w:bodyDiv w:val="1"/>
      <w:marLeft w:val="0"/>
      <w:marRight w:val="0"/>
      <w:marTop w:val="0"/>
      <w:marBottom w:val="0"/>
      <w:divBdr>
        <w:top w:val="none" w:sz="0" w:space="0" w:color="auto"/>
        <w:left w:val="none" w:sz="0" w:space="0" w:color="auto"/>
        <w:bottom w:val="none" w:sz="0" w:space="0" w:color="auto"/>
        <w:right w:val="none" w:sz="0" w:space="0" w:color="auto"/>
      </w:divBdr>
    </w:div>
    <w:div w:id="20250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ridl.ldeo.columbia.edu/SOURCES/.UKMO/" TargetMode="External"/><Relationship Id="rId18" Type="http://schemas.openxmlformats.org/officeDocument/2006/relationships/hyperlink" Target="http://www.bom.gov.au/wmo/lrfv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toffice.gov.uk/research/climate/seasonal-to-decadal/gpc-outlooks" TargetMode="External"/><Relationship Id="rId7" Type="http://schemas.openxmlformats.org/officeDocument/2006/relationships/endnotes" Target="endnotes.xml"/><Relationship Id="rId12" Type="http://schemas.openxmlformats.org/officeDocument/2006/relationships/hyperlink" Target="http://www.wmolc.org" TargetMode="External"/><Relationship Id="rId17" Type="http://schemas.openxmlformats.org/officeDocument/2006/relationships/hyperlink" Target="http://www.metoffice.gov.uk/research/climate/seasonal-to-decadal/gpc-outlook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metoffice.gov.uk/research/climate/seasonal-to-decadal/gpc-outlooks" TargetMode="External"/><Relationship Id="rId20" Type="http://schemas.openxmlformats.org/officeDocument/2006/relationships/hyperlink" Target="http://www.bom.gov.au/wmo/lrfv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office.gov.uk/research/climate/seasonal-to-decadal/gpc-outlook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m.gov.au/wmo/lrfvs/" TargetMode="External"/><Relationship Id="rId23" Type="http://schemas.openxmlformats.org/officeDocument/2006/relationships/hyperlink" Target="http://www.metoffice.gov.uk/research/climate/seasonal-to-decadal/long-range/forecasts" TargetMode="External"/><Relationship Id="rId10" Type="http://schemas.openxmlformats.org/officeDocument/2006/relationships/hyperlink" Target="http://www.metoffice.gov.uk/research/news/2014/endgame-a-new-dynamical-core" TargetMode="External"/><Relationship Id="rId19" Type="http://schemas.openxmlformats.org/officeDocument/2006/relationships/hyperlink" Target="http://www.metoffice.gov.uk/research/climate/seasonal-to-decadal/gpc-outlook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toffice.gov.uk/research/climate/seasonal-to-decadal/gpc-outlooks" TargetMode="External"/><Relationship Id="rId22" Type="http://schemas.openxmlformats.org/officeDocument/2006/relationships/hyperlink" Target="http://iridl.ldeo.columbia.edu/SOURCES/.UKM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CBS SWFDP-SG Feb 2010</vt:lpstr>
    </vt:vector>
  </TitlesOfParts>
  <Company>wmo</Company>
  <LinksUpToDate>false</LinksUpToDate>
  <CharactersWithSpaces>15585</CharactersWithSpaces>
  <SharedDoc>false</SharedDoc>
  <HLinks>
    <vt:vector size="96" baseType="variant">
      <vt:variant>
        <vt:i4>7340064</vt:i4>
      </vt:variant>
      <vt:variant>
        <vt:i4>45</vt:i4>
      </vt:variant>
      <vt:variant>
        <vt:i4>0</vt:i4>
      </vt:variant>
      <vt:variant>
        <vt:i4>5</vt:i4>
      </vt:variant>
      <vt:variant>
        <vt:lpwstr>http://www.metoffice.gov.uk/media/pdf/8/m/Workshop2011.pdf</vt:lpwstr>
      </vt:variant>
      <vt:variant>
        <vt:lpwstr/>
      </vt:variant>
      <vt:variant>
        <vt:i4>5177439</vt:i4>
      </vt:variant>
      <vt:variant>
        <vt:i4>42</vt:i4>
      </vt:variant>
      <vt:variant>
        <vt:i4>0</vt:i4>
      </vt:variant>
      <vt:variant>
        <vt:i4>5</vt:i4>
      </vt:variant>
      <vt:variant>
        <vt:lpwstr>http://www.metoffice.gov.uk/research/climate/seasonal-to-decadal/long-range/forecasts</vt:lpwstr>
      </vt:variant>
      <vt:variant>
        <vt:lpwstr/>
      </vt:variant>
      <vt:variant>
        <vt:i4>8126518</vt:i4>
      </vt:variant>
      <vt:variant>
        <vt:i4>39</vt:i4>
      </vt:variant>
      <vt:variant>
        <vt:i4>0</vt:i4>
      </vt:variant>
      <vt:variant>
        <vt:i4>5</vt:i4>
      </vt:variant>
      <vt:variant>
        <vt:lpwstr>http://www.metoffice.gov.uk/research/climate/seasonal-to-decadal/long-range/decadal-multimodel</vt:lpwstr>
      </vt:variant>
      <vt:variant>
        <vt:lpwstr/>
      </vt:variant>
      <vt:variant>
        <vt:i4>5570587</vt:i4>
      </vt:variant>
      <vt:variant>
        <vt:i4>36</vt:i4>
      </vt:variant>
      <vt:variant>
        <vt:i4>0</vt:i4>
      </vt:variant>
      <vt:variant>
        <vt:i4>5</vt:i4>
      </vt:variant>
      <vt:variant>
        <vt:lpwstr>http://iridl.ldeo.columbia.edu/SOURCES/.UKMO/</vt:lpwstr>
      </vt:variant>
      <vt:variant>
        <vt:lpwstr/>
      </vt:variant>
      <vt:variant>
        <vt:i4>5046273</vt:i4>
      </vt:variant>
      <vt:variant>
        <vt:i4>33</vt:i4>
      </vt:variant>
      <vt:variant>
        <vt:i4>0</vt:i4>
      </vt:variant>
      <vt:variant>
        <vt:i4>5</vt:i4>
      </vt:variant>
      <vt:variant>
        <vt:lpwstr>http://www.metoffice.gov.uk/research/climate/seasonal-to-decadal/gpc-outlooks</vt:lpwstr>
      </vt:variant>
      <vt:variant>
        <vt:lpwstr/>
      </vt:variant>
      <vt:variant>
        <vt:i4>1179716</vt:i4>
      </vt:variant>
      <vt:variant>
        <vt:i4>30</vt:i4>
      </vt:variant>
      <vt:variant>
        <vt:i4>0</vt:i4>
      </vt:variant>
      <vt:variant>
        <vt:i4>5</vt:i4>
      </vt:variant>
      <vt:variant>
        <vt:lpwstr>http://www.bom.gov.au/wmo/lrfvs/</vt:lpwstr>
      </vt:variant>
      <vt:variant>
        <vt:lpwstr/>
      </vt:variant>
      <vt:variant>
        <vt:i4>5046273</vt:i4>
      </vt:variant>
      <vt:variant>
        <vt:i4>27</vt:i4>
      </vt:variant>
      <vt:variant>
        <vt:i4>0</vt:i4>
      </vt:variant>
      <vt:variant>
        <vt:i4>5</vt:i4>
      </vt:variant>
      <vt:variant>
        <vt:lpwstr>http://www.metoffice.gov.uk/research/climate/seasonal-to-decadal/gpc-outlooks</vt:lpwstr>
      </vt:variant>
      <vt:variant>
        <vt:lpwstr/>
      </vt:variant>
      <vt:variant>
        <vt:i4>1179716</vt:i4>
      </vt:variant>
      <vt:variant>
        <vt:i4>24</vt:i4>
      </vt:variant>
      <vt:variant>
        <vt:i4>0</vt:i4>
      </vt:variant>
      <vt:variant>
        <vt:i4>5</vt:i4>
      </vt:variant>
      <vt:variant>
        <vt:lpwstr>http://www.bom.gov.au/wmo/lrfvs/</vt:lpwstr>
      </vt:variant>
      <vt:variant>
        <vt:lpwstr/>
      </vt:variant>
      <vt:variant>
        <vt:i4>5046273</vt:i4>
      </vt:variant>
      <vt:variant>
        <vt:i4>21</vt:i4>
      </vt:variant>
      <vt:variant>
        <vt:i4>0</vt:i4>
      </vt:variant>
      <vt:variant>
        <vt:i4>5</vt:i4>
      </vt:variant>
      <vt:variant>
        <vt:lpwstr>http://www.metoffice.gov.uk/research/climate/seasonal-to-decadal/gpc-outlooks</vt:lpwstr>
      </vt:variant>
      <vt:variant>
        <vt:lpwstr/>
      </vt:variant>
      <vt:variant>
        <vt:i4>5046273</vt:i4>
      </vt:variant>
      <vt:variant>
        <vt:i4>18</vt:i4>
      </vt:variant>
      <vt:variant>
        <vt:i4>0</vt:i4>
      </vt:variant>
      <vt:variant>
        <vt:i4>5</vt:i4>
      </vt:variant>
      <vt:variant>
        <vt:lpwstr>http://www.metoffice.gov.uk/research/climate/seasonal-to-decadal/gpc-outlooks</vt:lpwstr>
      </vt:variant>
      <vt:variant>
        <vt:lpwstr/>
      </vt:variant>
      <vt:variant>
        <vt:i4>1179716</vt:i4>
      </vt:variant>
      <vt:variant>
        <vt:i4>15</vt:i4>
      </vt:variant>
      <vt:variant>
        <vt:i4>0</vt:i4>
      </vt:variant>
      <vt:variant>
        <vt:i4>5</vt:i4>
      </vt:variant>
      <vt:variant>
        <vt:lpwstr>http://www.bom.gov.au/wmo/lrfvs/</vt:lpwstr>
      </vt:variant>
      <vt:variant>
        <vt:lpwstr/>
      </vt:variant>
      <vt:variant>
        <vt:i4>5046273</vt:i4>
      </vt:variant>
      <vt:variant>
        <vt:i4>12</vt:i4>
      </vt:variant>
      <vt:variant>
        <vt:i4>0</vt:i4>
      </vt:variant>
      <vt:variant>
        <vt:i4>5</vt:i4>
      </vt:variant>
      <vt:variant>
        <vt:lpwstr>http://www.metoffice.gov.uk/research/climate/seasonal-to-decadal/gpc-outlooks</vt:lpwstr>
      </vt:variant>
      <vt:variant>
        <vt:lpwstr/>
      </vt:variant>
      <vt:variant>
        <vt:i4>5570587</vt:i4>
      </vt:variant>
      <vt:variant>
        <vt:i4>9</vt:i4>
      </vt:variant>
      <vt:variant>
        <vt:i4>0</vt:i4>
      </vt:variant>
      <vt:variant>
        <vt:i4>5</vt:i4>
      </vt:variant>
      <vt:variant>
        <vt:lpwstr>http://iridl.ldeo.columbia.edu/SOURCES/.UKMO/</vt:lpwstr>
      </vt:variant>
      <vt:variant>
        <vt:lpwstr/>
      </vt:variant>
      <vt:variant>
        <vt:i4>5767181</vt:i4>
      </vt:variant>
      <vt:variant>
        <vt:i4>6</vt:i4>
      </vt:variant>
      <vt:variant>
        <vt:i4>0</vt:i4>
      </vt:variant>
      <vt:variant>
        <vt:i4>5</vt:i4>
      </vt:variant>
      <vt:variant>
        <vt:lpwstr>http://www.wmolc.org/</vt:lpwstr>
      </vt:variant>
      <vt:variant>
        <vt:lpwstr/>
      </vt:variant>
      <vt:variant>
        <vt:i4>5046273</vt:i4>
      </vt:variant>
      <vt:variant>
        <vt:i4>3</vt:i4>
      </vt:variant>
      <vt:variant>
        <vt:i4>0</vt:i4>
      </vt:variant>
      <vt:variant>
        <vt:i4>5</vt:i4>
      </vt:variant>
      <vt:variant>
        <vt:lpwstr>http://www.metoffice.gov.uk/research/climate/seasonal-to-decadal/gpc-outlooks</vt:lpwstr>
      </vt:variant>
      <vt:variant>
        <vt:lpwstr/>
      </vt:variant>
      <vt:variant>
        <vt:i4>4128819</vt:i4>
      </vt:variant>
      <vt:variant>
        <vt:i4>0</vt:i4>
      </vt:variant>
      <vt:variant>
        <vt:i4>0</vt:i4>
      </vt:variant>
      <vt:variant>
        <vt:i4>5</vt:i4>
      </vt:variant>
      <vt:variant>
        <vt:lpwstr>http://www.metoffice.gov.uk/research/news/2014/endgame-a-new-dynamical-core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creator>Soares A</dc:creator>
  <cp:lastModifiedBy>Pascale Gomez</cp:lastModifiedBy>
  <cp:revision>2</cp:revision>
  <cp:lastPrinted>2005-10-10T11:27:00Z</cp:lastPrinted>
  <dcterms:created xsi:type="dcterms:W3CDTF">2018-05-25T06:55:00Z</dcterms:created>
  <dcterms:modified xsi:type="dcterms:W3CDTF">2018-05-25T06:55:00Z</dcterms:modified>
</cp:coreProperties>
</file>