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D66575">
        <w:tc>
          <w:tcPr>
            <w:tcW w:w="5564" w:type="dxa"/>
          </w:tcPr>
          <w:p w:rsidR="00A44FF4" w:rsidRPr="00D66575" w:rsidRDefault="00A44FF4" w:rsidP="00A44FF4">
            <w:pPr>
              <w:pStyle w:val="Heading1"/>
              <w:rPr>
                <w:rFonts w:cs="Arial"/>
                <w:noProof/>
              </w:rPr>
            </w:pPr>
            <w:r w:rsidRPr="00D66575">
              <w:rPr>
                <w:rFonts w:cs="Arial"/>
                <w:noProof/>
              </w:rPr>
              <w:t>WORLD METEOROLOGICAL ORGANIZATION</w:t>
            </w:r>
          </w:p>
          <w:p w:rsidR="00A44FF4" w:rsidRPr="00D66575" w:rsidRDefault="00A44FF4" w:rsidP="00A44FF4">
            <w:pPr>
              <w:jc w:val="center"/>
              <w:rPr>
                <w:rFonts w:cs="Arial"/>
                <w:noProof/>
              </w:rPr>
            </w:pPr>
          </w:p>
          <w:p w:rsidR="00A44FF4" w:rsidRPr="00D66575" w:rsidRDefault="00A44FF4" w:rsidP="00A44FF4">
            <w:pPr>
              <w:pStyle w:val="BodyText3"/>
              <w:jc w:val="center"/>
              <w:rPr>
                <w:b/>
                <w:noProof/>
                <w:lang w:val="en-GB"/>
              </w:rPr>
            </w:pPr>
            <w:r w:rsidRPr="00D66575">
              <w:rPr>
                <w:b/>
                <w:noProof/>
                <w:lang w:val="en-GB"/>
              </w:rPr>
              <w:t>COMMISSION FOR BASIC SYSTEMS</w:t>
            </w:r>
            <w:r w:rsidRPr="00D66575">
              <w:rPr>
                <w:b/>
                <w:noProof/>
                <w:lang w:val="en-GB"/>
              </w:rPr>
              <w:br/>
              <w:t>OPAG on DPFS</w:t>
            </w:r>
          </w:p>
          <w:p w:rsidR="00A44FF4" w:rsidRPr="00D66575" w:rsidRDefault="00A44FF4" w:rsidP="00A44FF4">
            <w:pPr>
              <w:rPr>
                <w:rFonts w:cs="Arial"/>
                <w:noProof/>
              </w:rPr>
            </w:pPr>
          </w:p>
          <w:p w:rsidR="00A33A48" w:rsidRPr="00D66575" w:rsidRDefault="00A33A48" w:rsidP="00A44FF4">
            <w:pPr>
              <w:rPr>
                <w:rFonts w:cs="Arial"/>
                <w:noProof/>
              </w:rPr>
            </w:pPr>
          </w:p>
          <w:p w:rsidR="00A44FF4" w:rsidRPr="00D66575" w:rsidRDefault="00AF1ADC" w:rsidP="00A44FF4">
            <w:pPr>
              <w:jc w:val="center"/>
              <w:rPr>
                <w:rFonts w:cs="Arial"/>
                <w:b/>
                <w:caps/>
                <w:noProof/>
              </w:rPr>
            </w:pPr>
            <w:r w:rsidRPr="00D66575">
              <w:rPr>
                <w:rFonts w:cs="Arial"/>
                <w:b/>
                <w:caps/>
                <w:noProof/>
              </w:rPr>
              <w:t>expert team on emergency response activit</w:t>
            </w:r>
            <w:r w:rsidR="002F78D8" w:rsidRPr="00D66575">
              <w:rPr>
                <w:rFonts w:cs="Arial"/>
                <w:b/>
                <w:caps/>
                <w:noProof/>
              </w:rPr>
              <w:t>I</w:t>
            </w:r>
            <w:r w:rsidRPr="00D66575">
              <w:rPr>
                <w:rFonts w:cs="Arial"/>
                <w:b/>
                <w:caps/>
                <w:noProof/>
              </w:rPr>
              <w:t>es (et-era)</w:t>
            </w: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A33A48" w:rsidP="003F3016">
            <w:pPr>
              <w:pStyle w:val="BodyTextIndent"/>
              <w:ind w:left="-14"/>
              <w:jc w:val="center"/>
              <w:rPr>
                <w:b/>
                <w:noProof/>
                <w:snapToGrid w:val="0"/>
                <w:color w:val="000000"/>
              </w:rPr>
            </w:pPr>
            <w:r w:rsidRPr="00D66575">
              <w:rPr>
                <w:b/>
                <w:noProof/>
                <w:sz w:val="21"/>
                <w:szCs w:val="21"/>
              </w:rPr>
              <w:t xml:space="preserve">VIENNA, AUSTRIA, 1 </w:t>
            </w:r>
            <w:r w:rsidR="003F3016" w:rsidRPr="00D66575">
              <w:rPr>
                <w:b/>
                <w:noProof/>
                <w:sz w:val="21"/>
                <w:szCs w:val="21"/>
              </w:rPr>
              <w:t xml:space="preserve">– </w:t>
            </w:r>
            <w:r w:rsidR="00CA615E" w:rsidRPr="00D66575">
              <w:rPr>
                <w:b/>
                <w:noProof/>
                <w:sz w:val="21"/>
                <w:szCs w:val="21"/>
              </w:rPr>
              <w:t>5</w:t>
            </w:r>
            <w:r w:rsidR="003F3016" w:rsidRPr="00D66575">
              <w:rPr>
                <w:b/>
                <w:noProof/>
                <w:sz w:val="21"/>
                <w:szCs w:val="21"/>
              </w:rPr>
              <w:t xml:space="preserve"> </w:t>
            </w:r>
            <w:r w:rsidRPr="00D66575">
              <w:rPr>
                <w:b/>
                <w:noProof/>
                <w:sz w:val="21"/>
                <w:szCs w:val="21"/>
              </w:rPr>
              <w:t>OCTOBER</w:t>
            </w:r>
            <w:r w:rsidR="003F3016" w:rsidRPr="00D66575">
              <w:rPr>
                <w:b/>
                <w:noProof/>
                <w:sz w:val="21"/>
                <w:szCs w:val="21"/>
              </w:rPr>
              <w:t xml:space="preserve"> 201</w:t>
            </w:r>
            <w:r w:rsidRPr="00D66575">
              <w:rPr>
                <w:b/>
                <w:noProof/>
                <w:sz w:val="21"/>
                <w:szCs w:val="21"/>
              </w:rPr>
              <w:t>8</w:t>
            </w:r>
          </w:p>
          <w:p w:rsidR="00A44FF4" w:rsidRPr="00D66575" w:rsidRDefault="00A44FF4" w:rsidP="00A44FF4">
            <w:pPr>
              <w:tabs>
                <w:tab w:val="left" w:pos="425"/>
                <w:tab w:val="left" w:pos="2552"/>
                <w:tab w:val="left" w:pos="3969"/>
                <w:tab w:val="left" w:pos="5954"/>
              </w:tabs>
              <w:jc w:val="center"/>
              <w:rPr>
                <w:rFonts w:cs="Arial"/>
                <w:noProof/>
              </w:rPr>
            </w:pPr>
          </w:p>
          <w:p w:rsidR="00A44FF4" w:rsidRPr="00D66575" w:rsidRDefault="00A44FF4" w:rsidP="00A44FF4">
            <w:pPr>
              <w:tabs>
                <w:tab w:val="left" w:pos="425"/>
                <w:tab w:val="left" w:pos="2552"/>
                <w:tab w:val="left" w:pos="3969"/>
                <w:tab w:val="left" w:pos="5954"/>
              </w:tabs>
              <w:jc w:val="center"/>
              <w:rPr>
                <w:rFonts w:cs="Arial"/>
                <w:b/>
                <w:smallCaps/>
                <w:noProof/>
              </w:rPr>
            </w:pPr>
          </w:p>
        </w:tc>
        <w:tc>
          <w:tcPr>
            <w:tcW w:w="240" w:type="dxa"/>
          </w:tcPr>
          <w:p w:rsidR="00A44FF4" w:rsidRPr="00D66575" w:rsidRDefault="00A44FF4" w:rsidP="00A44FF4">
            <w:pPr>
              <w:rPr>
                <w:rFonts w:cs="Arial"/>
                <w:noProof/>
              </w:rPr>
            </w:pPr>
          </w:p>
        </w:tc>
        <w:tc>
          <w:tcPr>
            <w:tcW w:w="4680" w:type="dxa"/>
          </w:tcPr>
          <w:p w:rsidR="00A44FF4" w:rsidRPr="00EF2DB1" w:rsidRDefault="003F3016" w:rsidP="00A44FF4">
            <w:pPr>
              <w:rPr>
                <w:rFonts w:cs="Arial"/>
                <w:noProof/>
                <w:lang w:val="fr-CA"/>
              </w:rPr>
            </w:pPr>
            <w:r w:rsidRPr="00EF2DB1">
              <w:rPr>
                <w:rFonts w:cs="Arial"/>
                <w:noProof/>
                <w:lang w:val="fr-CA"/>
              </w:rPr>
              <w:t>CBS-</w:t>
            </w:r>
            <w:r w:rsidR="00A44FF4" w:rsidRPr="00EF2DB1">
              <w:rPr>
                <w:rFonts w:cs="Arial"/>
                <w:noProof/>
                <w:lang w:val="fr-CA"/>
              </w:rPr>
              <w:t>DPFS/</w:t>
            </w:r>
            <w:r w:rsidR="00AF1ADC" w:rsidRPr="00EF2DB1">
              <w:rPr>
                <w:rFonts w:cs="Arial"/>
                <w:noProof/>
                <w:lang w:val="fr-CA"/>
              </w:rPr>
              <w:t>ET-ERA</w:t>
            </w:r>
            <w:r w:rsidR="00A44FF4" w:rsidRPr="00EF2DB1">
              <w:rPr>
                <w:rFonts w:cs="Arial"/>
                <w:noProof/>
                <w:lang w:val="fr-CA"/>
              </w:rPr>
              <w:t xml:space="preserve">/Doc. </w:t>
            </w:r>
            <w:r w:rsidR="009063D9" w:rsidRPr="00EF2DB1">
              <w:rPr>
                <w:rFonts w:cs="Arial"/>
                <w:noProof/>
                <w:lang w:val="fr-CA"/>
              </w:rPr>
              <w:t>4.</w:t>
            </w:r>
            <w:r w:rsidR="00E9289E" w:rsidRPr="00EF2DB1">
              <w:rPr>
                <w:rFonts w:cs="Arial"/>
                <w:noProof/>
                <w:lang w:val="fr-CA"/>
              </w:rPr>
              <w:t>3</w:t>
            </w:r>
            <w:r w:rsidR="006F33DD" w:rsidRPr="00EF2DB1">
              <w:rPr>
                <w:rFonts w:cs="Arial"/>
                <w:noProof/>
                <w:lang w:val="fr-CA"/>
              </w:rPr>
              <w:t>(</w:t>
            </w:r>
            <w:r w:rsidR="006435E8">
              <w:rPr>
                <w:rFonts w:cs="Arial"/>
                <w:noProof/>
                <w:lang w:val="fr-CA"/>
              </w:rPr>
              <w:t>1</w:t>
            </w:r>
            <w:bookmarkStart w:id="0" w:name="_GoBack"/>
            <w:bookmarkEnd w:id="0"/>
            <w:r w:rsidR="000450B5" w:rsidRPr="00EF2DB1">
              <w:rPr>
                <w:rFonts w:cs="Arial"/>
                <w:noProof/>
                <w:lang w:val="fr-CA"/>
              </w:rPr>
              <w:t>)</w:t>
            </w:r>
          </w:p>
          <w:p w:rsidR="00A44FF4" w:rsidRPr="00EF2DB1" w:rsidRDefault="00A44FF4" w:rsidP="00A44FF4">
            <w:pPr>
              <w:rPr>
                <w:rFonts w:cs="Arial"/>
                <w:noProof/>
                <w:lang w:val="fr-CA"/>
              </w:rPr>
            </w:pPr>
          </w:p>
          <w:p w:rsidR="00A44FF4" w:rsidRPr="00D66575" w:rsidRDefault="00A44FF4" w:rsidP="00A44FF4">
            <w:pPr>
              <w:rPr>
                <w:rFonts w:cs="Arial"/>
                <w:noProof/>
              </w:rPr>
            </w:pPr>
            <w:r w:rsidRPr="00D66575">
              <w:rPr>
                <w:rFonts w:cs="Arial"/>
                <w:noProof/>
              </w:rPr>
              <w:t>(</w:t>
            </w:r>
            <w:r w:rsidR="00817372">
              <w:rPr>
                <w:rFonts w:cs="Arial"/>
                <w:noProof/>
              </w:rPr>
              <w:t>15.</w:t>
            </w:r>
            <w:r w:rsidR="00D11CD4" w:rsidRPr="00D66575">
              <w:rPr>
                <w:rFonts w:cs="Arial"/>
                <w:noProof/>
              </w:rPr>
              <w:t>I</w:t>
            </w:r>
            <w:r w:rsidR="002E568D" w:rsidRPr="00D66575">
              <w:rPr>
                <w:rFonts w:cs="Arial"/>
                <w:noProof/>
              </w:rPr>
              <w:t>X</w:t>
            </w:r>
            <w:r w:rsidRPr="00D66575">
              <w:rPr>
                <w:rFonts w:cs="Arial"/>
                <w:noProof/>
              </w:rPr>
              <w:t>.201</w:t>
            </w:r>
            <w:r w:rsidR="00D11CD4" w:rsidRPr="00D66575">
              <w:rPr>
                <w:rFonts w:cs="Arial"/>
                <w:noProof/>
              </w:rPr>
              <w:t>8</w:t>
            </w:r>
            <w:r w:rsidRPr="00D66575">
              <w:rPr>
                <w:rFonts w:cs="Arial"/>
                <w:noProof/>
              </w:rPr>
              <w:t>)</w:t>
            </w:r>
          </w:p>
          <w:p w:rsidR="00A44FF4" w:rsidRPr="00D66575" w:rsidRDefault="00A44FF4" w:rsidP="00A44FF4">
            <w:pPr>
              <w:rPr>
                <w:rFonts w:cs="Arial"/>
                <w:noProof/>
              </w:rPr>
            </w:pPr>
            <w:r w:rsidRPr="00D66575">
              <w:rPr>
                <w:rFonts w:cs="Arial"/>
                <w:noProof/>
              </w:rPr>
              <w:t>_______</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 xml:space="preserve">Agenda item: </w:t>
            </w:r>
            <w:r w:rsidR="00E9289E" w:rsidRPr="00D66575">
              <w:rPr>
                <w:rFonts w:cs="Arial"/>
                <w:noProof/>
              </w:rPr>
              <w:t>4.3</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ENGLISH ONLY</w:t>
            </w:r>
          </w:p>
        </w:tc>
      </w:tr>
    </w:tbl>
    <w:p w:rsidR="00856FAD" w:rsidRPr="00D66575" w:rsidRDefault="00856FAD" w:rsidP="00856FAD">
      <w:pPr>
        <w:pStyle w:val="Header"/>
        <w:tabs>
          <w:tab w:val="clear" w:pos="4320"/>
          <w:tab w:val="clear" w:pos="8640"/>
          <w:tab w:val="left" w:pos="2400"/>
        </w:tabs>
        <w:rPr>
          <w:noProof/>
          <w:lang w:val="en-GB"/>
        </w:rPr>
      </w:pPr>
    </w:p>
    <w:p w:rsidR="00856FAD" w:rsidRPr="00D66575" w:rsidRDefault="00856FAD" w:rsidP="00D628A2">
      <w:pPr>
        <w:pStyle w:val="Header"/>
        <w:tabs>
          <w:tab w:val="clear" w:pos="4320"/>
          <w:tab w:val="clear" w:pos="8640"/>
          <w:tab w:val="left" w:pos="2400"/>
        </w:tabs>
        <w:rPr>
          <w:noProof/>
          <w:lang w:val="en-GB"/>
        </w:rPr>
      </w:pPr>
    </w:p>
    <w:p w:rsidR="00BB07EC" w:rsidRPr="00D66575" w:rsidRDefault="00345246" w:rsidP="000450B5">
      <w:pPr>
        <w:pStyle w:val="BodyText"/>
        <w:tabs>
          <w:tab w:val="center" w:pos="4680"/>
          <w:tab w:val="left" w:pos="5760"/>
        </w:tabs>
        <w:ind w:right="333"/>
        <w:jc w:val="center"/>
        <w:rPr>
          <w:rFonts w:ascii="Arial" w:eastAsia="Times New Roman" w:hAnsi="Arial" w:cs="Arial"/>
          <w:b/>
          <w:noProof/>
          <w:sz w:val="26"/>
          <w:szCs w:val="26"/>
          <w:lang w:val="en-GB" w:eastAsia="ar-SA"/>
        </w:rPr>
      </w:pPr>
      <w:r w:rsidRPr="00D66575">
        <w:rPr>
          <w:rFonts w:ascii="Arial" w:eastAsia="Times New Roman" w:hAnsi="Arial" w:cs="Arial"/>
          <w:b/>
          <w:noProof/>
          <w:sz w:val="26"/>
          <w:szCs w:val="26"/>
          <w:lang w:val="en-GB" w:eastAsia="ar-SA"/>
        </w:rPr>
        <w:t xml:space="preserve">Follow up on </w:t>
      </w:r>
      <w:r w:rsidR="00BB07EC" w:rsidRPr="00D66575">
        <w:rPr>
          <w:rFonts w:ascii="Arial" w:eastAsia="Times New Roman" w:hAnsi="Arial" w:cs="Arial"/>
          <w:b/>
          <w:noProof/>
          <w:sz w:val="26"/>
          <w:szCs w:val="26"/>
          <w:lang w:val="en-GB" w:eastAsia="ar-SA"/>
        </w:rPr>
        <w:t xml:space="preserve">nuclear ERA </w:t>
      </w:r>
      <w:r w:rsidR="00F861A0">
        <w:rPr>
          <w:rFonts w:ascii="Arial" w:eastAsia="Times New Roman" w:hAnsi="Arial" w:cs="Arial"/>
          <w:b/>
          <w:noProof/>
          <w:sz w:val="26"/>
          <w:szCs w:val="26"/>
          <w:lang w:val="en-GB" w:eastAsia="ar-SA"/>
        </w:rPr>
        <w:t>A</w:t>
      </w:r>
      <w:r w:rsidR="000450B5" w:rsidRPr="00D66575">
        <w:rPr>
          <w:rFonts w:ascii="Arial" w:eastAsia="Times New Roman" w:hAnsi="Arial" w:cs="Arial"/>
          <w:b/>
          <w:noProof/>
          <w:sz w:val="26"/>
          <w:szCs w:val="26"/>
          <w:lang w:val="en-GB" w:eastAsia="ar-SA"/>
        </w:rPr>
        <w:t>ction</w:t>
      </w:r>
      <w:r w:rsidR="00561C13" w:rsidRPr="00D66575">
        <w:rPr>
          <w:rFonts w:ascii="Arial" w:eastAsia="Times New Roman" w:hAnsi="Arial" w:cs="Arial"/>
          <w:b/>
          <w:noProof/>
          <w:sz w:val="26"/>
          <w:szCs w:val="26"/>
          <w:lang w:val="en-GB" w:eastAsia="ar-SA"/>
        </w:rPr>
        <w:t>s</w:t>
      </w:r>
      <w:r w:rsidR="000450B5" w:rsidRPr="00D66575">
        <w:rPr>
          <w:rFonts w:ascii="Arial" w:eastAsia="Times New Roman" w:hAnsi="Arial" w:cs="Arial"/>
          <w:b/>
          <w:noProof/>
          <w:sz w:val="26"/>
          <w:szCs w:val="26"/>
          <w:lang w:val="en-GB" w:eastAsia="ar-SA"/>
        </w:rPr>
        <w:t xml:space="preserve"> 15 </w:t>
      </w:r>
      <w:r w:rsidR="00561C13" w:rsidRPr="00D66575">
        <w:rPr>
          <w:rFonts w:ascii="Arial" w:eastAsia="Times New Roman" w:hAnsi="Arial" w:cs="Arial"/>
          <w:b/>
          <w:noProof/>
          <w:sz w:val="26"/>
          <w:szCs w:val="26"/>
          <w:lang w:val="en-GB" w:eastAsia="ar-SA"/>
        </w:rPr>
        <w:t>and 16</w:t>
      </w:r>
      <w:r w:rsidR="00BB07EC" w:rsidRPr="00D66575">
        <w:rPr>
          <w:rFonts w:ascii="Arial" w:eastAsia="Times New Roman" w:hAnsi="Arial" w:cs="Arial"/>
          <w:b/>
          <w:noProof/>
          <w:sz w:val="26"/>
          <w:szCs w:val="26"/>
          <w:lang w:val="en-GB" w:eastAsia="ar-SA"/>
        </w:rPr>
        <w:t xml:space="preserve"> from the</w:t>
      </w:r>
    </w:p>
    <w:p w:rsidR="00D628A2" w:rsidRPr="00D66575" w:rsidRDefault="00BB07EC" w:rsidP="000450B5">
      <w:pPr>
        <w:pStyle w:val="BodyText"/>
        <w:tabs>
          <w:tab w:val="center" w:pos="4680"/>
          <w:tab w:val="left" w:pos="5760"/>
        </w:tabs>
        <w:ind w:right="333"/>
        <w:jc w:val="center"/>
        <w:rPr>
          <w:rFonts w:ascii="Arial" w:eastAsia="Times New Roman" w:hAnsi="Arial" w:cs="Arial"/>
          <w:b/>
          <w:noProof/>
          <w:sz w:val="26"/>
          <w:szCs w:val="26"/>
          <w:lang w:val="en-GB" w:eastAsia="ar-SA"/>
        </w:rPr>
      </w:pPr>
      <w:r w:rsidRPr="00D66575">
        <w:rPr>
          <w:rFonts w:ascii="Arial" w:eastAsia="Times New Roman" w:hAnsi="Arial" w:cs="Arial"/>
          <w:b/>
          <w:noProof/>
          <w:sz w:val="26"/>
          <w:szCs w:val="26"/>
          <w:lang w:val="en-GB" w:eastAsia="ar-SA"/>
        </w:rPr>
        <w:t xml:space="preserve">Buenos Aires ET </w:t>
      </w:r>
      <w:r w:rsidR="00BE0A05" w:rsidRPr="00D66575">
        <w:rPr>
          <w:rFonts w:ascii="Arial" w:eastAsia="Times New Roman" w:hAnsi="Arial" w:cs="Arial"/>
          <w:b/>
          <w:noProof/>
          <w:sz w:val="26"/>
          <w:szCs w:val="26"/>
          <w:lang w:val="en-GB" w:eastAsia="ar-SA"/>
        </w:rPr>
        <w:t>meeting</w:t>
      </w:r>
      <w:r w:rsidR="00DB67E3">
        <w:rPr>
          <w:rFonts w:ascii="Arial" w:eastAsia="Times New Roman" w:hAnsi="Arial" w:cs="Arial"/>
          <w:b/>
          <w:noProof/>
          <w:sz w:val="26"/>
          <w:szCs w:val="26"/>
          <w:lang w:val="en-GB" w:eastAsia="ar-SA"/>
        </w:rPr>
        <w:t xml:space="preserve"> on Guidance for Radioactive Cloud SIGMET </w:t>
      </w:r>
      <w:r w:rsidR="007B74CB" w:rsidRPr="00D66575">
        <w:rPr>
          <w:rFonts w:ascii="Arial" w:eastAsia="Times New Roman" w:hAnsi="Arial" w:cs="Arial"/>
          <w:b/>
          <w:noProof/>
          <w:sz w:val="26"/>
          <w:szCs w:val="26"/>
          <w:lang w:val="en-GB" w:eastAsia="ar-SA"/>
        </w:rPr>
        <w:t xml:space="preserve"> </w:t>
      </w:r>
    </w:p>
    <w:p w:rsidR="00D628A2" w:rsidRPr="00D66575" w:rsidRDefault="00D628A2" w:rsidP="00856FAD">
      <w:pPr>
        <w:pStyle w:val="BodyText3"/>
        <w:ind w:left="851" w:right="849"/>
        <w:jc w:val="center"/>
        <w:rPr>
          <w:b/>
          <w:noProof/>
          <w:lang w:val="en-GB"/>
        </w:rPr>
      </w:pPr>
    </w:p>
    <w:p w:rsidR="00856FAD" w:rsidRPr="00D66575" w:rsidRDefault="00856FAD" w:rsidP="00856FAD">
      <w:pPr>
        <w:pStyle w:val="Title"/>
        <w:spacing w:line="360" w:lineRule="auto"/>
        <w:ind w:left="851" w:right="849"/>
        <w:rPr>
          <w:rFonts w:cs="Arial"/>
          <w:b w:val="0"/>
          <w:i/>
          <w:noProof/>
        </w:rPr>
      </w:pPr>
      <w:r w:rsidRPr="00D66575">
        <w:rPr>
          <w:rFonts w:cs="Arial"/>
          <w:b w:val="0"/>
          <w:i/>
          <w:noProof/>
        </w:rPr>
        <w:t>(Submitted by</w:t>
      </w:r>
      <w:r w:rsidR="00697B12" w:rsidRPr="00D66575">
        <w:rPr>
          <w:rFonts w:cs="Arial"/>
          <w:b w:val="0"/>
          <w:i/>
          <w:noProof/>
        </w:rPr>
        <w:t xml:space="preserve"> </w:t>
      </w:r>
      <w:r w:rsidR="00CC0D8F" w:rsidRPr="00D66575">
        <w:rPr>
          <w:rFonts w:cs="Arial"/>
          <w:b w:val="0"/>
          <w:i/>
          <w:noProof/>
        </w:rPr>
        <w:t>ICAO and the co-</w:t>
      </w:r>
      <w:r w:rsidR="002F78D8" w:rsidRPr="00D66575">
        <w:rPr>
          <w:rFonts w:cs="Arial"/>
          <w:b w:val="0"/>
          <w:i/>
          <w:noProof/>
        </w:rPr>
        <w:t>Chair)</w:t>
      </w:r>
    </w:p>
    <w:p w:rsidR="003042D2" w:rsidRPr="00D66575" w:rsidRDefault="003042D2" w:rsidP="00856FAD">
      <w:pPr>
        <w:pStyle w:val="Title"/>
        <w:spacing w:line="360" w:lineRule="auto"/>
        <w:ind w:left="851" w:right="849"/>
        <w:rPr>
          <w:rFonts w:cs="Arial"/>
          <w:b w:val="0"/>
          <w:i/>
        </w:rPr>
      </w:pPr>
    </w:p>
    <w:p w:rsidR="00856FAD" w:rsidRPr="00D66575" w:rsidRDefault="00856FAD" w:rsidP="00856FAD">
      <w:pPr>
        <w:pStyle w:val="Heading5"/>
        <w:jc w:val="center"/>
        <w:rPr>
          <w:rFonts w:cs="Arial"/>
          <w:i w:val="0"/>
          <w:noProof/>
          <w:sz w:val="22"/>
          <w:szCs w:val="22"/>
          <w:lang w:val="en-GB"/>
        </w:rPr>
      </w:pPr>
      <w:r w:rsidRPr="00D66575">
        <w:rPr>
          <w:rFonts w:cs="Arial"/>
          <w:i w:val="0"/>
          <w:noProof/>
          <w:sz w:val="22"/>
          <w:szCs w:val="22"/>
          <w:lang w:val="en-GB"/>
        </w:rPr>
        <w:t>Summary and purpose of document</w:t>
      </w:r>
    </w:p>
    <w:p w:rsidR="00856FAD" w:rsidRPr="00D66575" w:rsidRDefault="00856FAD" w:rsidP="00856FAD">
      <w:pPr>
        <w:rPr>
          <w:rFonts w:cs="Arial"/>
          <w:noProof/>
          <w:highlight w:val="yellow"/>
        </w:rPr>
      </w:pPr>
    </w:p>
    <w:p w:rsidR="00856FAD" w:rsidRPr="00D66575" w:rsidRDefault="00856FAD" w:rsidP="00856FAD">
      <w:pPr>
        <w:rPr>
          <w:rFonts w:cs="Arial"/>
          <w:noProof/>
          <w:highlight w:val="yellow"/>
        </w:rPr>
      </w:pPr>
    </w:p>
    <w:p w:rsidR="00856FAD" w:rsidRPr="00D66575" w:rsidRDefault="00856FAD" w:rsidP="00856FAD">
      <w:pPr>
        <w:pBdr>
          <w:top w:val="single" w:sz="4" w:space="1" w:color="auto"/>
        </w:pBdr>
        <w:ind w:left="1418" w:right="1416"/>
        <w:jc w:val="both"/>
        <w:rPr>
          <w:rFonts w:cs="Arial"/>
          <w:b/>
          <w:noProof/>
          <w:highlight w:val="yellow"/>
        </w:rPr>
      </w:pPr>
    </w:p>
    <w:p w:rsidR="007E4AA8" w:rsidRPr="00D66575" w:rsidRDefault="00345246" w:rsidP="00304579">
      <w:pPr>
        <w:pBdr>
          <w:top w:val="single" w:sz="4" w:space="1" w:color="auto"/>
        </w:pBdr>
        <w:ind w:left="1418" w:right="1416"/>
        <w:jc w:val="both"/>
        <w:rPr>
          <w:rFonts w:cs="Arial"/>
          <w:noProof/>
        </w:rPr>
      </w:pPr>
      <w:r w:rsidRPr="00D66575">
        <w:rPr>
          <w:rFonts w:cs="Arial"/>
          <w:noProof/>
        </w:rPr>
        <w:t xml:space="preserve"> </w:t>
      </w:r>
      <w:r w:rsidR="008C425C" w:rsidRPr="00D66575">
        <w:rPr>
          <w:rFonts w:cs="Arial"/>
          <w:noProof/>
        </w:rPr>
        <w:t>Answering t</w:t>
      </w:r>
      <w:r w:rsidR="004A7736" w:rsidRPr="00D66575">
        <w:rPr>
          <w:rFonts w:cs="Arial"/>
          <w:noProof/>
        </w:rPr>
        <w:t xml:space="preserve">he </w:t>
      </w:r>
      <w:r w:rsidR="0005388D" w:rsidRPr="00D66575">
        <w:rPr>
          <w:rFonts w:cs="Arial"/>
          <w:noProof/>
        </w:rPr>
        <w:t xml:space="preserve">question of </w:t>
      </w:r>
      <w:r w:rsidR="00F32E28" w:rsidRPr="00D66575">
        <w:rPr>
          <w:rFonts w:cs="Arial"/>
          <w:noProof/>
        </w:rPr>
        <w:t xml:space="preserve">the possible use of </w:t>
      </w:r>
      <w:r w:rsidR="0013318E">
        <w:rPr>
          <w:rFonts w:cs="Arial"/>
          <w:noProof/>
        </w:rPr>
        <w:t xml:space="preserve">modelling </w:t>
      </w:r>
      <w:r w:rsidR="0015137D">
        <w:rPr>
          <w:rFonts w:cs="Arial"/>
          <w:noProof/>
        </w:rPr>
        <w:t xml:space="preserve">as </w:t>
      </w:r>
      <w:r w:rsidR="0013318E">
        <w:rPr>
          <w:rFonts w:cs="Arial"/>
          <w:noProof/>
        </w:rPr>
        <w:t xml:space="preserve">guidance </w:t>
      </w:r>
      <w:r w:rsidR="0005388D" w:rsidRPr="00D66575">
        <w:rPr>
          <w:rFonts w:cs="Arial"/>
          <w:noProof/>
        </w:rPr>
        <w:t xml:space="preserve">to </w:t>
      </w:r>
      <w:r w:rsidR="00FB37FA">
        <w:rPr>
          <w:rFonts w:cs="Arial"/>
          <w:noProof/>
        </w:rPr>
        <w:t xml:space="preserve">write </w:t>
      </w:r>
      <w:r w:rsidR="00E15DB2" w:rsidRPr="00D66575">
        <w:rPr>
          <w:rFonts w:cs="Arial"/>
          <w:noProof/>
        </w:rPr>
        <w:t xml:space="preserve">radioactive cloud SIGMET </w:t>
      </w:r>
      <w:r w:rsidR="0005388D" w:rsidRPr="00D66575">
        <w:rPr>
          <w:rFonts w:cs="Arial"/>
          <w:noProof/>
        </w:rPr>
        <w:t xml:space="preserve">in </w:t>
      </w:r>
      <w:r w:rsidR="00B14476" w:rsidRPr="00D66575">
        <w:rPr>
          <w:rFonts w:cs="Arial"/>
          <w:noProof/>
        </w:rPr>
        <w:t xml:space="preserve">a timely matter is, in essence, the </w:t>
      </w:r>
      <w:r w:rsidR="004A7736" w:rsidRPr="00D66575">
        <w:rPr>
          <w:rFonts w:cs="Arial"/>
          <w:noProof/>
        </w:rPr>
        <w:t>objective of action 15 from the last ET-ERA meeting</w:t>
      </w:r>
      <w:r w:rsidR="00F32E28" w:rsidRPr="00D66575">
        <w:rPr>
          <w:rFonts w:cs="Arial"/>
          <w:noProof/>
        </w:rPr>
        <w:t xml:space="preserve">. It is part of a </w:t>
      </w:r>
      <w:r w:rsidR="00B14476" w:rsidRPr="00D66575">
        <w:rPr>
          <w:rFonts w:cs="Arial"/>
          <w:noProof/>
        </w:rPr>
        <w:t>long</w:t>
      </w:r>
      <w:r w:rsidR="00B32850">
        <w:rPr>
          <w:rFonts w:cs="Arial"/>
          <w:noProof/>
        </w:rPr>
        <w:t>-</w:t>
      </w:r>
      <w:r w:rsidR="00B14476" w:rsidRPr="00D66575">
        <w:rPr>
          <w:rFonts w:cs="Arial"/>
          <w:noProof/>
        </w:rPr>
        <w:t xml:space="preserve">standing collaboration between </w:t>
      </w:r>
      <w:r w:rsidR="0013318E">
        <w:rPr>
          <w:rFonts w:cs="Arial"/>
          <w:noProof/>
        </w:rPr>
        <w:t xml:space="preserve">IAEA, ICAO and the WMO </w:t>
      </w:r>
      <w:r w:rsidR="00F32E28" w:rsidRPr="00D66575">
        <w:rPr>
          <w:rFonts w:cs="Arial"/>
          <w:noProof/>
        </w:rPr>
        <w:t xml:space="preserve">to </w:t>
      </w:r>
      <w:r w:rsidR="00FB37FA">
        <w:rPr>
          <w:rFonts w:cs="Arial"/>
          <w:noProof/>
        </w:rPr>
        <w:t>solve this difficult problem.</w:t>
      </w:r>
    </w:p>
    <w:p w:rsidR="007E4AA8" w:rsidRPr="00D66575" w:rsidRDefault="007E4AA8" w:rsidP="00304579">
      <w:pPr>
        <w:pBdr>
          <w:top w:val="single" w:sz="4" w:space="1" w:color="auto"/>
        </w:pBdr>
        <w:ind w:left="1418" w:right="1416"/>
        <w:jc w:val="both"/>
        <w:rPr>
          <w:rFonts w:cs="Arial"/>
          <w:noProof/>
        </w:rPr>
      </w:pPr>
    </w:p>
    <w:p w:rsidR="004B4090" w:rsidRDefault="004B4090" w:rsidP="00304579">
      <w:pPr>
        <w:pBdr>
          <w:top w:val="single" w:sz="4" w:space="1" w:color="auto"/>
        </w:pBdr>
        <w:ind w:left="1418" w:right="1416"/>
        <w:jc w:val="both"/>
        <w:rPr>
          <w:iCs/>
          <w:noProof/>
        </w:rPr>
      </w:pPr>
      <w:r w:rsidRPr="00D66575">
        <w:rPr>
          <w:rFonts w:cs="Arial"/>
          <w:noProof/>
        </w:rPr>
        <w:t>The</w:t>
      </w:r>
      <w:r w:rsidR="00F32E28" w:rsidRPr="00D66575">
        <w:rPr>
          <w:rFonts w:cs="Arial"/>
          <w:noProof/>
        </w:rPr>
        <w:t xml:space="preserve"> IAEA</w:t>
      </w:r>
      <w:r w:rsidR="003D550E">
        <w:rPr>
          <w:rFonts w:cs="Arial"/>
          <w:noProof/>
        </w:rPr>
        <w:t>’</w:t>
      </w:r>
      <w:r w:rsidR="00F32E28" w:rsidRPr="00D66575">
        <w:rPr>
          <w:rFonts w:cs="Arial"/>
          <w:noProof/>
        </w:rPr>
        <w:t xml:space="preserve">s </w:t>
      </w:r>
      <w:r w:rsidR="00E15DB2" w:rsidRPr="00D66575">
        <w:rPr>
          <w:rFonts w:cs="Arial"/>
          <w:noProof/>
        </w:rPr>
        <w:t xml:space="preserve">Inter-Agency on Radiological and Nuclear Emergencies </w:t>
      </w:r>
      <w:r w:rsidR="00F32E28" w:rsidRPr="00D66575">
        <w:rPr>
          <w:rFonts w:cs="Arial"/>
          <w:noProof/>
        </w:rPr>
        <w:t xml:space="preserve">created </w:t>
      </w:r>
      <w:r w:rsidR="0013318E">
        <w:rPr>
          <w:rFonts w:cs="Arial"/>
          <w:noProof/>
        </w:rPr>
        <w:t xml:space="preserve">in </w:t>
      </w:r>
      <w:r w:rsidR="00FB37FA">
        <w:rPr>
          <w:rFonts w:cs="Arial"/>
          <w:noProof/>
        </w:rPr>
        <w:t xml:space="preserve">November </w:t>
      </w:r>
      <w:r w:rsidR="0013318E">
        <w:rPr>
          <w:rFonts w:cs="Arial"/>
          <w:noProof/>
        </w:rPr>
        <w:t xml:space="preserve">2015 </w:t>
      </w:r>
      <w:r w:rsidRPr="00D66575">
        <w:rPr>
          <w:rFonts w:cs="Arial"/>
          <w:noProof/>
        </w:rPr>
        <w:t>the Task Group</w:t>
      </w:r>
      <w:r w:rsidR="001C552C">
        <w:rPr>
          <w:rFonts w:cs="Arial"/>
          <w:noProof/>
        </w:rPr>
        <w:t xml:space="preserve"> </w:t>
      </w:r>
      <w:r w:rsidRPr="00D66575">
        <w:rPr>
          <w:noProof/>
        </w:rPr>
        <w:t xml:space="preserve">on the </w:t>
      </w:r>
      <w:r w:rsidRPr="00D66575">
        <w:rPr>
          <w:i/>
          <w:iCs/>
          <w:noProof/>
        </w:rPr>
        <w:t>Development of Criteria to Support the Issuance of SIGMET in Case of a Release of Radioactive Material into the Atmosphere</w:t>
      </w:r>
      <w:r w:rsidRPr="00D66575">
        <w:rPr>
          <w:iCs/>
          <w:noProof/>
        </w:rPr>
        <w:t>. The T</w:t>
      </w:r>
      <w:r w:rsidR="001C552C">
        <w:rPr>
          <w:iCs/>
          <w:noProof/>
        </w:rPr>
        <w:t>ask Group</w:t>
      </w:r>
      <w:r w:rsidR="003D550E">
        <w:rPr>
          <w:iCs/>
          <w:noProof/>
        </w:rPr>
        <w:t>’</w:t>
      </w:r>
      <w:r w:rsidR="001C552C">
        <w:rPr>
          <w:iCs/>
          <w:noProof/>
        </w:rPr>
        <w:t xml:space="preserve">s </w:t>
      </w:r>
      <w:r w:rsidRPr="00D66575">
        <w:rPr>
          <w:iCs/>
          <w:noProof/>
        </w:rPr>
        <w:t xml:space="preserve">report was submitted </w:t>
      </w:r>
      <w:r w:rsidR="00FB37FA">
        <w:rPr>
          <w:iCs/>
          <w:noProof/>
        </w:rPr>
        <w:t xml:space="preserve">in </w:t>
      </w:r>
      <w:r w:rsidRPr="00D66575">
        <w:rPr>
          <w:iCs/>
          <w:noProof/>
        </w:rPr>
        <w:t>2017</w:t>
      </w:r>
      <w:r w:rsidR="00FB37FA">
        <w:rPr>
          <w:iCs/>
          <w:noProof/>
        </w:rPr>
        <w:t xml:space="preserve"> </w:t>
      </w:r>
      <w:r w:rsidR="008E1C51">
        <w:rPr>
          <w:iCs/>
          <w:noProof/>
        </w:rPr>
        <w:t xml:space="preserve">and </w:t>
      </w:r>
      <w:r w:rsidR="008E1C51" w:rsidRPr="00D66575">
        <w:rPr>
          <w:iCs/>
          <w:noProof/>
        </w:rPr>
        <w:t>Action 15 is therefore completed</w:t>
      </w:r>
      <w:r w:rsidR="008E1C51">
        <w:rPr>
          <w:iCs/>
          <w:noProof/>
        </w:rPr>
        <w:t>. T</w:t>
      </w:r>
      <w:r w:rsidR="00FB37FA" w:rsidRPr="00D66575">
        <w:rPr>
          <w:iCs/>
          <w:noProof/>
        </w:rPr>
        <w:t xml:space="preserve">he results </w:t>
      </w:r>
      <w:r w:rsidR="008E1C51">
        <w:rPr>
          <w:iCs/>
          <w:noProof/>
        </w:rPr>
        <w:t xml:space="preserve">are </w:t>
      </w:r>
      <w:r w:rsidR="007C6AD9">
        <w:rPr>
          <w:iCs/>
          <w:noProof/>
        </w:rPr>
        <w:t>p</w:t>
      </w:r>
      <w:r w:rsidR="00FB37FA" w:rsidRPr="00D66575">
        <w:rPr>
          <w:iCs/>
          <w:noProof/>
        </w:rPr>
        <w:t>resente</w:t>
      </w:r>
      <w:r w:rsidR="00FB37FA">
        <w:rPr>
          <w:iCs/>
          <w:noProof/>
        </w:rPr>
        <w:t>d in section 2</w:t>
      </w:r>
      <w:r w:rsidR="007C6AD9">
        <w:rPr>
          <w:iCs/>
          <w:noProof/>
        </w:rPr>
        <w:t xml:space="preserve"> of this paper</w:t>
      </w:r>
      <w:r w:rsidRPr="00D66575">
        <w:rPr>
          <w:iCs/>
          <w:noProof/>
        </w:rPr>
        <w:t>.</w:t>
      </w:r>
    </w:p>
    <w:p w:rsidR="00FB37FA" w:rsidRPr="00D66575" w:rsidRDefault="00FB37FA" w:rsidP="00304579">
      <w:pPr>
        <w:pBdr>
          <w:top w:val="single" w:sz="4" w:space="1" w:color="auto"/>
        </w:pBdr>
        <w:ind w:left="1418" w:right="1416"/>
        <w:jc w:val="both"/>
        <w:rPr>
          <w:iCs/>
          <w:noProof/>
        </w:rPr>
      </w:pPr>
    </w:p>
    <w:p w:rsidR="007E4AA8" w:rsidRDefault="00342802" w:rsidP="00304579">
      <w:pPr>
        <w:pBdr>
          <w:top w:val="single" w:sz="4" w:space="1" w:color="auto"/>
        </w:pBdr>
        <w:ind w:left="1418" w:right="1416"/>
        <w:jc w:val="both"/>
        <w:rPr>
          <w:iCs/>
          <w:noProof/>
        </w:rPr>
      </w:pPr>
      <w:r>
        <w:rPr>
          <w:iCs/>
          <w:noProof/>
        </w:rPr>
        <w:t xml:space="preserve">Action 16 </w:t>
      </w:r>
      <w:r w:rsidR="007E4AA8" w:rsidRPr="00D66575">
        <w:rPr>
          <w:iCs/>
          <w:noProof/>
        </w:rPr>
        <w:t xml:space="preserve">asked </w:t>
      </w:r>
      <w:r w:rsidR="00FB37FA">
        <w:rPr>
          <w:iCs/>
          <w:noProof/>
        </w:rPr>
        <w:t xml:space="preserve">the </w:t>
      </w:r>
      <w:r w:rsidR="004B4090" w:rsidRPr="00D66575">
        <w:rPr>
          <w:iCs/>
          <w:noProof/>
        </w:rPr>
        <w:t>RSM</w:t>
      </w:r>
      <w:r w:rsidR="007E4AA8" w:rsidRPr="00D66575">
        <w:rPr>
          <w:iCs/>
          <w:noProof/>
        </w:rPr>
        <w:t>Cs to explore modelling</w:t>
      </w:r>
      <w:r>
        <w:rPr>
          <w:iCs/>
          <w:noProof/>
        </w:rPr>
        <w:t xml:space="preserve"> options, conditional on the </w:t>
      </w:r>
      <w:r w:rsidR="00E23740">
        <w:rPr>
          <w:iCs/>
          <w:noProof/>
        </w:rPr>
        <w:t>o</w:t>
      </w:r>
      <w:r w:rsidR="00B92916" w:rsidRPr="00D66575">
        <w:rPr>
          <w:iCs/>
          <w:noProof/>
        </w:rPr>
        <w:t xml:space="preserve">utcome of </w:t>
      </w:r>
      <w:r w:rsidR="00B40AA1">
        <w:rPr>
          <w:iCs/>
          <w:noProof/>
        </w:rPr>
        <w:t>A</w:t>
      </w:r>
      <w:r w:rsidR="00E23740">
        <w:rPr>
          <w:iCs/>
          <w:noProof/>
        </w:rPr>
        <w:t xml:space="preserve">ction 15. As a result, </w:t>
      </w:r>
      <w:r w:rsidR="008E1C51">
        <w:rPr>
          <w:iCs/>
          <w:noProof/>
        </w:rPr>
        <w:t>it is closed.</w:t>
      </w:r>
      <w:r w:rsidR="00E23740">
        <w:rPr>
          <w:iCs/>
          <w:noProof/>
        </w:rPr>
        <w:t xml:space="preserve"> </w:t>
      </w:r>
    </w:p>
    <w:p w:rsidR="00B40AA1" w:rsidRPr="00D66575" w:rsidRDefault="00B40AA1" w:rsidP="00304579">
      <w:pPr>
        <w:pBdr>
          <w:top w:val="single" w:sz="4" w:space="1" w:color="auto"/>
        </w:pBdr>
        <w:ind w:left="1418" w:right="1416"/>
        <w:jc w:val="both"/>
        <w:rPr>
          <w:iCs/>
          <w:noProof/>
        </w:rPr>
      </w:pPr>
    </w:p>
    <w:p w:rsidR="00856FAD" w:rsidRPr="00D66575" w:rsidRDefault="00856FAD" w:rsidP="00856FAD">
      <w:pPr>
        <w:pBdr>
          <w:bottom w:val="single" w:sz="4" w:space="1" w:color="auto"/>
        </w:pBdr>
        <w:ind w:left="1418" w:right="1416"/>
        <w:jc w:val="both"/>
        <w:rPr>
          <w:rFonts w:cs="Arial"/>
          <w:noProof/>
        </w:rPr>
      </w:pPr>
    </w:p>
    <w:p w:rsidR="00856FAD" w:rsidRPr="00D66575" w:rsidRDefault="00856FAD" w:rsidP="00856FAD">
      <w:pPr>
        <w:pStyle w:val="BodyText3"/>
        <w:tabs>
          <w:tab w:val="left" w:pos="9214"/>
        </w:tabs>
        <w:ind w:left="1418" w:right="1416"/>
        <w:rPr>
          <w:b/>
          <w:noProof/>
          <w:lang w:val="en-GB"/>
        </w:rPr>
      </w:pPr>
    </w:p>
    <w:p w:rsidR="00C93758" w:rsidRPr="00D66575" w:rsidRDefault="00C93758" w:rsidP="00C93758">
      <w:pPr>
        <w:pStyle w:val="Heading5"/>
        <w:jc w:val="center"/>
        <w:rPr>
          <w:rFonts w:cs="Arial"/>
          <w:i w:val="0"/>
          <w:noProof/>
          <w:sz w:val="22"/>
          <w:szCs w:val="22"/>
          <w:lang w:val="en-GB"/>
        </w:rPr>
      </w:pPr>
      <w:r w:rsidRPr="00D66575">
        <w:rPr>
          <w:rFonts w:cs="Arial"/>
          <w:i w:val="0"/>
          <w:noProof/>
          <w:sz w:val="22"/>
          <w:szCs w:val="22"/>
          <w:lang w:val="en-GB"/>
        </w:rPr>
        <w:t xml:space="preserve">Action Proposed  </w:t>
      </w:r>
    </w:p>
    <w:p w:rsidR="00C93758" w:rsidRPr="00D66575" w:rsidRDefault="00C93758" w:rsidP="00C93758">
      <w:pPr>
        <w:rPr>
          <w:rFonts w:cs="Arial"/>
          <w:noProof/>
        </w:rPr>
      </w:pPr>
    </w:p>
    <w:p w:rsidR="00C93758" w:rsidRPr="00D66575" w:rsidRDefault="0062278F" w:rsidP="00FE2BBC">
      <w:pPr>
        <w:jc w:val="center"/>
        <w:rPr>
          <w:rFonts w:cs="Arial"/>
          <w:noProof/>
        </w:rPr>
      </w:pPr>
      <w:r w:rsidRPr="00D66575">
        <w:rPr>
          <w:rFonts w:cs="Arial"/>
          <w:noProof/>
        </w:rPr>
        <w:t xml:space="preserve">The meeting is invited </w:t>
      </w:r>
      <w:r w:rsidR="0042176B" w:rsidRPr="00D66575">
        <w:rPr>
          <w:rFonts w:cs="Arial"/>
          <w:noProof/>
        </w:rPr>
        <w:t xml:space="preserve">to </w:t>
      </w:r>
      <w:r w:rsidR="007C6AD9">
        <w:rPr>
          <w:rFonts w:cs="Arial"/>
          <w:noProof/>
        </w:rPr>
        <w:t xml:space="preserve">note and discuss </w:t>
      </w:r>
      <w:r w:rsidR="000B29A2" w:rsidRPr="00D66575">
        <w:rPr>
          <w:rFonts w:cs="Arial"/>
          <w:noProof/>
        </w:rPr>
        <w:t>the information presented in this paper.</w:t>
      </w:r>
    </w:p>
    <w:p w:rsidR="00E86160" w:rsidRPr="00D66575" w:rsidRDefault="009063D9" w:rsidP="009063D9">
      <w:pPr>
        <w:rPr>
          <w:rFonts w:cs="Arial"/>
          <w:b/>
          <w:noProof/>
        </w:rPr>
      </w:pPr>
      <w:r w:rsidRPr="00D66575">
        <w:rPr>
          <w:rFonts w:cs="Arial"/>
          <w:noProof/>
        </w:rPr>
        <w:br w:type="page"/>
      </w:r>
      <w:r w:rsidR="00E86160" w:rsidRPr="00D66575">
        <w:rPr>
          <w:rFonts w:cs="Arial"/>
          <w:b/>
          <w:noProof/>
        </w:rPr>
        <w:lastRenderedPageBreak/>
        <w:t xml:space="preserve">1. </w:t>
      </w:r>
      <w:r w:rsidR="00610A39" w:rsidRPr="00D66575">
        <w:rPr>
          <w:rFonts w:cs="Arial"/>
          <w:b/>
          <w:noProof/>
        </w:rPr>
        <w:t>INTRODUCTION</w:t>
      </w:r>
    </w:p>
    <w:p w:rsidR="00E86160" w:rsidRPr="00D66575" w:rsidRDefault="00E86160" w:rsidP="009063D9">
      <w:pPr>
        <w:rPr>
          <w:rFonts w:cs="Arial"/>
          <w:noProof/>
        </w:rPr>
      </w:pPr>
    </w:p>
    <w:p w:rsidR="00F07DA4" w:rsidRPr="00D66575" w:rsidRDefault="00723FE8" w:rsidP="00F07DA4">
      <w:pPr>
        <w:rPr>
          <w:noProof/>
        </w:rPr>
      </w:pPr>
      <w:r w:rsidRPr="00D66575">
        <w:rPr>
          <w:noProof/>
        </w:rPr>
        <w:t xml:space="preserve">1.1 </w:t>
      </w:r>
      <w:r w:rsidR="00F07DA4" w:rsidRPr="00D66575">
        <w:rPr>
          <w:noProof/>
        </w:rPr>
        <w:t>At the last meeting of the group in Buenos Aires, papers 4.3</w:t>
      </w:r>
      <w:r w:rsidR="003D550E">
        <w:rPr>
          <w:noProof/>
        </w:rPr>
        <w:t xml:space="preserve"> </w:t>
      </w:r>
      <w:r w:rsidR="00F07DA4" w:rsidRPr="00D66575">
        <w:rPr>
          <w:noProof/>
        </w:rPr>
        <w:t>(4), 4.3</w:t>
      </w:r>
      <w:r w:rsidR="003D550E">
        <w:rPr>
          <w:noProof/>
        </w:rPr>
        <w:t xml:space="preserve"> </w:t>
      </w:r>
      <w:r w:rsidR="00F07DA4" w:rsidRPr="00D66575">
        <w:rPr>
          <w:noProof/>
        </w:rPr>
        <w:t>(5) and 4.5</w:t>
      </w:r>
      <w:r w:rsidR="003D550E">
        <w:rPr>
          <w:noProof/>
        </w:rPr>
        <w:t xml:space="preserve"> </w:t>
      </w:r>
      <w:r w:rsidR="00F07DA4" w:rsidRPr="00D66575">
        <w:rPr>
          <w:noProof/>
        </w:rPr>
        <w:t>(4)</w:t>
      </w:r>
      <w:r w:rsidR="00351330" w:rsidRPr="00D66575">
        <w:rPr>
          <w:noProof/>
        </w:rPr>
        <w:t>,</w:t>
      </w:r>
      <w:r w:rsidR="00F07DA4" w:rsidRPr="00D66575">
        <w:rPr>
          <w:noProof/>
        </w:rPr>
        <w:t xml:space="preserve"> available at </w:t>
      </w:r>
      <w:hyperlink r:id="rId8" w:history="1">
        <w:r w:rsidR="00F07DA4" w:rsidRPr="00D66575">
          <w:rPr>
            <w:rStyle w:val="Hyperlink"/>
            <w:noProof/>
          </w:rPr>
          <w:t>https://www.wmo.int/pages/prog/www/DPFSERA/Meetings/ET-ERA_BuenosAires2015/DocPlan_000.html</w:t>
        </w:r>
      </w:hyperlink>
      <w:r w:rsidR="00351330" w:rsidRPr="00D66575">
        <w:rPr>
          <w:noProof/>
        </w:rPr>
        <w:t>,</w:t>
      </w:r>
      <w:r w:rsidR="00F07DA4" w:rsidRPr="00D66575">
        <w:rPr>
          <w:noProof/>
        </w:rPr>
        <w:t xml:space="preserve"> covered activities related to radioactive clouds and aviation. The group discussed the long-standing question of the possible use of </w:t>
      </w:r>
      <w:r w:rsidR="00360D65" w:rsidRPr="00D66575">
        <w:rPr>
          <w:noProof/>
        </w:rPr>
        <w:t xml:space="preserve">Atmospheric Transport and Dispersion Models (ATDM) in </w:t>
      </w:r>
      <w:r w:rsidR="00F07DA4" w:rsidRPr="00D66575">
        <w:rPr>
          <w:noProof/>
        </w:rPr>
        <w:t xml:space="preserve">support of aviation. </w:t>
      </w:r>
    </w:p>
    <w:p w:rsidR="00F07DA4" w:rsidRPr="00D66575" w:rsidRDefault="00F07DA4" w:rsidP="00F07DA4">
      <w:pPr>
        <w:spacing w:before="100" w:beforeAutospacing="1" w:after="100" w:afterAutospacing="1"/>
        <w:rPr>
          <w:noProof/>
        </w:rPr>
      </w:pPr>
      <w:r w:rsidRPr="00D66575">
        <w:rPr>
          <w:noProof/>
        </w:rPr>
        <w:t> </w:t>
      </w:r>
      <w:r w:rsidR="00723FE8" w:rsidRPr="00D66575">
        <w:rPr>
          <w:noProof/>
        </w:rPr>
        <w:t xml:space="preserve">1.2 </w:t>
      </w:r>
      <w:r w:rsidRPr="00D66575">
        <w:rPr>
          <w:noProof/>
        </w:rPr>
        <w:t>Paper 4.3</w:t>
      </w:r>
      <w:r w:rsidR="003D550E">
        <w:rPr>
          <w:noProof/>
        </w:rPr>
        <w:t xml:space="preserve"> </w:t>
      </w:r>
      <w:r w:rsidRPr="00D66575">
        <w:rPr>
          <w:noProof/>
        </w:rPr>
        <w:t xml:space="preserve">(5) reported on related activities at the ICAO </w:t>
      </w:r>
      <w:r w:rsidR="001D5D63" w:rsidRPr="00D66575">
        <w:rPr>
          <w:noProof/>
        </w:rPr>
        <w:t>Meteorology Panel</w:t>
      </w:r>
      <w:r w:rsidR="003D550E">
        <w:rPr>
          <w:noProof/>
        </w:rPr>
        <w:t>’</w:t>
      </w:r>
      <w:r w:rsidR="001D5D63" w:rsidRPr="00D66575">
        <w:rPr>
          <w:noProof/>
        </w:rPr>
        <w:t xml:space="preserve">s (METP) </w:t>
      </w:r>
      <w:r w:rsidRPr="00D66575">
        <w:rPr>
          <w:noProof/>
        </w:rPr>
        <w:t xml:space="preserve">Meteorological Information and Service Development (MISD) </w:t>
      </w:r>
      <w:r w:rsidR="001D5D63" w:rsidRPr="00D66575">
        <w:rPr>
          <w:noProof/>
        </w:rPr>
        <w:t xml:space="preserve">Working Group on the </w:t>
      </w:r>
      <w:r w:rsidRPr="00D66575">
        <w:rPr>
          <w:noProof/>
        </w:rPr>
        <w:t xml:space="preserve">Release of </w:t>
      </w:r>
      <w:r w:rsidR="001D5D63" w:rsidRPr="00D66575">
        <w:rPr>
          <w:noProof/>
        </w:rPr>
        <w:t>Radioactive Material (RRM).</w:t>
      </w:r>
      <w:r w:rsidR="00F05CE3" w:rsidRPr="00D66575">
        <w:rPr>
          <w:noProof/>
        </w:rPr>
        <w:t xml:space="preserve"> </w:t>
      </w:r>
      <w:r w:rsidRPr="00D66575">
        <w:rPr>
          <w:noProof/>
        </w:rPr>
        <w:t>The MISD RRM deals specifically with the topic of radioactivity and aviation. The paper also informed the group that ICAO and WMO had asked the IACRNE (</w:t>
      </w:r>
      <w:r w:rsidR="001D5D63" w:rsidRPr="00D66575">
        <w:rPr>
          <w:noProof/>
        </w:rPr>
        <w:t>IAEA</w:t>
      </w:r>
      <w:r w:rsidR="003D550E">
        <w:rPr>
          <w:noProof/>
        </w:rPr>
        <w:t>’</w:t>
      </w:r>
      <w:r w:rsidR="001D5D63" w:rsidRPr="00D66575">
        <w:rPr>
          <w:noProof/>
        </w:rPr>
        <w:t xml:space="preserve">s </w:t>
      </w:r>
      <w:r w:rsidRPr="00D66575">
        <w:rPr>
          <w:noProof/>
        </w:rPr>
        <w:t>Inter-Agency Committee on Radiological and Nuclear Emergencies) to help determine if atmospheric transport modelling guidance could</w:t>
      </w:r>
      <w:r w:rsidR="00154CF3" w:rsidRPr="00D66575">
        <w:rPr>
          <w:noProof/>
        </w:rPr>
        <w:t xml:space="preserve">/should </w:t>
      </w:r>
      <w:r w:rsidRPr="00D66575">
        <w:rPr>
          <w:noProof/>
        </w:rPr>
        <w:t xml:space="preserve">be used to define </w:t>
      </w:r>
      <w:r w:rsidRPr="00D66575">
        <w:rPr>
          <w:noProof/>
          <w:u w:val="single"/>
        </w:rPr>
        <w:t>an internationally applicable standard</w:t>
      </w:r>
      <w:r w:rsidRPr="00D66575">
        <w:rPr>
          <w:noProof/>
        </w:rPr>
        <w:t xml:space="preserve"> for the 3D, time evolution of the radioactive cloud SIGMET (</w:t>
      </w:r>
      <w:r w:rsidR="009F0E81" w:rsidRPr="00D66575">
        <w:rPr>
          <w:noProof/>
        </w:rPr>
        <w:t>Sig</w:t>
      </w:r>
      <w:r w:rsidRPr="00D66575">
        <w:rPr>
          <w:noProof/>
        </w:rPr>
        <w:t>nificant meteorological information that concerns the safety of aircraft). The SIGMET is a requirement defined in ICAO</w:t>
      </w:r>
      <w:r w:rsidR="003D550E">
        <w:rPr>
          <w:noProof/>
        </w:rPr>
        <w:t>’</w:t>
      </w:r>
      <w:r w:rsidRPr="00D66575">
        <w:rPr>
          <w:noProof/>
        </w:rPr>
        <w:t xml:space="preserve">s </w:t>
      </w:r>
      <w:hyperlink r:id="rId9" w:history="1">
        <w:r w:rsidRPr="00D66575">
          <w:rPr>
            <w:rStyle w:val="Hyperlink"/>
            <w:noProof/>
          </w:rPr>
          <w:t xml:space="preserve">Annex 3 — </w:t>
        </w:r>
        <w:r w:rsidRPr="00D66575">
          <w:rPr>
            <w:rStyle w:val="Hyperlink"/>
            <w:i/>
            <w:noProof/>
          </w:rPr>
          <w:t>Meteorological Services for International Air Navigation</w:t>
        </w:r>
      </w:hyperlink>
      <w:r w:rsidR="00DA0F2C" w:rsidRPr="00D66575">
        <w:rPr>
          <w:noProof/>
        </w:rPr>
        <w:t xml:space="preserve"> (user/password protected)</w:t>
      </w:r>
      <w:r w:rsidRPr="00D66575">
        <w:rPr>
          <w:noProof/>
        </w:rPr>
        <w:t xml:space="preserve">. </w:t>
      </w:r>
    </w:p>
    <w:p w:rsidR="009F0E81" w:rsidRPr="00D66575" w:rsidRDefault="00723FE8" w:rsidP="00F07DA4">
      <w:pPr>
        <w:spacing w:before="100" w:beforeAutospacing="1" w:after="100" w:afterAutospacing="1"/>
        <w:rPr>
          <w:noProof/>
        </w:rPr>
      </w:pPr>
      <w:r w:rsidRPr="00D66575">
        <w:rPr>
          <w:noProof/>
        </w:rPr>
        <w:t xml:space="preserve">1.3 </w:t>
      </w:r>
      <w:r w:rsidR="000D3440" w:rsidRPr="00D66575">
        <w:rPr>
          <w:noProof/>
        </w:rPr>
        <w:t xml:space="preserve">The following actions, defined at previous ET-ERA meetings, were carried over in the Buenos Aires meeting report: </w:t>
      </w:r>
    </w:p>
    <w:p w:rsidR="009F0E81" w:rsidRPr="00D66575" w:rsidRDefault="009F0E81" w:rsidP="000D3440">
      <w:pPr>
        <w:ind w:left="851"/>
        <w:rPr>
          <w:noProof/>
        </w:rPr>
      </w:pPr>
      <w:r w:rsidRPr="00D66575">
        <w:rPr>
          <w:noProof/>
          <w:sz w:val="20"/>
          <w:u w:val="single"/>
        </w:rPr>
        <w:t xml:space="preserve">ACTION 15: ICAO, WMO and </w:t>
      </w:r>
      <w:r w:rsidRPr="00D66575">
        <w:rPr>
          <w:noProof/>
          <w:u w:val="single"/>
        </w:rPr>
        <w:t>IAEA</w:t>
      </w:r>
    </w:p>
    <w:p w:rsidR="009F0E81" w:rsidRPr="00D66575" w:rsidRDefault="009F0E81" w:rsidP="000D3440">
      <w:pPr>
        <w:ind w:left="851"/>
        <w:rPr>
          <w:noProof/>
        </w:rPr>
      </w:pPr>
      <w:r w:rsidRPr="00D66575">
        <w:rPr>
          <w:noProof/>
        </w:rPr>
        <w:t>Response from IACRNE Working Group</w:t>
      </w:r>
    </w:p>
    <w:p w:rsidR="009F0E81" w:rsidRPr="00D66575" w:rsidRDefault="009F0E81" w:rsidP="000D3440">
      <w:pPr>
        <w:ind w:left="851"/>
        <w:rPr>
          <w:noProof/>
        </w:rPr>
      </w:pPr>
      <w:r w:rsidRPr="00D66575">
        <w:rPr>
          <w:noProof/>
        </w:rPr>
        <w:t>DUE DATE: Expected in 2016</w:t>
      </w:r>
    </w:p>
    <w:p w:rsidR="009F0E81" w:rsidRPr="00D66575" w:rsidRDefault="000D3440" w:rsidP="000D3440">
      <w:pPr>
        <w:ind w:left="851"/>
        <w:rPr>
          <w:noProof/>
        </w:rPr>
      </w:pPr>
      <w:r w:rsidRPr="00D66575">
        <w:rPr>
          <w:noProof/>
        </w:rPr>
        <w:t>Provide a</w:t>
      </w:r>
      <w:r w:rsidR="009F0E81" w:rsidRPr="00D66575">
        <w:rPr>
          <w:noProof/>
        </w:rPr>
        <w:t xml:space="preserve">nswers to </w:t>
      </w:r>
      <w:r w:rsidR="009456F3" w:rsidRPr="00D66575">
        <w:rPr>
          <w:noProof/>
        </w:rPr>
        <w:t xml:space="preserve">the </w:t>
      </w:r>
      <w:r w:rsidR="009F0E81" w:rsidRPr="00D66575">
        <w:rPr>
          <w:noProof/>
        </w:rPr>
        <w:t>Expert Team on ERA regarding the questions raised by the CG-NERA (Vienna, November 2011) on possible modelling guidance on radioactive clouds for aviation interests.</w:t>
      </w:r>
    </w:p>
    <w:p w:rsidR="009F0E81" w:rsidRPr="00D66575" w:rsidRDefault="009F0E81" w:rsidP="000D3440">
      <w:pPr>
        <w:ind w:left="851"/>
        <w:rPr>
          <w:noProof/>
        </w:rPr>
      </w:pPr>
    </w:p>
    <w:p w:rsidR="009F0E81" w:rsidRPr="00D66575" w:rsidRDefault="009F0E81" w:rsidP="000D3440">
      <w:pPr>
        <w:ind w:left="851"/>
        <w:rPr>
          <w:noProof/>
        </w:rPr>
      </w:pPr>
      <w:r w:rsidRPr="00D66575">
        <w:rPr>
          <w:noProof/>
        </w:rPr>
        <w:t> </w:t>
      </w:r>
      <w:r w:rsidRPr="00D66575">
        <w:rPr>
          <w:noProof/>
          <w:u w:val="single"/>
        </w:rPr>
        <w:t xml:space="preserve">ACTION 16: Chair and RSMCs </w:t>
      </w:r>
    </w:p>
    <w:p w:rsidR="009F0E81" w:rsidRPr="00D66575" w:rsidRDefault="009F0E81" w:rsidP="000D3440">
      <w:pPr>
        <w:ind w:left="851"/>
        <w:rPr>
          <w:noProof/>
        </w:rPr>
      </w:pPr>
      <w:r w:rsidRPr="00D66575">
        <w:rPr>
          <w:noProof/>
        </w:rPr>
        <w:t>Modelling guidance for radioactive clouds</w:t>
      </w:r>
    </w:p>
    <w:p w:rsidR="009F0E81" w:rsidRPr="00D66575" w:rsidRDefault="009F0E81" w:rsidP="000D3440">
      <w:pPr>
        <w:ind w:left="851"/>
        <w:rPr>
          <w:noProof/>
        </w:rPr>
      </w:pPr>
      <w:r w:rsidRPr="00D66575">
        <w:rPr>
          <w:noProof/>
        </w:rPr>
        <w:t>DUE DATE: dependent on action 15</w:t>
      </w:r>
    </w:p>
    <w:p w:rsidR="009F0E81" w:rsidRPr="00D66575" w:rsidRDefault="009F0E81" w:rsidP="000D3440">
      <w:pPr>
        <w:ind w:left="851"/>
        <w:rPr>
          <w:noProof/>
        </w:rPr>
      </w:pPr>
      <w:r w:rsidRPr="00D66575">
        <w:rPr>
          <w:noProof/>
        </w:rPr>
        <w:t>Continue to explore possible ways to provide modelling guidance.</w:t>
      </w:r>
    </w:p>
    <w:p w:rsidR="009F0E81" w:rsidRPr="00D66575" w:rsidRDefault="009F0E81" w:rsidP="009F0E81">
      <w:pPr>
        <w:rPr>
          <w:noProof/>
        </w:rPr>
      </w:pPr>
    </w:p>
    <w:p w:rsidR="00304D4D" w:rsidRPr="00D66575" w:rsidRDefault="00304D4D" w:rsidP="009F0E81">
      <w:pPr>
        <w:rPr>
          <w:noProof/>
        </w:rPr>
      </w:pPr>
      <w:r w:rsidRPr="00D66575">
        <w:rPr>
          <w:noProof/>
        </w:rPr>
        <w:t>1.4 T</w:t>
      </w:r>
      <w:r w:rsidR="00DC1478" w:rsidRPr="00D66575">
        <w:rPr>
          <w:noProof/>
        </w:rPr>
        <w:t xml:space="preserve">he developments that have place </w:t>
      </w:r>
      <w:r w:rsidR="00EA16B1" w:rsidRPr="00D66575">
        <w:rPr>
          <w:noProof/>
        </w:rPr>
        <w:t xml:space="preserve">since the Buenos Aires meeting are </w:t>
      </w:r>
      <w:r w:rsidR="00FF0218" w:rsidRPr="00D66575">
        <w:rPr>
          <w:noProof/>
        </w:rPr>
        <w:t xml:space="preserve">given </w:t>
      </w:r>
      <w:r w:rsidRPr="00D66575">
        <w:rPr>
          <w:noProof/>
        </w:rPr>
        <w:t>in section 2</w:t>
      </w:r>
      <w:r w:rsidR="00360D65" w:rsidRPr="00D66575">
        <w:rPr>
          <w:noProof/>
        </w:rPr>
        <w:t xml:space="preserve"> and their impact on the</w:t>
      </w:r>
      <w:r w:rsidR="00E75D24" w:rsidRPr="00D66575">
        <w:rPr>
          <w:noProof/>
        </w:rPr>
        <w:t xml:space="preserve">se </w:t>
      </w:r>
      <w:r w:rsidR="00360D65" w:rsidRPr="00D66575">
        <w:rPr>
          <w:noProof/>
        </w:rPr>
        <w:t xml:space="preserve">actions are </w:t>
      </w:r>
      <w:r w:rsidR="00FF0218" w:rsidRPr="00D66575">
        <w:rPr>
          <w:noProof/>
        </w:rPr>
        <w:t xml:space="preserve">covered </w:t>
      </w:r>
      <w:r w:rsidR="00360D65" w:rsidRPr="00D66575">
        <w:rPr>
          <w:noProof/>
        </w:rPr>
        <w:t xml:space="preserve">in section 3. </w:t>
      </w:r>
    </w:p>
    <w:p w:rsidR="00304D4D" w:rsidRPr="00D66575" w:rsidRDefault="00304D4D" w:rsidP="009F0E81">
      <w:pPr>
        <w:rPr>
          <w:noProof/>
        </w:rPr>
      </w:pPr>
    </w:p>
    <w:p w:rsidR="009F0E81" w:rsidRPr="00D66575" w:rsidRDefault="009F0E81" w:rsidP="00AA77BD">
      <w:pPr>
        <w:rPr>
          <w:noProof/>
        </w:rPr>
      </w:pPr>
    </w:p>
    <w:p w:rsidR="00DC1478" w:rsidRPr="00D66575" w:rsidRDefault="00304D4D" w:rsidP="00AA77BD">
      <w:pPr>
        <w:rPr>
          <w:b/>
          <w:noProof/>
        </w:rPr>
      </w:pPr>
      <w:r w:rsidRPr="00D66575">
        <w:rPr>
          <w:b/>
          <w:noProof/>
        </w:rPr>
        <w:t>2. DEVELOPMENTS</w:t>
      </w:r>
      <w:r w:rsidR="00DC1478" w:rsidRPr="00D66575">
        <w:rPr>
          <w:b/>
          <w:noProof/>
        </w:rPr>
        <w:t xml:space="preserve"> SINCE THE LAST ET-ERA MEETING</w:t>
      </w:r>
    </w:p>
    <w:p w:rsidR="00AA77BD" w:rsidRPr="00D66575" w:rsidRDefault="00AA77BD" w:rsidP="00532A36">
      <w:pPr>
        <w:rPr>
          <w:i/>
          <w:noProof/>
        </w:rPr>
      </w:pPr>
    </w:p>
    <w:p w:rsidR="00AA77BD" w:rsidRPr="00D66575" w:rsidRDefault="00CE2390" w:rsidP="00AA77BD">
      <w:pPr>
        <w:ind w:left="851"/>
        <w:rPr>
          <w:i/>
          <w:noProof/>
        </w:rPr>
      </w:pPr>
      <w:r w:rsidRPr="00D66575">
        <w:rPr>
          <w:i/>
          <w:noProof/>
        </w:rPr>
        <w:t xml:space="preserve">Note: </w:t>
      </w:r>
      <w:r w:rsidR="00373645" w:rsidRPr="00D66575">
        <w:rPr>
          <w:i/>
          <w:noProof/>
        </w:rPr>
        <w:t xml:space="preserve">Many of the </w:t>
      </w:r>
      <w:r w:rsidR="00AA77BD" w:rsidRPr="00D66575">
        <w:rPr>
          <w:i/>
          <w:noProof/>
        </w:rPr>
        <w:t xml:space="preserve">documents referenced </w:t>
      </w:r>
      <w:r w:rsidRPr="00D66575">
        <w:rPr>
          <w:i/>
          <w:noProof/>
        </w:rPr>
        <w:t xml:space="preserve">below </w:t>
      </w:r>
      <w:r w:rsidR="00DA0F2C" w:rsidRPr="00D66575">
        <w:rPr>
          <w:i/>
          <w:noProof/>
        </w:rPr>
        <w:t xml:space="preserve">are on a </w:t>
      </w:r>
      <w:r w:rsidR="00AA77BD" w:rsidRPr="00D66575">
        <w:rPr>
          <w:i/>
          <w:noProof/>
        </w:rPr>
        <w:t xml:space="preserve">user/password protected </w:t>
      </w:r>
      <w:r w:rsidR="00DA0F2C" w:rsidRPr="00D66575">
        <w:rPr>
          <w:i/>
          <w:noProof/>
        </w:rPr>
        <w:t xml:space="preserve">ICAO </w:t>
      </w:r>
      <w:r w:rsidR="00AA77BD" w:rsidRPr="00D66575">
        <w:rPr>
          <w:i/>
          <w:noProof/>
        </w:rPr>
        <w:t>website</w:t>
      </w:r>
      <w:r w:rsidR="00EC18EA">
        <w:rPr>
          <w:i/>
          <w:noProof/>
        </w:rPr>
        <w:t xml:space="preserve"> and </w:t>
      </w:r>
      <w:r w:rsidR="008D4F6A">
        <w:rPr>
          <w:i/>
          <w:noProof/>
        </w:rPr>
        <w:t xml:space="preserve">are </w:t>
      </w:r>
      <w:r w:rsidR="00DA0F2C" w:rsidRPr="00D66575">
        <w:rPr>
          <w:i/>
          <w:noProof/>
        </w:rPr>
        <w:t>available on request.</w:t>
      </w:r>
    </w:p>
    <w:p w:rsidR="00B00F44" w:rsidRPr="00D66575" w:rsidRDefault="00F07DA4" w:rsidP="00B00F44">
      <w:pPr>
        <w:spacing w:before="100" w:beforeAutospacing="1" w:after="100" w:afterAutospacing="1"/>
        <w:rPr>
          <w:noProof/>
        </w:rPr>
      </w:pPr>
      <w:r w:rsidRPr="00D66575">
        <w:rPr>
          <w:noProof/>
        </w:rPr>
        <w:t> </w:t>
      </w:r>
      <w:r w:rsidR="00514A71" w:rsidRPr="00D66575">
        <w:rPr>
          <w:noProof/>
        </w:rPr>
        <w:t> </w:t>
      </w:r>
      <w:r w:rsidR="00304D4D" w:rsidRPr="00D66575">
        <w:rPr>
          <w:noProof/>
        </w:rPr>
        <w:t>2.1</w:t>
      </w:r>
      <w:r w:rsidR="00F404D6" w:rsidRPr="00D66575">
        <w:rPr>
          <w:noProof/>
        </w:rPr>
        <w:t xml:space="preserve"> </w:t>
      </w:r>
      <w:r w:rsidRPr="00D66575">
        <w:rPr>
          <w:noProof/>
        </w:rPr>
        <w:t>November 2015: The IACRNE</w:t>
      </w:r>
      <w:r w:rsidR="001A2A84" w:rsidRPr="00D66575">
        <w:rPr>
          <w:noProof/>
        </w:rPr>
        <w:t>,</w:t>
      </w:r>
      <w:r w:rsidRPr="00D66575">
        <w:rPr>
          <w:noProof/>
        </w:rPr>
        <w:t xml:space="preserve"> at its 25th regular meeting</w:t>
      </w:r>
      <w:r w:rsidR="001A2A84" w:rsidRPr="00D66575">
        <w:rPr>
          <w:noProof/>
        </w:rPr>
        <w:t>,</w:t>
      </w:r>
      <w:r w:rsidRPr="00D66575">
        <w:rPr>
          <w:noProof/>
        </w:rPr>
        <w:t xml:space="preserve"> </w:t>
      </w:r>
      <w:r w:rsidR="001A2A84" w:rsidRPr="00D66575">
        <w:rPr>
          <w:noProof/>
        </w:rPr>
        <w:t xml:space="preserve">created the </w:t>
      </w:r>
      <w:r w:rsidRPr="00D66575">
        <w:rPr>
          <w:noProof/>
        </w:rPr>
        <w:t>IACRNE Task Group</w:t>
      </w:r>
      <w:r w:rsidR="003870B2">
        <w:rPr>
          <w:noProof/>
        </w:rPr>
        <w:t xml:space="preserve"> (TG)</w:t>
      </w:r>
      <w:r w:rsidR="001C552C">
        <w:rPr>
          <w:noProof/>
        </w:rPr>
        <w:t xml:space="preserve"> </w:t>
      </w:r>
      <w:r w:rsidRPr="00D66575">
        <w:rPr>
          <w:noProof/>
        </w:rPr>
        <w:t xml:space="preserve">on the </w:t>
      </w:r>
      <w:r w:rsidRPr="00D66575">
        <w:rPr>
          <w:i/>
          <w:iCs/>
          <w:noProof/>
        </w:rPr>
        <w:t>Development of Criteria to Support the Issuance of SIGMET in Case of a Release of Radioactive Material into the Atmosphere</w:t>
      </w:r>
      <w:r w:rsidR="000E3AEC" w:rsidRPr="00D66575">
        <w:rPr>
          <w:i/>
          <w:iCs/>
          <w:noProof/>
        </w:rPr>
        <w:t xml:space="preserve"> </w:t>
      </w:r>
      <w:r w:rsidR="000E3AEC" w:rsidRPr="00D66575">
        <w:rPr>
          <w:iCs/>
          <w:noProof/>
        </w:rPr>
        <w:t>with objective to</w:t>
      </w:r>
      <w:r w:rsidR="00B00F44" w:rsidRPr="00D66575">
        <w:rPr>
          <w:noProof/>
        </w:rPr>
        <w:t xml:space="preserve"> </w:t>
      </w:r>
      <w:r w:rsidR="00B32850">
        <w:rPr>
          <w:noProof/>
        </w:rPr>
        <w:t>“</w:t>
      </w:r>
      <w:r w:rsidR="00B00F44" w:rsidRPr="00D66575">
        <w:rPr>
          <w:i/>
          <w:iCs/>
          <w:noProof/>
        </w:rPr>
        <w:t>develop criteria (quantitative or qualitative) to support the issuance of SIGMET in case of a release of radioactive material into the atmosphere and operational intervention levels (OILs) to determine if any response action is warranted for potentially affected aircraft.</w:t>
      </w:r>
      <w:r w:rsidR="00B32850">
        <w:rPr>
          <w:noProof/>
        </w:rPr>
        <w:t>”</w:t>
      </w:r>
    </w:p>
    <w:p w:rsidR="00F07DA4" w:rsidRPr="00D66575" w:rsidRDefault="00F07DA4" w:rsidP="00F07DA4">
      <w:pPr>
        <w:spacing w:before="100" w:beforeAutospacing="1" w:after="100" w:afterAutospacing="1"/>
        <w:rPr>
          <w:noProof/>
        </w:rPr>
      </w:pPr>
    </w:p>
    <w:p w:rsidR="00304D4D" w:rsidRPr="00D66575" w:rsidRDefault="00514A71" w:rsidP="00F07DA4">
      <w:pPr>
        <w:spacing w:before="100" w:beforeAutospacing="1" w:after="100" w:afterAutospacing="1"/>
        <w:rPr>
          <w:noProof/>
        </w:rPr>
      </w:pPr>
      <w:r w:rsidRPr="00D66575">
        <w:rPr>
          <w:noProof/>
        </w:rPr>
        <w:lastRenderedPageBreak/>
        <w:t> </w:t>
      </w:r>
      <w:r w:rsidR="00304D4D" w:rsidRPr="00D66575">
        <w:rPr>
          <w:noProof/>
        </w:rPr>
        <w:t xml:space="preserve">2.2 </w:t>
      </w:r>
      <w:r w:rsidR="00F07DA4" w:rsidRPr="00D66575">
        <w:rPr>
          <w:noProof/>
        </w:rPr>
        <w:t>January</w:t>
      </w:r>
      <w:r w:rsidR="007A7795" w:rsidRPr="00D66575">
        <w:rPr>
          <w:noProof/>
        </w:rPr>
        <w:t xml:space="preserve"> </w:t>
      </w:r>
      <w:r w:rsidR="00F07DA4" w:rsidRPr="00D66575">
        <w:rPr>
          <w:noProof/>
        </w:rPr>
        <w:t>2016: The T</w:t>
      </w:r>
      <w:r w:rsidR="003870B2">
        <w:rPr>
          <w:noProof/>
        </w:rPr>
        <w:t>G</w:t>
      </w:r>
      <w:r w:rsidR="00F07DA4" w:rsidRPr="00D66575">
        <w:rPr>
          <w:noProof/>
        </w:rPr>
        <w:t>, composed of representatives from IAEA, ICAO and the WMO, beg</w:t>
      </w:r>
      <w:r w:rsidR="00DE3420" w:rsidRPr="00D66575">
        <w:rPr>
          <w:noProof/>
        </w:rPr>
        <w:t>ins</w:t>
      </w:r>
      <w:r w:rsidR="001A2A84" w:rsidRPr="00D66575">
        <w:rPr>
          <w:noProof/>
        </w:rPr>
        <w:t xml:space="preserve"> </w:t>
      </w:r>
      <w:r w:rsidR="00320A3A" w:rsidRPr="00D66575">
        <w:rPr>
          <w:noProof/>
        </w:rPr>
        <w:t>its work</w:t>
      </w:r>
      <w:r w:rsidR="00DE3420" w:rsidRPr="00D66575">
        <w:rPr>
          <w:noProof/>
        </w:rPr>
        <w:t>.</w:t>
      </w:r>
    </w:p>
    <w:p w:rsidR="00F07DA4" w:rsidRPr="00D66575" w:rsidRDefault="00304D4D" w:rsidP="00F07DA4">
      <w:pPr>
        <w:spacing w:before="100" w:beforeAutospacing="1" w:after="100" w:afterAutospacing="1"/>
        <w:rPr>
          <w:noProof/>
        </w:rPr>
      </w:pPr>
      <w:r w:rsidRPr="00D66575">
        <w:rPr>
          <w:noProof/>
        </w:rPr>
        <w:t xml:space="preserve">2.3 </w:t>
      </w:r>
      <w:r w:rsidR="00F07DA4" w:rsidRPr="00D66575">
        <w:rPr>
          <w:noProof/>
        </w:rPr>
        <w:t xml:space="preserve">May 2017: </w:t>
      </w:r>
      <w:r w:rsidR="003870B2">
        <w:rPr>
          <w:noProof/>
        </w:rPr>
        <w:t xml:space="preserve">The </w:t>
      </w:r>
      <w:r w:rsidR="00DE3420" w:rsidRPr="00D66575">
        <w:rPr>
          <w:noProof/>
        </w:rPr>
        <w:t xml:space="preserve">TG </w:t>
      </w:r>
      <w:r w:rsidR="005E41CC">
        <w:rPr>
          <w:noProof/>
        </w:rPr>
        <w:t>submits its report</w:t>
      </w:r>
      <w:r w:rsidR="001C11A6" w:rsidRPr="00D66575">
        <w:rPr>
          <w:noProof/>
        </w:rPr>
        <w:t xml:space="preserve"> (see</w:t>
      </w:r>
      <w:r w:rsidR="00651A6C">
        <w:rPr>
          <w:noProof/>
        </w:rPr>
        <w:t xml:space="preserve"> </w:t>
      </w:r>
      <w:hyperlink r:id="rId10" w:history="1">
        <w:r w:rsidR="001C11A6" w:rsidRPr="00D66575">
          <w:rPr>
            <w:rStyle w:val="Hyperlink"/>
            <w:noProof/>
          </w:rPr>
          <w:t>MISD2-SN2101_RRM_ Appendix A</w:t>
        </w:r>
      </w:hyperlink>
      <w:r w:rsidR="001C11A6" w:rsidRPr="00D66575">
        <w:rPr>
          <w:noProof/>
        </w:rPr>
        <w:t xml:space="preserve">). </w:t>
      </w:r>
    </w:p>
    <w:p w:rsidR="00DE203E" w:rsidRPr="00D66575" w:rsidRDefault="00514A71" w:rsidP="00F07DA4">
      <w:pPr>
        <w:spacing w:before="100" w:beforeAutospacing="1" w:after="100" w:afterAutospacing="1"/>
        <w:rPr>
          <w:noProof/>
        </w:rPr>
      </w:pPr>
      <w:r w:rsidRPr="00D66575">
        <w:rPr>
          <w:noProof/>
        </w:rPr>
        <w:t> </w:t>
      </w:r>
      <w:r w:rsidR="00304D4D" w:rsidRPr="00D66575">
        <w:rPr>
          <w:noProof/>
        </w:rPr>
        <w:t>2.4</w:t>
      </w:r>
      <w:r w:rsidRPr="00D66575">
        <w:rPr>
          <w:rFonts w:cs="Arial"/>
          <w:noProof/>
        </w:rPr>
        <w:t xml:space="preserve"> </w:t>
      </w:r>
      <w:r w:rsidR="00F07DA4" w:rsidRPr="00D66575">
        <w:rPr>
          <w:noProof/>
        </w:rPr>
        <w:t xml:space="preserve">July 2017: The </w:t>
      </w:r>
      <w:r w:rsidR="00BD6D34" w:rsidRPr="00D66575">
        <w:rPr>
          <w:noProof/>
        </w:rPr>
        <w:t>T</w:t>
      </w:r>
      <w:r w:rsidR="007A7795" w:rsidRPr="00D66575">
        <w:rPr>
          <w:noProof/>
        </w:rPr>
        <w:t>G</w:t>
      </w:r>
      <w:r w:rsidR="003D550E">
        <w:rPr>
          <w:noProof/>
        </w:rPr>
        <w:t>’</w:t>
      </w:r>
      <w:r w:rsidR="007A7795" w:rsidRPr="00D66575">
        <w:rPr>
          <w:noProof/>
        </w:rPr>
        <w:t xml:space="preserve">s </w:t>
      </w:r>
      <w:r w:rsidR="00F07DA4" w:rsidRPr="00D66575">
        <w:rPr>
          <w:noProof/>
        </w:rPr>
        <w:t>report</w:t>
      </w:r>
      <w:r w:rsidR="007A7795" w:rsidRPr="00D66575">
        <w:rPr>
          <w:noProof/>
        </w:rPr>
        <w:t xml:space="preserve"> is</w:t>
      </w:r>
      <w:r w:rsidR="00F07DA4" w:rsidRPr="00D66575">
        <w:rPr>
          <w:noProof/>
        </w:rPr>
        <w:t xml:space="preserve"> presented at </w:t>
      </w:r>
      <w:r w:rsidR="00DE3420" w:rsidRPr="00D66575">
        <w:rPr>
          <w:noProof/>
        </w:rPr>
        <w:t xml:space="preserve">the </w:t>
      </w:r>
      <w:r w:rsidR="00F07DA4" w:rsidRPr="00D66575">
        <w:rPr>
          <w:noProof/>
        </w:rPr>
        <w:t>MISD</w:t>
      </w:r>
      <w:r w:rsidR="00BD6D34" w:rsidRPr="00D66575">
        <w:rPr>
          <w:noProof/>
        </w:rPr>
        <w:t>-3</w:t>
      </w:r>
      <w:r w:rsidR="00F07DA4" w:rsidRPr="00D66575">
        <w:rPr>
          <w:noProof/>
        </w:rPr>
        <w:t xml:space="preserve"> RRM </w:t>
      </w:r>
      <w:r w:rsidR="00BD6D34" w:rsidRPr="00D66575">
        <w:rPr>
          <w:noProof/>
        </w:rPr>
        <w:t xml:space="preserve">meeting </w:t>
      </w:r>
      <w:r w:rsidR="00493D19" w:rsidRPr="00D66575">
        <w:rPr>
          <w:noProof/>
        </w:rPr>
        <w:t xml:space="preserve">(see </w:t>
      </w:r>
      <w:hyperlink r:id="rId11" w:history="1">
        <w:r w:rsidR="00CC26C4" w:rsidRPr="00D66575">
          <w:rPr>
            <w:rStyle w:val="Hyperlink"/>
            <w:noProof/>
          </w:rPr>
          <w:t>MISD3-SN2101_RRM</w:t>
        </w:r>
      </w:hyperlink>
      <w:r w:rsidR="00CC26C4" w:rsidRPr="00D66575">
        <w:rPr>
          <w:noProof/>
        </w:rPr>
        <w:t>)</w:t>
      </w:r>
      <w:r w:rsidR="00493D19" w:rsidRPr="00D66575">
        <w:rPr>
          <w:noProof/>
        </w:rPr>
        <w:t xml:space="preserve">. </w:t>
      </w:r>
      <w:r w:rsidR="00563E61" w:rsidRPr="00D66575">
        <w:rPr>
          <w:noProof/>
        </w:rPr>
        <w:t>The key points are:</w:t>
      </w:r>
    </w:p>
    <w:p w:rsidR="00C15CD5" w:rsidRPr="00D66575" w:rsidRDefault="00DE203E" w:rsidP="00DE203E">
      <w:pPr>
        <w:spacing w:before="100" w:beforeAutospacing="1" w:after="100" w:afterAutospacing="1"/>
        <w:ind w:left="567"/>
        <w:rPr>
          <w:noProof/>
        </w:rPr>
      </w:pPr>
      <w:r w:rsidRPr="00D66575">
        <w:rPr>
          <w:noProof/>
        </w:rPr>
        <w:t xml:space="preserve"> 1) </w:t>
      </w:r>
      <w:r w:rsidR="00C15CD5" w:rsidRPr="00D66575">
        <w:rPr>
          <w:noProof/>
        </w:rPr>
        <w:t xml:space="preserve">Dose </w:t>
      </w:r>
      <w:r w:rsidR="000C46C1" w:rsidRPr="00D66575">
        <w:rPr>
          <w:noProof/>
        </w:rPr>
        <w:t>and plume projection tools</w:t>
      </w:r>
      <w:r w:rsidR="00C15CD5" w:rsidRPr="00D66575">
        <w:rPr>
          <w:noProof/>
        </w:rPr>
        <w:t xml:space="preserve"> are not considered suitable to define the radioactive cloud SIGMET</w:t>
      </w:r>
      <w:r w:rsidR="00651A6C">
        <w:rPr>
          <w:noProof/>
        </w:rPr>
        <w:t xml:space="preserve"> </w:t>
      </w:r>
      <w:r w:rsidR="00C15CD5" w:rsidRPr="00D66575">
        <w:rPr>
          <w:noProof/>
        </w:rPr>
        <w:t>for reasons detailed in the report.</w:t>
      </w:r>
    </w:p>
    <w:p w:rsidR="00373645" w:rsidRPr="00D66575" w:rsidRDefault="00C15CD5" w:rsidP="00DE203E">
      <w:pPr>
        <w:spacing w:before="100" w:beforeAutospacing="1" w:after="100" w:afterAutospacing="1"/>
        <w:ind w:left="567"/>
        <w:rPr>
          <w:noProof/>
        </w:rPr>
      </w:pPr>
      <w:r w:rsidRPr="00D66575">
        <w:rPr>
          <w:noProof/>
        </w:rPr>
        <w:t xml:space="preserve">2) </w:t>
      </w:r>
      <w:r w:rsidR="00DE203E" w:rsidRPr="00D66575">
        <w:rPr>
          <w:i/>
          <w:noProof/>
          <w:u w:val="single"/>
        </w:rPr>
        <w:t xml:space="preserve">The radioactive cloud SIGMET can be </w:t>
      </w:r>
      <w:r w:rsidR="00373645" w:rsidRPr="00D66575">
        <w:rPr>
          <w:i/>
          <w:noProof/>
          <w:u w:val="single"/>
        </w:rPr>
        <w:t xml:space="preserve">adequately </w:t>
      </w:r>
      <w:r w:rsidR="00DE203E" w:rsidRPr="00D66575">
        <w:rPr>
          <w:i/>
          <w:noProof/>
          <w:u w:val="single"/>
        </w:rPr>
        <w:t>defined by a cylinder covering all flight levels and with a fixed radius (i.e. not time dependent) of up to 30 km</w:t>
      </w:r>
      <w:r w:rsidR="002A7383" w:rsidRPr="0030483D">
        <w:rPr>
          <w:noProof/>
        </w:rPr>
        <w:t>*</w:t>
      </w:r>
      <w:r w:rsidR="00DE203E" w:rsidRPr="0030483D">
        <w:rPr>
          <w:noProof/>
        </w:rPr>
        <w:t>.</w:t>
      </w:r>
      <w:r w:rsidR="00DE203E" w:rsidRPr="00D66575">
        <w:rPr>
          <w:noProof/>
        </w:rPr>
        <w:t xml:space="preserve"> This corresponds to IAEA emergency planning zones</w:t>
      </w:r>
      <w:r w:rsidR="00E313E7" w:rsidRPr="00D66575">
        <w:rPr>
          <w:noProof/>
        </w:rPr>
        <w:t xml:space="preserve">, but </w:t>
      </w:r>
      <w:r w:rsidR="00373645" w:rsidRPr="00D66575">
        <w:rPr>
          <w:noProof/>
        </w:rPr>
        <w:t xml:space="preserve">applied </w:t>
      </w:r>
      <w:r w:rsidR="00DE203E" w:rsidRPr="00D66575">
        <w:rPr>
          <w:noProof/>
        </w:rPr>
        <w:t>to aviation</w:t>
      </w:r>
      <w:r w:rsidR="000D5339" w:rsidRPr="00D66575">
        <w:rPr>
          <w:noProof/>
        </w:rPr>
        <w:t xml:space="preserve">, and is based on very </w:t>
      </w:r>
      <w:r w:rsidR="00451B36" w:rsidRPr="00D66575">
        <w:rPr>
          <w:noProof/>
        </w:rPr>
        <w:t>conservation assumptions</w:t>
      </w:r>
      <w:r w:rsidR="008E6DE5">
        <w:rPr>
          <w:noProof/>
        </w:rPr>
        <w:t>:</w:t>
      </w:r>
      <w:r w:rsidR="00451B36" w:rsidRPr="00D66575">
        <w:rPr>
          <w:noProof/>
        </w:rPr>
        <w:t xml:space="preserve"> </w:t>
      </w:r>
      <w:r w:rsidR="00E313E7" w:rsidRPr="00D66575">
        <w:rPr>
          <w:noProof/>
        </w:rPr>
        <w:t xml:space="preserve">  </w:t>
      </w:r>
    </w:p>
    <w:p w:rsidR="00E313E7" w:rsidRPr="00D66575" w:rsidRDefault="00B32850" w:rsidP="0041644D">
      <w:pPr>
        <w:ind w:left="993"/>
        <w:rPr>
          <w:noProof/>
          <w:color w:val="000000"/>
        </w:rPr>
      </w:pPr>
      <w:r>
        <w:rPr>
          <w:noProof/>
          <w:color w:val="000000"/>
        </w:rPr>
        <w:t>—</w:t>
      </w:r>
      <w:r w:rsidR="0030483D">
        <w:rPr>
          <w:noProof/>
          <w:color w:val="000000"/>
        </w:rPr>
        <w:t xml:space="preserve"> </w:t>
      </w:r>
      <w:r w:rsidR="00373645" w:rsidRPr="00D66575">
        <w:rPr>
          <w:noProof/>
          <w:color w:val="000000"/>
        </w:rPr>
        <w:t xml:space="preserve">The radius that IAEA uses to define the </w:t>
      </w:r>
      <w:r>
        <w:rPr>
          <w:noProof/>
          <w:color w:val="000000"/>
        </w:rPr>
        <w:t>“</w:t>
      </w:r>
      <w:r w:rsidR="00373645" w:rsidRPr="00D66575">
        <w:rPr>
          <w:noProof/>
          <w:color w:val="000000"/>
        </w:rPr>
        <w:t>urgent protective action zone</w:t>
      </w:r>
      <w:r>
        <w:rPr>
          <w:noProof/>
          <w:color w:val="000000"/>
        </w:rPr>
        <w:t>”</w:t>
      </w:r>
      <w:r w:rsidR="00373645" w:rsidRPr="00D66575">
        <w:rPr>
          <w:noProof/>
          <w:color w:val="000000"/>
        </w:rPr>
        <w:t xml:space="preserve"> at the surface (typically 30 km) is based on a worst-case scenario where a large amount of radioactivity is released over a 10</w:t>
      </w:r>
      <w:r>
        <w:rPr>
          <w:noProof/>
          <w:color w:val="000000"/>
        </w:rPr>
        <w:t xml:space="preserve"> </w:t>
      </w:r>
      <w:r w:rsidR="00373645" w:rsidRPr="00D66575">
        <w:rPr>
          <w:noProof/>
          <w:color w:val="000000"/>
        </w:rPr>
        <w:t xml:space="preserve">hr period and the corresponding </w:t>
      </w:r>
      <w:r w:rsidR="00373645" w:rsidRPr="00D66575">
        <w:rPr>
          <w:noProof/>
          <w:color w:val="000000"/>
          <w:u w:val="single"/>
        </w:rPr>
        <w:t>predetermined</w:t>
      </w:r>
      <w:r w:rsidR="00E313E7" w:rsidRPr="00D66575">
        <w:rPr>
          <w:noProof/>
          <w:color w:val="000000"/>
          <w:u w:val="single"/>
        </w:rPr>
        <w:t xml:space="preserve"> estimates of the health</w:t>
      </w:r>
      <w:r w:rsidR="00424E5C" w:rsidRPr="00D66575">
        <w:rPr>
          <w:noProof/>
          <w:color w:val="000000"/>
          <w:u w:val="single"/>
        </w:rPr>
        <w:t xml:space="preserve"> hazard</w:t>
      </w:r>
      <w:r w:rsidR="00E313E7" w:rsidRPr="00D66575">
        <w:rPr>
          <w:noProof/>
          <w:color w:val="000000"/>
        </w:rPr>
        <w:t xml:space="preserve"> </w:t>
      </w:r>
      <w:r w:rsidR="00373645" w:rsidRPr="00D66575">
        <w:rPr>
          <w:noProof/>
          <w:color w:val="000000"/>
        </w:rPr>
        <w:t xml:space="preserve">(i.e. </w:t>
      </w:r>
      <w:r w:rsidR="00E313E7" w:rsidRPr="00D66575">
        <w:rPr>
          <w:noProof/>
          <w:color w:val="000000"/>
        </w:rPr>
        <w:t>calculated before the NPP is built, based on the characteristics of the reactor)</w:t>
      </w:r>
      <w:r w:rsidR="00373645" w:rsidRPr="00D66575">
        <w:rPr>
          <w:noProof/>
          <w:color w:val="000000"/>
        </w:rPr>
        <w:t>.</w:t>
      </w:r>
    </w:p>
    <w:p w:rsidR="00373645" w:rsidRPr="00D66575" w:rsidRDefault="00373645" w:rsidP="0041644D">
      <w:pPr>
        <w:ind w:left="993"/>
        <w:rPr>
          <w:noProof/>
          <w:color w:val="000000"/>
        </w:rPr>
      </w:pPr>
      <w:r w:rsidRPr="00D66575">
        <w:rPr>
          <w:noProof/>
          <w:color w:val="000000"/>
        </w:rPr>
        <w:br/>
      </w:r>
      <w:r w:rsidR="00B32850">
        <w:rPr>
          <w:noProof/>
          <w:color w:val="000000"/>
        </w:rPr>
        <w:t>—</w:t>
      </w:r>
      <w:r w:rsidR="0030483D">
        <w:rPr>
          <w:noProof/>
          <w:color w:val="000000"/>
        </w:rPr>
        <w:t xml:space="preserve"> </w:t>
      </w:r>
      <w:r w:rsidRPr="00D66575">
        <w:rPr>
          <w:noProof/>
          <w:color w:val="000000"/>
        </w:rPr>
        <w:t>The health hazard is determined from modelling calculations of the total dose (cloud</w:t>
      </w:r>
      <w:r w:rsidR="00003679">
        <w:rPr>
          <w:noProof/>
          <w:color w:val="000000"/>
        </w:rPr>
        <w:t xml:space="preserve"> </w:t>
      </w:r>
      <w:r w:rsidRPr="00D66575">
        <w:rPr>
          <w:noProof/>
          <w:color w:val="000000"/>
        </w:rPr>
        <w:t xml:space="preserve">shine, inhalation and ground shine) received in the first </w:t>
      </w:r>
      <w:r w:rsidR="00E313E7" w:rsidRPr="00D66575">
        <w:rPr>
          <w:noProof/>
          <w:color w:val="000000"/>
        </w:rPr>
        <w:t xml:space="preserve">seven </w:t>
      </w:r>
      <w:r w:rsidRPr="00D66575">
        <w:rPr>
          <w:noProof/>
          <w:color w:val="000000"/>
        </w:rPr>
        <w:t>days after the start of the release (</w:t>
      </w:r>
      <w:hyperlink r:id="rId12" w:history="1">
        <w:r w:rsidR="00003679">
          <w:rPr>
            <w:rStyle w:val="Hyperlink"/>
            <w:noProof/>
          </w:rPr>
          <w:t>IAEA Safety Standards Series No. GSR Part 7</w:t>
        </w:r>
      </w:hyperlink>
      <w:r w:rsidRPr="00D66575">
        <w:rPr>
          <w:noProof/>
          <w:color w:val="000000"/>
        </w:rPr>
        <w:t>) and the very conservative assumption that the most sensitive person (young child) is</w:t>
      </w:r>
      <w:r w:rsidR="00E313E7" w:rsidRPr="00D66575">
        <w:rPr>
          <w:noProof/>
          <w:color w:val="000000"/>
        </w:rPr>
        <w:t xml:space="preserve"> </w:t>
      </w:r>
      <w:r w:rsidRPr="00D66575">
        <w:rPr>
          <w:noProof/>
          <w:color w:val="000000"/>
        </w:rPr>
        <w:t>breathing the radioactive material directly throughout the duration of the 10-hour release.</w:t>
      </w:r>
    </w:p>
    <w:p w:rsidR="0030483D" w:rsidRPr="009A5A9C" w:rsidRDefault="002A7383" w:rsidP="00057975">
      <w:pPr>
        <w:spacing w:before="100" w:beforeAutospacing="1" w:after="100" w:afterAutospacing="1"/>
        <w:ind w:left="567"/>
        <w:rPr>
          <w:noProof/>
          <w:sz w:val="20"/>
          <w:szCs w:val="20"/>
        </w:rPr>
      </w:pPr>
      <w:r w:rsidRPr="009A5A9C">
        <w:rPr>
          <w:noProof/>
          <w:sz w:val="20"/>
          <w:szCs w:val="20"/>
        </w:rPr>
        <w:t xml:space="preserve">* </w:t>
      </w:r>
      <w:r w:rsidR="00DE203E" w:rsidRPr="009A5A9C">
        <w:rPr>
          <w:noProof/>
          <w:sz w:val="20"/>
          <w:szCs w:val="20"/>
        </w:rPr>
        <w:t xml:space="preserve">This </w:t>
      </w:r>
      <w:r w:rsidRPr="009A5A9C">
        <w:rPr>
          <w:noProof/>
          <w:sz w:val="20"/>
          <w:szCs w:val="20"/>
        </w:rPr>
        <w:t xml:space="preserve">must not be </w:t>
      </w:r>
      <w:r w:rsidR="00DE203E" w:rsidRPr="009A5A9C">
        <w:rPr>
          <w:noProof/>
          <w:sz w:val="20"/>
          <w:szCs w:val="20"/>
        </w:rPr>
        <w:t xml:space="preserve">interpreted </w:t>
      </w:r>
      <w:r w:rsidRPr="009A5A9C">
        <w:rPr>
          <w:noProof/>
          <w:sz w:val="20"/>
          <w:szCs w:val="20"/>
        </w:rPr>
        <w:t xml:space="preserve">to mean that </w:t>
      </w:r>
      <w:r w:rsidR="00DE203E" w:rsidRPr="009A5A9C">
        <w:rPr>
          <w:noProof/>
          <w:sz w:val="20"/>
          <w:szCs w:val="20"/>
        </w:rPr>
        <w:t xml:space="preserve">radioactive material </w:t>
      </w:r>
      <w:r w:rsidRPr="009A5A9C">
        <w:rPr>
          <w:noProof/>
          <w:sz w:val="20"/>
          <w:szCs w:val="20"/>
        </w:rPr>
        <w:t xml:space="preserve">is not </w:t>
      </w:r>
      <w:r w:rsidR="00DE203E" w:rsidRPr="009A5A9C">
        <w:rPr>
          <w:noProof/>
          <w:sz w:val="20"/>
          <w:szCs w:val="20"/>
        </w:rPr>
        <w:t xml:space="preserve">transported outside </w:t>
      </w:r>
      <w:r w:rsidR="007F23BC" w:rsidRPr="009A5A9C">
        <w:rPr>
          <w:noProof/>
          <w:sz w:val="20"/>
          <w:szCs w:val="20"/>
        </w:rPr>
        <w:t>of the 3</w:t>
      </w:r>
      <w:r w:rsidRPr="009A5A9C">
        <w:rPr>
          <w:noProof/>
          <w:sz w:val="20"/>
          <w:szCs w:val="20"/>
        </w:rPr>
        <w:t xml:space="preserve">0 km radius. </w:t>
      </w:r>
      <w:r w:rsidR="00DE203E" w:rsidRPr="009A5A9C">
        <w:rPr>
          <w:noProof/>
          <w:sz w:val="20"/>
          <w:szCs w:val="20"/>
        </w:rPr>
        <w:t xml:space="preserve">Obviously, it </w:t>
      </w:r>
      <w:r w:rsidRPr="009A5A9C">
        <w:rPr>
          <w:noProof/>
          <w:sz w:val="20"/>
          <w:szCs w:val="20"/>
        </w:rPr>
        <w:t xml:space="preserve">is </w:t>
      </w:r>
      <w:r w:rsidR="00DE203E" w:rsidRPr="009A5A9C">
        <w:rPr>
          <w:noProof/>
          <w:sz w:val="20"/>
          <w:szCs w:val="20"/>
        </w:rPr>
        <w:t xml:space="preserve">but from a health perspective (total dose), it is not a danger for </w:t>
      </w:r>
      <w:r w:rsidR="00003679" w:rsidRPr="009A5A9C">
        <w:rPr>
          <w:noProof/>
          <w:sz w:val="20"/>
          <w:szCs w:val="20"/>
        </w:rPr>
        <w:t xml:space="preserve">the </w:t>
      </w:r>
      <w:r w:rsidR="00DE203E" w:rsidRPr="009A5A9C">
        <w:rPr>
          <w:noProof/>
          <w:sz w:val="20"/>
          <w:szCs w:val="20"/>
        </w:rPr>
        <w:t>passengers</w:t>
      </w:r>
      <w:r w:rsidR="00003679" w:rsidRPr="009A5A9C">
        <w:rPr>
          <w:noProof/>
          <w:sz w:val="20"/>
          <w:szCs w:val="20"/>
        </w:rPr>
        <w:t xml:space="preserve"> of the aircraft</w:t>
      </w:r>
      <w:r w:rsidR="00DE203E" w:rsidRPr="009A5A9C">
        <w:rPr>
          <w:noProof/>
          <w:sz w:val="20"/>
          <w:szCs w:val="20"/>
        </w:rPr>
        <w:t xml:space="preserve">. </w:t>
      </w:r>
    </w:p>
    <w:p w:rsidR="00DE203E" w:rsidRPr="00D66575" w:rsidRDefault="007F23BC" w:rsidP="00DE203E">
      <w:pPr>
        <w:spacing w:before="100" w:beforeAutospacing="1" w:after="100" w:afterAutospacing="1"/>
        <w:ind w:left="567"/>
        <w:rPr>
          <w:noProof/>
        </w:rPr>
      </w:pPr>
      <w:r w:rsidRPr="00D66575">
        <w:rPr>
          <w:noProof/>
        </w:rPr>
        <w:t>3</w:t>
      </w:r>
      <w:r w:rsidR="00DE203E" w:rsidRPr="00D66575">
        <w:rPr>
          <w:noProof/>
        </w:rPr>
        <w:t>) An important consequential impact of the</w:t>
      </w:r>
      <w:r w:rsidR="000E2DEA" w:rsidRPr="00D66575">
        <w:rPr>
          <w:noProof/>
        </w:rPr>
        <w:t xml:space="preserve"> report is that phases 2 and 3, on the </w:t>
      </w:r>
      <w:r w:rsidR="00DE203E" w:rsidRPr="00D66575">
        <w:rPr>
          <w:noProof/>
        </w:rPr>
        <w:t>use of source term estimates and ATDM to calculate airborne radioactivity concentrations and/or doses</w:t>
      </w:r>
      <w:r w:rsidR="000E2DEA" w:rsidRPr="00D66575">
        <w:rPr>
          <w:noProof/>
        </w:rPr>
        <w:t>,</w:t>
      </w:r>
      <w:r w:rsidR="001E139A" w:rsidRPr="00D66575">
        <w:rPr>
          <w:noProof/>
        </w:rPr>
        <w:t xml:space="preserve"> </w:t>
      </w:r>
      <w:r w:rsidR="00DE203E" w:rsidRPr="00D66575">
        <w:rPr>
          <w:noProof/>
        </w:rPr>
        <w:t xml:space="preserve">are no longer needed in the </w:t>
      </w:r>
      <w:r w:rsidR="00DE203E" w:rsidRPr="00D66575">
        <w:rPr>
          <w:i/>
          <w:iCs/>
          <w:noProof/>
        </w:rPr>
        <w:t>Concept of Operations for Radioactive Material Information Services in Support of International Air Navigation</w:t>
      </w:r>
      <w:r w:rsidR="00DE203E" w:rsidRPr="00D66575">
        <w:rPr>
          <w:noProof/>
        </w:rPr>
        <w:t xml:space="preserve">. From an international civil aviation perspective, there is therefore no justification for </w:t>
      </w:r>
      <w:r w:rsidR="00003679">
        <w:rPr>
          <w:noProof/>
        </w:rPr>
        <w:t xml:space="preserve">ICAO or WMO </w:t>
      </w:r>
      <w:r w:rsidR="00DE203E" w:rsidRPr="00D66575">
        <w:rPr>
          <w:noProof/>
        </w:rPr>
        <w:t>to pursue efforts or continue to inject resources on these.</w:t>
      </w:r>
    </w:p>
    <w:p w:rsidR="00DE203E" w:rsidRPr="00D66575" w:rsidRDefault="00DE203E" w:rsidP="00DE203E">
      <w:pPr>
        <w:spacing w:before="100" w:beforeAutospacing="1" w:after="100" w:afterAutospacing="1"/>
        <w:ind w:left="567"/>
        <w:rPr>
          <w:noProof/>
        </w:rPr>
      </w:pPr>
      <w:r w:rsidRPr="00D66575">
        <w:rPr>
          <w:noProof/>
        </w:rPr>
        <w:t> </w:t>
      </w:r>
      <w:r w:rsidR="007F23BC" w:rsidRPr="00D66575">
        <w:rPr>
          <w:noProof/>
        </w:rPr>
        <w:t>4</w:t>
      </w:r>
      <w:r w:rsidRPr="00D66575">
        <w:rPr>
          <w:noProof/>
        </w:rPr>
        <w:t xml:space="preserve">) There are also </w:t>
      </w:r>
      <w:r w:rsidR="00003679">
        <w:rPr>
          <w:noProof/>
        </w:rPr>
        <w:t xml:space="preserve">important </w:t>
      </w:r>
      <w:r w:rsidRPr="00D66575">
        <w:rPr>
          <w:noProof/>
        </w:rPr>
        <w:t>consequential impacts in regard to the radioactive cloud SIGMET in Annex 3.</w:t>
      </w:r>
    </w:p>
    <w:p w:rsidR="00F404D6" w:rsidRPr="00D66575" w:rsidRDefault="00304D4D" w:rsidP="00563E61">
      <w:pPr>
        <w:spacing w:before="100" w:beforeAutospacing="1" w:after="100" w:afterAutospacing="1"/>
        <w:rPr>
          <w:noProof/>
        </w:rPr>
      </w:pPr>
      <w:r w:rsidRPr="00D66575">
        <w:rPr>
          <w:noProof/>
        </w:rPr>
        <w:t xml:space="preserve">2.5 </w:t>
      </w:r>
      <w:r w:rsidR="00563E61" w:rsidRPr="00D66575">
        <w:rPr>
          <w:noProof/>
        </w:rPr>
        <w:t>The</w:t>
      </w:r>
      <w:r w:rsidR="00C46668">
        <w:rPr>
          <w:noProof/>
        </w:rPr>
        <w:t xml:space="preserve"> </w:t>
      </w:r>
      <w:r w:rsidR="00E36E2D" w:rsidRPr="00D66575">
        <w:rPr>
          <w:noProof/>
        </w:rPr>
        <w:t xml:space="preserve">MISD-3 </w:t>
      </w:r>
      <w:r w:rsidR="00563E61" w:rsidRPr="00D66575">
        <w:rPr>
          <w:noProof/>
        </w:rPr>
        <w:t xml:space="preserve">meeting </w:t>
      </w:r>
      <w:r w:rsidR="00C46668">
        <w:rPr>
          <w:noProof/>
        </w:rPr>
        <w:t xml:space="preserve">approved these </w:t>
      </w:r>
      <w:r w:rsidR="00563E61" w:rsidRPr="00D66575">
        <w:rPr>
          <w:noProof/>
        </w:rPr>
        <w:t xml:space="preserve">and included </w:t>
      </w:r>
      <w:r w:rsidR="00C46668">
        <w:rPr>
          <w:noProof/>
        </w:rPr>
        <w:t xml:space="preserve"> them </w:t>
      </w:r>
      <w:r w:rsidR="00563E61" w:rsidRPr="00D66575">
        <w:rPr>
          <w:noProof/>
        </w:rPr>
        <w:t>in the report</w:t>
      </w:r>
      <w:r w:rsidR="00C46668">
        <w:rPr>
          <w:noProof/>
        </w:rPr>
        <w:t xml:space="preserve">. Some </w:t>
      </w:r>
      <w:r w:rsidR="00E36E2D" w:rsidRPr="00D66575">
        <w:rPr>
          <w:noProof/>
        </w:rPr>
        <w:t>members did n</w:t>
      </w:r>
      <w:r w:rsidR="00DE203E" w:rsidRPr="00D66575">
        <w:rPr>
          <w:noProof/>
        </w:rPr>
        <w:t xml:space="preserve">ot agree and indicated that they would continue with ATDM development for aviation. Paragraph 3.2.1.1 in the </w:t>
      </w:r>
      <w:hyperlink r:id="rId13" w:history="1">
        <w:r w:rsidR="00DE203E" w:rsidRPr="00D66575">
          <w:rPr>
            <w:rStyle w:val="Hyperlink"/>
            <w:noProof/>
          </w:rPr>
          <w:t>MISR-3 RRM report</w:t>
        </w:r>
      </w:hyperlink>
      <w:r w:rsidR="00DE203E" w:rsidRPr="00D66575">
        <w:rPr>
          <w:noProof/>
        </w:rPr>
        <w:t xml:space="preserve"> summarizes </w:t>
      </w:r>
      <w:r w:rsidR="00E11176">
        <w:rPr>
          <w:noProof/>
        </w:rPr>
        <w:t>it nicely</w:t>
      </w:r>
      <w:r w:rsidR="00BA6493">
        <w:rPr>
          <w:noProof/>
        </w:rPr>
        <w:t>:</w:t>
      </w:r>
      <w:r w:rsidR="00F861A0">
        <w:rPr>
          <w:noProof/>
        </w:rPr>
        <w:t xml:space="preserve"> </w:t>
      </w:r>
      <w:r w:rsidR="00F861A0">
        <w:rPr>
          <w:i/>
          <w:iCs/>
          <w:noProof/>
        </w:rPr>
        <w:t>“</w:t>
      </w:r>
      <w:r w:rsidR="00DE203E" w:rsidRPr="00D66575">
        <w:rPr>
          <w:i/>
          <w:iCs/>
          <w:noProof/>
        </w:rPr>
        <w:t>The meeting was reminded that the MET Panel had asked for the IACRNE report and the meeting understood that the reasonable response is for the MET Panel to abide by information in the report when considering changes to ICAO’s provisions of MET information. But the meeting understood that it is within the rights of States to continue to improve modelling efforts or to close airspace (i.e.,</w:t>
      </w:r>
      <w:r w:rsidR="007F23BC" w:rsidRPr="00D66575">
        <w:rPr>
          <w:i/>
          <w:iCs/>
          <w:noProof/>
        </w:rPr>
        <w:t xml:space="preserve"> </w:t>
      </w:r>
      <w:r w:rsidR="00DE203E" w:rsidRPr="00D66575">
        <w:rPr>
          <w:i/>
          <w:iCs/>
          <w:noProof/>
        </w:rPr>
        <w:t>danger area) in the event of a radiation release</w:t>
      </w:r>
      <w:r w:rsidR="003D550E">
        <w:rPr>
          <w:i/>
          <w:iCs/>
          <w:noProof/>
        </w:rPr>
        <w:t xml:space="preserve"> </w:t>
      </w:r>
      <w:r w:rsidR="00F861A0">
        <w:rPr>
          <w:noProof/>
        </w:rPr>
        <w:t>“</w:t>
      </w:r>
      <w:r w:rsidR="00DE203E" w:rsidRPr="00D66575">
        <w:rPr>
          <w:noProof/>
        </w:rPr>
        <w:t>.</w:t>
      </w:r>
    </w:p>
    <w:p w:rsidR="008B2609" w:rsidRDefault="00304D4D" w:rsidP="001E139A">
      <w:pPr>
        <w:spacing w:before="100" w:beforeAutospacing="1" w:after="100" w:afterAutospacing="1"/>
        <w:rPr>
          <w:iCs/>
          <w:noProof/>
        </w:rPr>
      </w:pPr>
      <w:r w:rsidRPr="00D66575">
        <w:rPr>
          <w:noProof/>
        </w:rPr>
        <w:t xml:space="preserve">2.6 </w:t>
      </w:r>
      <w:r w:rsidR="00F55CAA" w:rsidRPr="00D66575">
        <w:rPr>
          <w:noProof/>
        </w:rPr>
        <w:t>May</w:t>
      </w:r>
      <w:r w:rsidR="006540BE" w:rsidRPr="00D66575">
        <w:rPr>
          <w:noProof/>
        </w:rPr>
        <w:t xml:space="preserve"> 2018: </w:t>
      </w:r>
      <w:r w:rsidR="00365141" w:rsidRPr="00D66575">
        <w:rPr>
          <w:noProof/>
        </w:rPr>
        <w:t>MISD-4 RRM meeting</w:t>
      </w:r>
      <w:r w:rsidR="007F23BC" w:rsidRPr="00D66575">
        <w:rPr>
          <w:noProof/>
        </w:rPr>
        <w:t xml:space="preserve">. </w:t>
      </w:r>
      <w:r w:rsidR="00161330" w:rsidRPr="00D66575">
        <w:rPr>
          <w:noProof/>
        </w:rPr>
        <w:t>Following the MIS</w:t>
      </w:r>
      <w:r w:rsidR="006540BE" w:rsidRPr="00D66575">
        <w:rPr>
          <w:noProof/>
        </w:rPr>
        <w:t>D-3 RRM decisions, a</w:t>
      </w:r>
      <w:r w:rsidR="007F23BC" w:rsidRPr="00D66575">
        <w:rPr>
          <w:noProof/>
        </w:rPr>
        <w:t xml:space="preserve"> </w:t>
      </w:r>
      <w:r w:rsidR="00AE5FEA" w:rsidRPr="00D66575">
        <w:rPr>
          <w:noProof/>
        </w:rPr>
        <w:t xml:space="preserve">proposal </w:t>
      </w:r>
      <w:r w:rsidR="005D62D4" w:rsidRPr="00D66575">
        <w:rPr>
          <w:noProof/>
        </w:rPr>
        <w:t xml:space="preserve">to </w:t>
      </w:r>
      <w:r w:rsidR="00F543A1" w:rsidRPr="00D66575">
        <w:rPr>
          <w:noProof/>
        </w:rPr>
        <w:t xml:space="preserve">always </w:t>
      </w:r>
      <w:r w:rsidR="001E01D8">
        <w:rPr>
          <w:noProof/>
        </w:rPr>
        <w:t xml:space="preserve">use and only </w:t>
      </w:r>
      <w:r w:rsidR="00F543A1" w:rsidRPr="00D66575">
        <w:rPr>
          <w:noProof/>
        </w:rPr>
        <w:t xml:space="preserve">use (i.e. no other option) a </w:t>
      </w:r>
      <w:r w:rsidR="005D62D4" w:rsidRPr="00D66575">
        <w:rPr>
          <w:noProof/>
        </w:rPr>
        <w:t xml:space="preserve">fixed radius cylinder </w:t>
      </w:r>
      <w:r w:rsidR="00F543A1" w:rsidRPr="00D66575">
        <w:rPr>
          <w:noProof/>
        </w:rPr>
        <w:t xml:space="preserve">for </w:t>
      </w:r>
      <w:r w:rsidR="004F0FE6" w:rsidRPr="00D66575">
        <w:rPr>
          <w:noProof/>
        </w:rPr>
        <w:t xml:space="preserve">all </w:t>
      </w:r>
      <w:r w:rsidR="006540BE" w:rsidRPr="00D66575">
        <w:rPr>
          <w:noProof/>
        </w:rPr>
        <w:t>radioactive cloud</w:t>
      </w:r>
      <w:r w:rsidR="00365141" w:rsidRPr="00D66575">
        <w:rPr>
          <w:noProof/>
        </w:rPr>
        <w:t xml:space="preserve"> SIGMET</w:t>
      </w:r>
      <w:r w:rsidR="008B2609">
        <w:rPr>
          <w:noProof/>
        </w:rPr>
        <w:t xml:space="preserve">** </w:t>
      </w:r>
      <w:r w:rsidR="00365141" w:rsidRPr="00D66575">
        <w:rPr>
          <w:noProof/>
        </w:rPr>
        <w:t>was</w:t>
      </w:r>
      <w:r w:rsidR="00AE5FEA" w:rsidRPr="00D66575">
        <w:rPr>
          <w:noProof/>
        </w:rPr>
        <w:t xml:space="preserve"> accepted by the </w:t>
      </w:r>
      <w:r w:rsidR="00365141" w:rsidRPr="00D66575">
        <w:rPr>
          <w:noProof/>
        </w:rPr>
        <w:t xml:space="preserve">meeting (see paper </w:t>
      </w:r>
      <w:hyperlink r:id="rId14" w:history="1">
        <w:r w:rsidR="00365141" w:rsidRPr="00D66575">
          <w:rPr>
            <w:rStyle w:val="Hyperlink"/>
            <w:noProof/>
          </w:rPr>
          <w:t>MISD4-SN2103_RRM</w:t>
        </w:r>
      </w:hyperlink>
      <w:r w:rsidR="00365141" w:rsidRPr="00D66575">
        <w:rPr>
          <w:noProof/>
        </w:rPr>
        <w:t xml:space="preserve"> and the </w:t>
      </w:r>
      <w:hyperlink r:id="rId15" w:history="1">
        <w:r w:rsidR="00365141" w:rsidRPr="00E11176">
          <w:rPr>
            <w:rStyle w:val="Hyperlink"/>
            <w:noProof/>
          </w:rPr>
          <w:t>MISD-4</w:t>
        </w:r>
        <w:r w:rsidR="007F23BC" w:rsidRPr="00E11176">
          <w:rPr>
            <w:rStyle w:val="Hyperlink"/>
            <w:noProof/>
          </w:rPr>
          <w:t xml:space="preserve"> </w:t>
        </w:r>
        <w:r w:rsidR="00365141" w:rsidRPr="00E11176">
          <w:rPr>
            <w:rStyle w:val="Hyperlink"/>
            <w:noProof/>
          </w:rPr>
          <w:t>report</w:t>
        </w:r>
      </w:hyperlink>
      <w:r w:rsidR="007F23BC" w:rsidRPr="00D66575">
        <w:rPr>
          <w:noProof/>
        </w:rPr>
        <w:t>)</w:t>
      </w:r>
      <w:r w:rsidR="001E01D8">
        <w:rPr>
          <w:noProof/>
        </w:rPr>
        <w:t xml:space="preserve"> </w:t>
      </w:r>
      <w:r w:rsidR="004F0FE6" w:rsidRPr="00D66575">
        <w:rPr>
          <w:noProof/>
        </w:rPr>
        <w:t xml:space="preserve">and </w:t>
      </w:r>
      <w:r w:rsidR="001E01D8">
        <w:rPr>
          <w:noProof/>
        </w:rPr>
        <w:t xml:space="preserve">will be </w:t>
      </w:r>
      <w:r w:rsidR="004F0FE6" w:rsidRPr="00D66575">
        <w:rPr>
          <w:noProof/>
        </w:rPr>
        <w:lastRenderedPageBreak/>
        <w:t>submitted to the next meeting of the METP</w:t>
      </w:r>
      <w:r w:rsidR="00003679">
        <w:rPr>
          <w:noProof/>
        </w:rPr>
        <w:t xml:space="preserve"> in September 2018</w:t>
      </w:r>
      <w:r w:rsidR="00AE5FEA" w:rsidRPr="00D66575">
        <w:rPr>
          <w:noProof/>
        </w:rPr>
        <w:t xml:space="preserve">. </w:t>
      </w:r>
      <w:r w:rsidR="00003679">
        <w:rPr>
          <w:noProof/>
        </w:rPr>
        <w:t>The meeting also decided that a major r</w:t>
      </w:r>
      <w:r w:rsidR="00AE5FEA" w:rsidRPr="00D66575">
        <w:rPr>
          <w:noProof/>
        </w:rPr>
        <w:t xml:space="preserve">evision of the </w:t>
      </w:r>
      <w:r w:rsidR="00AE5FEA" w:rsidRPr="00D66575">
        <w:rPr>
          <w:i/>
          <w:iCs/>
          <w:noProof/>
        </w:rPr>
        <w:t xml:space="preserve">Concept of Operations for Radioactive Material Information Services in Support of International Air Navigation </w:t>
      </w:r>
      <w:r w:rsidR="00AE5FEA" w:rsidRPr="00D66575">
        <w:rPr>
          <w:iCs/>
          <w:noProof/>
        </w:rPr>
        <w:t xml:space="preserve">should be undertaken </w:t>
      </w:r>
      <w:r w:rsidR="00B0232D" w:rsidRPr="00D66575">
        <w:rPr>
          <w:iCs/>
          <w:noProof/>
        </w:rPr>
        <w:t xml:space="preserve">based on the </w:t>
      </w:r>
      <w:r w:rsidR="00AE5FEA" w:rsidRPr="00D66575">
        <w:rPr>
          <w:iCs/>
          <w:noProof/>
        </w:rPr>
        <w:t>decisions taken at MISD-3.</w:t>
      </w:r>
    </w:p>
    <w:p w:rsidR="00844918" w:rsidRPr="00D66575" w:rsidRDefault="00AE5FEA" w:rsidP="001E01D8">
      <w:pPr>
        <w:spacing w:before="100" w:beforeAutospacing="1" w:after="100" w:afterAutospacing="1"/>
        <w:rPr>
          <w:noProof/>
        </w:rPr>
      </w:pPr>
      <w:r w:rsidRPr="00D66575">
        <w:rPr>
          <w:iCs/>
          <w:noProof/>
        </w:rPr>
        <w:t xml:space="preserve"> </w:t>
      </w:r>
      <w:r w:rsidR="00304D4D" w:rsidRPr="00D66575">
        <w:rPr>
          <w:noProof/>
        </w:rPr>
        <w:t xml:space="preserve">2.7 </w:t>
      </w:r>
      <w:r w:rsidR="00003679">
        <w:rPr>
          <w:noProof/>
        </w:rPr>
        <w:t xml:space="preserve">10 to 14 </w:t>
      </w:r>
      <w:r w:rsidRPr="00D66575">
        <w:rPr>
          <w:noProof/>
        </w:rPr>
        <w:t xml:space="preserve">September 2018: </w:t>
      </w:r>
      <w:r w:rsidR="003231C1">
        <w:rPr>
          <w:noProof/>
        </w:rPr>
        <w:t xml:space="preserve">The </w:t>
      </w:r>
      <w:r w:rsidRPr="00D66575">
        <w:rPr>
          <w:noProof/>
        </w:rPr>
        <w:t>METP-4</w:t>
      </w:r>
      <w:r w:rsidR="004F0FE6" w:rsidRPr="00D66575">
        <w:rPr>
          <w:noProof/>
        </w:rPr>
        <w:t xml:space="preserve"> meeting</w:t>
      </w:r>
      <w:r w:rsidR="003231C1">
        <w:rPr>
          <w:noProof/>
        </w:rPr>
        <w:t xml:space="preserve"> accepted the </w:t>
      </w:r>
      <w:r w:rsidR="0053517A">
        <w:rPr>
          <w:noProof/>
        </w:rPr>
        <w:t>proposed amendment to the radioactive cloud SIGMET</w:t>
      </w:r>
      <w:r w:rsidR="003231C1">
        <w:rPr>
          <w:noProof/>
        </w:rPr>
        <w:t xml:space="preserve"> </w:t>
      </w:r>
      <w:r w:rsidR="0053517A">
        <w:rPr>
          <w:noProof/>
        </w:rPr>
        <w:t xml:space="preserve">in </w:t>
      </w:r>
      <w:r w:rsidR="0015137D">
        <w:rPr>
          <w:noProof/>
        </w:rPr>
        <w:t xml:space="preserve">Annex 3 </w:t>
      </w:r>
      <w:r w:rsidR="0053517A">
        <w:rPr>
          <w:noProof/>
        </w:rPr>
        <w:t xml:space="preserve">(see paper </w:t>
      </w:r>
      <w:hyperlink r:id="rId16" w:history="1">
        <w:r w:rsidR="0053517A" w:rsidRPr="001E01D8">
          <w:rPr>
            <w:rStyle w:val="Hyperlink"/>
            <w:noProof/>
          </w:rPr>
          <w:t>METP4-WP2101</w:t>
        </w:r>
      </w:hyperlink>
      <w:r w:rsidR="0053517A">
        <w:rPr>
          <w:noProof/>
        </w:rPr>
        <w:t>)</w:t>
      </w:r>
      <w:r w:rsidR="003231C1">
        <w:rPr>
          <w:noProof/>
        </w:rPr>
        <w:t xml:space="preserve">. It will be </w:t>
      </w:r>
      <w:r w:rsidR="00C863EF" w:rsidRPr="00D66575">
        <w:rPr>
          <w:noProof/>
        </w:rPr>
        <w:t xml:space="preserve">included in </w:t>
      </w:r>
      <w:r w:rsidR="0053517A">
        <w:rPr>
          <w:noProof/>
        </w:rPr>
        <w:t xml:space="preserve">the </w:t>
      </w:r>
      <w:r w:rsidR="00C863EF" w:rsidRPr="00D66575">
        <w:rPr>
          <w:noProof/>
        </w:rPr>
        <w:t xml:space="preserve">draft </w:t>
      </w:r>
      <w:r w:rsidR="004F0FE6" w:rsidRPr="00D66575">
        <w:rPr>
          <w:noProof/>
        </w:rPr>
        <w:t>Amendment 79 to Annex 3</w:t>
      </w:r>
      <w:r w:rsidR="003231C1">
        <w:rPr>
          <w:noProof/>
        </w:rPr>
        <w:t xml:space="preserve"> applicable </w:t>
      </w:r>
      <w:r w:rsidR="0053517A">
        <w:rPr>
          <w:noProof/>
        </w:rPr>
        <w:t xml:space="preserve">in </w:t>
      </w:r>
      <w:r w:rsidR="001E2F26">
        <w:rPr>
          <w:noProof/>
        </w:rPr>
        <w:t>November 2020</w:t>
      </w:r>
      <w:r w:rsidR="003231C1">
        <w:rPr>
          <w:noProof/>
        </w:rPr>
        <w:t>.</w:t>
      </w:r>
      <w:r w:rsidR="004D1EF1">
        <w:rPr>
          <w:noProof/>
          <w:highlight w:val="yellow"/>
        </w:rPr>
        <w:t xml:space="preserve"> </w:t>
      </w:r>
    </w:p>
    <w:p w:rsidR="001E01D8" w:rsidRPr="00082F5D" w:rsidRDefault="001E01D8" w:rsidP="001E01D8">
      <w:pPr>
        <w:ind w:left="709"/>
        <w:rPr>
          <w:rFonts w:cs="Arial"/>
          <w:noProof/>
        </w:rPr>
      </w:pPr>
      <w:r w:rsidRPr="00F25849">
        <w:rPr>
          <w:noProof/>
          <w:sz w:val="20"/>
          <w:szCs w:val="20"/>
        </w:rPr>
        <w:t>**</w:t>
      </w:r>
      <w:r>
        <w:rPr>
          <w:noProof/>
          <w:sz w:val="20"/>
          <w:szCs w:val="20"/>
        </w:rPr>
        <w:t xml:space="preserve"> An option to use a cylinder with fixed radius for the radioactive cloud SIGMET was added to the </w:t>
      </w:r>
      <w:r w:rsidRPr="00F25849">
        <w:rPr>
          <w:noProof/>
          <w:sz w:val="20"/>
          <w:szCs w:val="20"/>
        </w:rPr>
        <w:t xml:space="preserve">SIGMET template </w:t>
      </w:r>
      <w:r>
        <w:rPr>
          <w:noProof/>
          <w:sz w:val="20"/>
          <w:szCs w:val="20"/>
        </w:rPr>
        <w:t xml:space="preserve"> in the latest version of Annex 3, that includes Amendment 78. Note </w:t>
      </w:r>
      <w:r w:rsidRPr="00F25849">
        <w:rPr>
          <w:noProof/>
          <w:sz w:val="20"/>
          <w:szCs w:val="20"/>
        </w:rPr>
        <w:t>24</w:t>
      </w:r>
      <w:r>
        <w:rPr>
          <w:noProof/>
          <w:sz w:val="20"/>
          <w:szCs w:val="20"/>
        </w:rPr>
        <w:t xml:space="preserve"> of the template says: </w:t>
      </w:r>
      <w:r>
        <w:rPr>
          <w:noProof/>
        </w:rPr>
        <w:t>''</w:t>
      </w:r>
      <w:r w:rsidRPr="00082F5D">
        <w:rPr>
          <w:rFonts w:ascii="ArialNarrow" w:hAnsi="ArialNarrow"/>
          <w:color w:val="000000"/>
        </w:rPr>
        <w:t>Only for SIGMET messages for radioactive cloud. When detailed information on the release is not available, a radius of up to 30 kilometres (or 16 nautical miles) from</w:t>
      </w:r>
      <w:r>
        <w:rPr>
          <w:rFonts w:ascii="ArialNarrow" w:hAnsi="ArialNarrow"/>
          <w:color w:val="000000"/>
        </w:rPr>
        <w:t xml:space="preserve"> </w:t>
      </w:r>
      <w:r w:rsidRPr="00082F5D">
        <w:rPr>
          <w:rFonts w:ascii="ArialNarrow" w:hAnsi="ArialNarrow"/>
          <w:color w:val="000000"/>
        </w:rPr>
        <w:t xml:space="preserve">the source may be applied; and a vertical extent from </w:t>
      </w:r>
      <w:r w:rsidR="003D550E">
        <w:rPr>
          <w:rFonts w:ascii="ArialNarrow" w:hAnsi="ArialNarrow" w:hint="eastAsia"/>
          <w:color w:val="000000"/>
        </w:rPr>
        <w:t xml:space="preserve">the </w:t>
      </w:r>
      <w:r w:rsidRPr="00082F5D">
        <w:rPr>
          <w:rFonts w:ascii="ArialNarrow" w:hAnsi="ArialNarrow"/>
          <w:color w:val="000000"/>
        </w:rPr>
        <w:t>surface (SFC) to the upper limit of the flight information region/upper flight information region (FIR/UIR) or control</w:t>
      </w:r>
      <w:r>
        <w:rPr>
          <w:rFonts w:ascii="ArialNarrow" w:hAnsi="ArialNarrow"/>
          <w:color w:val="000000"/>
        </w:rPr>
        <w:t xml:space="preserve"> </w:t>
      </w:r>
      <w:r w:rsidRPr="00082F5D">
        <w:rPr>
          <w:rFonts w:ascii="ArialNarrow" w:hAnsi="ArialNarrow"/>
          <w:color w:val="000000"/>
        </w:rPr>
        <w:t xml:space="preserve">area (CTA) is to be applied. </w:t>
      </w:r>
      <w:r w:rsidRPr="00082F5D">
        <w:rPr>
          <w:rFonts w:ascii="ArialNarrow" w:hAnsi="ArialNarrow"/>
          <w:i/>
          <w:iCs/>
          <w:color w:val="000000"/>
        </w:rPr>
        <w:t>[Applicable 7 November 2019]</w:t>
      </w:r>
      <w:r>
        <w:rPr>
          <w:rFonts w:cs="Arial"/>
          <w:iCs/>
          <w:color w:val="000000"/>
        </w:rPr>
        <w:t>''.</w:t>
      </w:r>
    </w:p>
    <w:p w:rsidR="00527A05" w:rsidRPr="00D66575" w:rsidRDefault="00527A05" w:rsidP="00527A05">
      <w:pPr>
        <w:rPr>
          <w:b/>
          <w:noProof/>
        </w:rPr>
      </w:pPr>
    </w:p>
    <w:p w:rsidR="00527A05" w:rsidRPr="00D66575" w:rsidRDefault="00527A05" w:rsidP="00527A05">
      <w:pPr>
        <w:rPr>
          <w:b/>
          <w:noProof/>
        </w:rPr>
      </w:pPr>
    </w:p>
    <w:p w:rsidR="007F23BC" w:rsidRPr="00D66575" w:rsidRDefault="00360D65" w:rsidP="00527A05">
      <w:pPr>
        <w:rPr>
          <w:b/>
          <w:noProof/>
        </w:rPr>
      </w:pPr>
      <w:r w:rsidRPr="00D66575">
        <w:rPr>
          <w:b/>
          <w:noProof/>
        </w:rPr>
        <w:t>3. CONCLUSION</w:t>
      </w:r>
    </w:p>
    <w:p w:rsidR="00527A05" w:rsidRPr="00D66575" w:rsidRDefault="00527A05" w:rsidP="00527A05">
      <w:pPr>
        <w:rPr>
          <w:noProof/>
        </w:rPr>
      </w:pPr>
    </w:p>
    <w:p w:rsidR="00E231A8" w:rsidRPr="00D66575" w:rsidRDefault="00532A36" w:rsidP="00527A05">
      <w:pPr>
        <w:rPr>
          <w:noProof/>
        </w:rPr>
      </w:pPr>
      <w:r w:rsidRPr="00D66575">
        <w:rPr>
          <w:noProof/>
        </w:rPr>
        <w:t xml:space="preserve">3.1 </w:t>
      </w:r>
      <w:r w:rsidR="00E231A8" w:rsidRPr="00D66575">
        <w:rPr>
          <w:noProof/>
        </w:rPr>
        <w:t>Action 15</w:t>
      </w:r>
      <w:r w:rsidR="00527A05" w:rsidRPr="00D66575">
        <w:rPr>
          <w:noProof/>
        </w:rPr>
        <w:t xml:space="preserve"> </w:t>
      </w:r>
      <w:r w:rsidR="003870B2">
        <w:rPr>
          <w:noProof/>
        </w:rPr>
        <w:t xml:space="preserve">in </w:t>
      </w:r>
      <w:r w:rsidR="00527A05" w:rsidRPr="00D66575">
        <w:rPr>
          <w:noProof/>
        </w:rPr>
        <w:t xml:space="preserve">paragraph 1.3 </w:t>
      </w:r>
      <w:r w:rsidR="00E231A8" w:rsidRPr="00D66575">
        <w:rPr>
          <w:noProof/>
        </w:rPr>
        <w:t xml:space="preserve">is completed. </w:t>
      </w:r>
      <w:r w:rsidR="00F861A0">
        <w:rPr>
          <w:noProof/>
        </w:rPr>
        <w:t>T</w:t>
      </w:r>
      <w:r w:rsidR="00E231A8" w:rsidRPr="00D66575">
        <w:rPr>
          <w:noProof/>
        </w:rPr>
        <w:t xml:space="preserve">he </w:t>
      </w:r>
      <w:r w:rsidR="00F861A0">
        <w:rPr>
          <w:noProof/>
        </w:rPr>
        <w:t xml:space="preserve">IACRNE Task Group report has answered all the </w:t>
      </w:r>
      <w:r w:rsidR="00E231A8" w:rsidRPr="00D66575">
        <w:rPr>
          <w:noProof/>
        </w:rPr>
        <w:t>questions raised by the ET-ERA</w:t>
      </w:r>
      <w:r w:rsidR="00F861A0">
        <w:rPr>
          <w:noProof/>
        </w:rPr>
        <w:t>.</w:t>
      </w:r>
    </w:p>
    <w:p w:rsidR="00527A05" w:rsidRPr="00D66575" w:rsidRDefault="00527A05" w:rsidP="00527A05">
      <w:pPr>
        <w:rPr>
          <w:noProof/>
        </w:rPr>
      </w:pPr>
    </w:p>
    <w:p w:rsidR="00057975" w:rsidRPr="00D66575" w:rsidRDefault="00E231A8" w:rsidP="00527A05">
      <w:pPr>
        <w:rPr>
          <w:noProof/>
        </w:rPr>
      </w:pPr>
      <w:r w:rsidRPr="00D66575">
        <w:rPr>
          <w:noProof/>
        </w:rPr>
        <w:t>3.</w:t>
      </w:r>
      <w:r w:rsidR="00E23740">
        <w:rPr>
          <w:noProof/>
        </w:rPr>
        <w:t>2</w:t>
      </w:r>
      <w:r w:rsidRPr="00D66575">
        <w:rPr>
          <w:noProof/>
        </w:rPr>
        <w:t xml:space="preserve"> </w:t>
      </w:r>
      <w:r w:rsidR="00527A05" w:rsidRPr="00D66575">
        <w:rPr>
          <w:noProof/>
        </w:rPr>
        <w:t xml:space="preserve">Action 16 </w:t>
      </w:r>
      <w:r w:rsidR="003870B2">
        <w:rPr>
          <w:noProof/>
        </w:rPr>
        <w:t>in p</w:t>
      </w:r>
      <w:r w:rsidR="00527A05" w:rsidRPr="00D66575">
        <w:rPr>
          <w:noProof/>
        </w:rPr>
        <w:t>aragraph 1.3</w:t>
      </w:r>
      <w:r w:rsidR="003870B2">
        <w:rPr>
          <w:noProof/>
        </w:rPr>
        <w:t xml:space="preserve"> is closed. It was </w:t>
      </w:r>
      <w:r w:rsidR="00E23740" w:rsidRPr="00E23740">
        <w:rPr>
          <w:iCs/>
          <w:noProof/>
        </w:rPr>
        <w:t>conditional on the outcome of Action 15</w:t>
      </w:r>
      <w:r w:rsidR="00516C86">
        <w:rPr>
          <w:iCs/>
          <w:noProof/>
        </w:rPr>
        <w:t xml:space="preserve">. It is </w:t>
      </w:r>
      <w:r w:rsidR="003870B2">
        <w:rPr>
          <w:iCs/>
          <w:noProof/>
        </w:rPr>
        <w:t xml:space="preserve"> no longer needed given the recommendations in the I</w:t>
      </w:r>
      <w:r w:rsidR="003870B2" w:rsidRPr="00D66575">
        <w:rPr>
          <w:noProof/>
        </w:rPr>
        <w:t>ACRNE Task Group report</w:t>
      </w:r>
      <w:r w:rsidR="003870B2">
        <w:rPr>
          <w:iCs/>
          <w:noProof/>
        </w:rPr>
        <w:t xml:space="preserve"> that </w:t>
      </w:r>
      <w:r w:rsidR="003870B2" w:rsidRPr="00D66575">
        <w:rPr>
          <w:noProof/>
        </w:rPr>
        <w:t>dose and plume projection tools</w:t>
      </w:r>
      <w:r w:rsidR="00512AE9">
        <w:rPr>
          <w:noProof/>
        </w:rPr>
        <w:t xml:space="preserve"> </w:t>
      </w:r>
      <w:r w:rsidR="003870B2">
        <w:rPr>
          <w:iCs/>
          <w:noProof/>
        </w:rPr>
        <w:t>not be used</w:t>
      </w:r>
      <w:r w:rsidR="000D0E55">
        <w:rPr>
          <w:iCs/>
          <w:noProof/>
        </w:rPr>
        <w:t xml:space="preserve"> as guidance for the radioactive cloud SIGMET</w:t>
      </w:r>
      <w:r w:rsidR="003870B2">
        <w:rPr>
          <w:noProof/>
        </w:rPr>
        <w:t>.</w:t>
      </w:r>
    </w:p>
    <w:sectPr w:rsidR="00057975" w:rsidRPr="00D66575" w:rsidSect="0007372B">
      <w:pgSz w:w="12240" w:h="15840" w:code="1"/>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94" w:rsidRDefault="00B40794" w:rsidP="00D66575">
      <w:r>
        <w:separator/>
      </w:r>
    </w:p>
  </w:endnote>
  <w:endnote w:type="continuationSeparator" w:id="0">
    <w:p w:rsidR="00B40794" w:rsidRDefault="00B40794" w:rsidP="00D6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94" w:rsidRDefault="00B40794" w:rsidP="00D66575">
      <w:r>
        <w:separator/>
      </w:r>
    </w:p>
  </w:footnote>
  <w:footnote w:type="continuationSeparator" w:id="0">
    <w:p w:rsidR="00B40794" w:rsidRDefault="00B40794" w:rsidP="00D6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firstLine="0"/>
      </w:pPr>
      <w:rPr>
        <w:rFonts w:ascii="Arial" w:hAnsi="Arial" w:cs="Times New Roman" w:hint="default"/>
        <w:b w:val="0"/>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abstractNum w:abstractNumId="2">
    <w:nsid w:val="7DD774EA"/>
    <w:multiLevelType w:val="hybridMultilevel"/>
    <w:tmpl w:val="F8B03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2C02"/>
    <w:rsid w:val="00003679"/>
    <w:rsid w:val="000327CA"/>
    <w:rsid w:val="00041C4D"/>
    <w:rsid w:val="000450B5"/>
    <w:rsid w:val="0005388D"/>
    <w:rsid w:val="00057975"/>
    <w:rsid w:val="00064A2E"/>
    <w:rsid w:val="00071E99"/>
    <w:rsid w:val="0007207C"/>
    <w:rsid w:val="00072B8B"/>
    <w:rsid w:val="0007372B"/>
    <w:rsid w:val="000819C0"/>
    <w:rsid w:val="00082F5D"/>
    <w:rsid w:val="00096EF5"/>
    <w:rsid w:val="000B283E"/>
    <w:rsid w:val="000B29A2"/>
    <w:rsid w:val="000C46C1"/>
    <w:rsid w:val="000C706B"/>
    <w:rsid w:val="000D0E55"/>
    <w:rsid w:val="000D3440"/>
    <w:rsid w:val="000D5339"/>
    <w:rsid w:val="000D6544"/>
    <w:rsid w:val="000E2DEA"/>
    <w:rsid w:val="000E3AEC"/>
    <w:rsid w:val="000F527E"/>
    <w:rsid w:val="000F7426"/>
    <w:rsid w:val="001102AD"/>
    <w:rsid w:val="00112DFB"/>
    <w:rsid w:val="00113495"/>
    <w:rsid w:val="00115232"/>
    <w:rsid w:val="0011776A"/>
    <w:rsid w:val="001207D4"/>
    <w:rsid w:val="0013318E"/>
    <w:rsid w:val="001338DA"/>
    <w:rsid w:val="00135BC6"/>
    <w:rsid w:val="00143DA9"/>
    <w:rsid w:val="00147E13"/>
    <w:rsid w:val="00150EF5"/>
    <w:rsid w:val="0015137D"/>
    <w:rsid w:val="00154CF3"/>
    <w:rsid w:val="001556CF"/>
    <w:rsid w:val="00161330"/>
    <w:rsid w:val="0017732A"/>
    <w:rsid w:val="00186E11"/>
    <w:rsid w:val="00193166"/>
    <w:rsid w:val="001937B7"/>
    <w:rsid w:val="00195A72"/>
    <w:rsid w:val="001A2A84"/>
    <w:rsid w:val="001A7B1D"/>
    <w:rsid w:val="001B355A"/>
    <w:rsid w:val="001B4D34"/>
    <w:rsid w:val="001C05C9"/>
    <w:rsid w:val="001C11A6"/>
    <w:rsid w:val="001C552C"/>
    <w:rsid w:val="001D567F"/>
    <w:rsid w:val="001D5D63"/>
    <w:rsid w:val="001E01D8"/>
    <w:rsid w:val="001E139A"/>
    <w:rsid w:val="001E2F26"/>
    <w:rsid w:val="001E4C6E"/>
    <w:rsid w:val="00200444"/>
    <w:rsid w:val="00201528"/>
    <w:rsid w:val="00223981"/>
    <w:rsid w:val="00235228"/>
    <w:rsid w:val="00241A23"/>
    <w:rsid w:val="00250D4E"/>
    <w:rsid w:val="00252F68"/>
    <w:rsid w:val="0026177B"/>
    <w:rsid w:val="002640CC"/>
    <w:rsid w:val="00275289"/>
    <w:rsid w:val="00280411"/>
    <w:rsid w:val="00282EF9"/>
    <w:rsid w:val="00293B76"/>
    <w:rsid w:val="00294A4D"/>
    <w:rsid w:val="002979B8"/>
    <w:rsid w:val="002A123B"/>
    <w:rsid w:val="002A7383"/>
    <w:rsid w:val="002B0087"/>
    <w:rsid w:val="002B1B3B"/>
    <w:rsid w:val="002B1EC7"/>
    <w:rsid w:val="002D176D"/>
    <w:rsid w:val="002D32CC"/>
    <w:rsid w:val="002D7E18"/>
    <w:rsid w:val="002E15A7"/>
    <w:rsid w:val="002E568D"/>
    <w:rsid w:val="002E5AC0"/>
    <w:rsid w:val="002F3C4F"/>
    <w:rsid w:val="002F78D8"/>
    <w:rsid w:val="00302EEA"/>
    <w:rsid w:val="003042D2"/>
    <w:rsid w:val="00304579"/>
    <w:rsid w:val="0030483D"/>
    <w:rsid w:val="00304D4D"/>
    <w:rsid w:val="00320A0D"/>
    <w:rsid w:val="00320A3A"/>
    <w:rsid w:val="003231C1"/>
    <w:rsid w:val="003410BB"/>
    <w:rsid w:val="00342802"/>
    <w:rsid w:val="00345246"/>
    <w:rsid w:val="00351330"/>
    <w:rsid w:val="00360D65"/>
    <w:rsid w:val="00362E57"/>
    <w:rsid w:val="00365141"/>
    <w:rsid w:val="003710E3"/>
    <w:rsid w:val="00373645"/>
    <w:rsid w:val="00380274"/>
    <w:rsid w:val="003870B2"/>
    <w:rsid w:val="00392935"/>
    <w:rsid w:val="003A21E3"/>
    <w:rsid w:val="003A4F5C"/>
    <w:rsid w:val="003B59BE"/>
    <w:rsid w:val="003B714F"/>
    <w:rsid w:val="003C4745"/>
    <w:rsid w:val="003D550E"/>
    <w:rsid w:val="003D7D63"/>
    <w:rsid w:val="003E0E5D"/>
    <w:rsid w:val="003F3016"/>
    <w:rsid w:val="00410783"/>
    <w:rsid w:val="0041644D"/>
    <w:rsid w:val="004171F8"/>
    <w:rsid w:val="0042176B"/>
    <w:rsid w:val="00421A9B"/>
    <w:rsid w:val="00424E5C"/>
    <w:rsid w:val="0043082A"/>
    <w:rsid w:val="00432C00"/>
    <w:rsid w:val="00433C5C"/>
    <w:rsid w:val="00451B36"/>
    <w:rsid w:val="0045660B"/>
    <w:rsid w:val="004606D8"/>
    <w:rsid w:val="0046249E"/>
    <w:rsid w:val="004670AF"/>
    <w:rsid w:val="00473772"/>
    <w:rsid w:val="00481016"/>
    <w:rsid w:val="00493D19"/>
    <w:rsid w:val="00494797"/>
    <w:rsid w:val="004A07A9"/>
    <w:rsid w:val="004A5A18"/>
    <w:rsid w:val="004A7736"/>
    <w:rsid w:val="004B4090"/>
    <w:rsid w:val="004C4E04"/>
    <w:rsid w:val="004D1EF1"/>
    <w:rsid w:val="004D7016"/>
    <w:rsid w:val="004F0FE6"/>
    <w:rsid w:val="00507624"/>
    <w:rsid w:val="00512AE9"/>
    <w:rsid w:val="00514A71"/>
    <w:rsid w:val="00516C86"/>
    <w:rsid w:val="00521E39"/>
    <w:rsid w:val="00527A05"/>
    <w:rsid w:val="00532A36"/>
    <w:rsid w:val="0053517A"/>
    <w:rsid w:val="005363E7"/>
    <w:rsid w:val="0054107C"/>
    <w:rsid w:val="00542D57"/>
    <w:rsid w:val="00544A36"/>
    <w:rsid w:val="00552357"/>
    <w:rsid w:val="005609A6"/>
    <w:rsid w:val="00561C13"/>
    <w:rsid w:val="00563E61"/>
    <w:rsid w:val="00565179"/>
    <w:rsid w:val="00572545"/>
    <w:rsid w:val="0058758C"/>
    <w:rsid w:val="00587ECB"/>
    <w:rsid w:val="00597ABF"/>
    <w:rsid w:val="005B7867"/>
    <w:rsid w:val="005C2251"/>
    <w:rsid w:val="005D03D9"/>
    <w:rsid w:val="005D06BF"/>
    <w:rsid w:val="005D62D4"/>
    <w:rsid w:val="005E00AD"/>
    <w:rsid w:val="005E41CC"/>
    <w:rsid w:val="006009E7"/>
    <w:rsid w:val="006026C4"/>
    <w:rsid w:val="00610533"/>
    <w:rsid w:val="00610A39"/>
    <w:rsid w:val="00614F55"/>
    <w:rsid w:val="00615AA0"/>
    <w:rsid w:val="00621B1A"/>
    <w:rsid w:val="0062278F"/>
    <w:rsid w:val="00626D95"/>
    <w:rsid w:val="00627EEE"/>
    <w:rsid w:val="00631ECB"/>
    <w:rsid w:val="00642BBC"/>
    <w:rsid w:val="006435E8"/>
    <w:rsid w:val="00651A6C"/>
    <w:rsid w:val="006533B3"/>
    <w:rsid w:val="006540BE"/>
    <w:rsid w:val="006545F9"/>
    <w:rsid w:val="00687BCE"/>
    <w:rsid w:val="00697B12"/>
    <w:rsid w:val="006B335B"/>
    <w:rsid w:val="006B55AD"/>
    <w:rsid w:val="006B7C21"/>
    <w:rsid w:val="006C576A"/>
    <w:rsid w:val="006E334A"/>
    <w:rsid w:val="006F33DD"/>
    <w:rsid w:val="006F3751"/>
    <w:rsid w:val="00723FE8"/>
    <w:rsid w:val="007250D4"/>
    <w:rsid w:val="007459D5"/>
    <w:rsid w:val="007479AE"/>
    <w:rsid w:val="00761259"/>
    <w:rsid w:val="007758E1"/>
    <w:rsid w:val="00790E36"/>
    <w:rsid w:val="007910B6"/>
    <w:rsid w:val="007A5C68"/>
    <w:rsid w:val="007A7795"/>
    <w:rsid w:val="007B01BD"/>
    <w:rsid w:val="007B08E3"/>
    <w:rsid w:val="007B5304"/>
    <w:rsid w:val="007B74CB"/>
    <w:rsid w:val="007C0FD6"/>
    <w:rsid w:val="007C6AD9"/>
    <w:rsid w:val="007D05B6"/>
    <w:rsid w:val="007E4AA8"/>
    <w:rsid w:val="007F23BC"/>
    <w:rsid w:val="008133AD"/>
    <w:rsid w:val="00817372"/>
    <w:rsid w:val="00844918"/>
    <w:rsid w:val="008522CA"/>
    <w:rsid w:val="00856FAD"/>
    <w:rsid w:val="00862224"/>
    <w:rsid w:val="0086720D"/>
    <w:rsid w:val="00880E85"/>
    <w:rsid w:val="008844D3"/>
    <w:rsid w:val="008951A2"/>
    <w:rsid w:val="00896E42"/>
    <w:rsid w:val="008A252E"/>
    <w:rsid w:val="008B2609"/>
    <w:rsid w:val="008B7CA8"/>
    <w:rsid w:val="008C425C"/>
    <w:rsid w:val="008C77BA"/>
    <w:rsid w:val="008D4F6A"/>
    <w:rsid w:val="008D6365"/>
    <w:rsid w:val="008E1C51"/>
    <w:rsid w:val="008E6DE5"/>
    <w:rsid w:val="008E7372"/>
    <w:rsid w:val="008F6476"/>
    <w:rsid w:val="009063D9"/>
    <w:rsid w:val="009202CF"/>
    <w:rsid w:val="0092392E"/>
    <w:rsid w:val="009317C0"/>
    <w:rsid w:val="00941AEA"/>
    <w:rsid w:val="00942A43"/>
    <w:rsid w:val="009456F3"/>
    <w:rsid w:val="009464CF"/>
    <w:rsid w:val="009469EC"/>
    <w:rsid w:val="00973F7D"/>
    <w:rsid w:val="0098237A"/>
    <w:rsid w:val="00983889"/>
    <w:rsid w:val="009961B8"/>
    <w:rsid w:val="009A0533"/>
    <w:rsid w:val="009A1104"/>
    <w:rsid w:val="009A5A9C"/>
    <w:rsid w:val="009A72FC"/>
    <w:rsid w:val="009C35B2"/>
    <w:rsid w:val="009D040B"/>
    <w:rsid w:val="009D2106"/>
    <w:rsid w:val="009E1F83"/>
    <w:rsid w:val="009E5001"/>
    <w:rsid w:val="009E53B8"/>
    <w:rsid w:val="009E6228"/>
    <w:rsid w:val="009F0E81"/>
    <w:rsid w:val="00A0175C"/>
    <w:rsid w:val="00A0192F"/>
    <w:rsid w:val="00A049B9"/>
    <w:rsid w:val="00A06021"/>
    <w:rsid w:val="00A12CA8"/>
    <w:rsid w:val="00A13C8E"/>
    <w:rsid w:val="00A33A48"/>
    <w:rsid w:val="00A44FF4"/>
    <w:rsid w:val="00A46400"/>
    <w:rsid w:val="00A51A8C"/>
    <w:rsid w:val="00A60F44"/>
    <w:rsid w:val="00A610A5"/>
    <w:rsid w:val="00A669EC"/>
    <w:rsid w:val="00A709A4"/>
    <w:rsid w:val="00A8571E"/>
    <w:rsid w:val="00A87B30"/>
    <w:rsid w:val="00A937EE"/>
    <w:rsid w:val="00A9462D"/>
    <w:rsid w:val="00A96F6C"/>
    <w:rsid w:val="00A97F72"/>
    <w:rsid w:val="00AA0979"/>
    <w:rsid w:val="00AA77BD"/>
    <w:rsid w:val="00AB2029"/>
    <w:rsid w:val="00AB6C98"/>
    <w:rsid w:val="00AB7945"/>
    <w:rsid w:val="00AC7039"/>
    <w:rsid w:val="00AD6C95"/>
    <w:rsid w:val="00AE1197"/>
    <w:rsid w:val="00AE5698"/>
    <w:rsid w:val="00AE5FEA"/>
    <w:rsid w:val="00AF1ADC"/>
    <w:rsid w:val="00B00F44"/>
    <w:rsid w:val="00B0232D"/>
    <w:rsid w:val="00B14476"/>
    <w:rsid w:val="00B275F7"/>
    <w:rsid w:val="00B3024C"/>
    <w:rsid w:val="00B32850"/>
    <w:rsid w:val="00B36D59"/>
    <w:rsid w:val="00B40794"/>
    <w:rsid w:val="00B40AA1"/>
    <w:rsid w:val="00B57E26"/>
    <w:rsid w:val="00B6376F"/>
    <w:rsid w:val="00B65178"/>
    <w:rsid w:val="00B7211D"/>
    <w:rsid w:val="00B77606"/>
    <w:rsid w:val="00B9019B"/>
    <w:rsid w:val="00B90F3C"/>
    <w:rsid w:val="00B91244"/>
    <w:rsid w:val="00B92916"/>
    <w:rsid w:val="00B92DAB"/>
    <w:rsid w:val="00B952F3"/>
    <w:rsid w:val="00BA24C0"/>
    <w:rsid w:val="00BA6493"/>
    <w:rsid w:val="00BB07EC"/>
    <w:rsid w:val="00BD633A"/>
    <w:rsid w:val="00BD6D34"/>
    <w:rsid w:val="00BE0A05"/>
    <w:rsid w:val="00C03B40"/>
    <w:rsid w:val="00C058BE"/>
    <w:rsid w:val="00C11395"/>
    <w:rsid w:val="00C15CD5"/>
    <w:rsid w:val="00C174F5"/>
    <w:rsid w:val="00C46389"/>
    <w:rsid w:val="00C46668"/>
    <w:rsid w:val="00C66EDA"/>
    <w:rsid w:val="00C863EF"/>
    <w:rsid w:val="00C9089A"/>
    <w:rsid w:val="00C90B55"/>
    <w:rsid w:val="00C93758"/>
    <w:rsid w:val="00C94F89"/>
    <w:rsid w:val="00C958C7"/>
    <w:rsid w:val="00CA615E"/>
    <w:rsid w:val="00CA79AB"/>
    <w:rsid w:val="00CC0D8F"/>
    <w:rsid w:val="00CC26C4"/>
    <w:rsid w:val="00CD22FA"/>
    <w:rsid w:val="00CD6A43"/>
    <w:rsid w:val="00CE0C07"/>
    <w:rsid w:val="00CE2390"/>
    <w:rsid w:val="00CE2861"/>
    <w:rsid w:val="00CE5ED5"/>
    <w:rsid w:val="00D11CD4"/>
    <w:rsid w:val="00D162B8"/>
    <w:rsid w:val="00D37BA5"/>
    <w:rsid w:val="00D4361F"/>
    <w:rsid w:val="00D46D7C"/>
    <w:rsid w:val="00D50885"/>
    <w:rsid w:val="00D52F2C"/>
    <w:rsid w:val="00D628A2"/>
    <w:rsid w:val="00D66575"/>
    <w:rsid w:val="00D6658C"/>
    <w:rsid w:val="00D777C6"/>
    <w:rsid w:val="00D85392"/>
    <w:rsid w:val="00D85FBC"/>
    <w:rsid w:val="00D87524"/>
    <w:rsid w:val="00D912F1"/>
    <w:rsid w:val="00D93647"/>
    <w:rsid w:val="00DA0F2C"/>
    <w:rsid w:val="00DA2B0A"/>
    <w:rsid w:val="00DB67E3"/>
    <w:rsid w:val="00DC0553"/>
    <w:rsid w:val="00DC0B46"/>
    <w:rsid w:val="00DC1478"/>
    <w:rsid w:val="00DC192E"/>
    <w:rsid w:val="00DC2C05"/>
    <w:rsid w:val="00DC364C"/>
    <w:rsid w:val="00DD261F"/>
    <w:rsid w:val="00DD3105"/>
    <w:rsid w:val="00DE203E"/>
    <w:rsid w:val="00DE2B3F"/>
    <w:rsid w:val="00DE3420"/>
    <w:rsid w:val="00DE469E"/>
    <w:rsid w:val="00DE51CE"/>
    <w:rsid w:val="00E05267"/>
    <w:rsid w:val="00E11176"/>
    <w:rsid w:val="00E15DB2"/>
    <w:rsid w:val="00E231A8"/>
    <w:rsid w:val="00E23740"/>
    <w:rsid w:val="00E2511F"/>
    <w:rsid w:val="00E313E7"/>
    <w:rsid w:val="00E36E2D"/>
    <w:rsid w:val="00E36FF3"/>
    <w:rsid w:val="00E374DA"/>
    <w:rsid w:val="00E37D5C"/>
    <w:rsid w:val="00E64F73"/>
    <w:rsid w:val="00E6669A"/>
    <w:rsid w:val="00E71015"/>
    <w:rsid w:val="00E72619"/>
    <w:rsid w:val="00E75D24"/>
    <w:rsid w:val="00E86160"/>
    <w:rsid w:val="00E9289E"/>
    <w:rsid w:val="00EA16B1"/>
    <w:rsid w:val="00EA476B"/>
    <w:rsid w:val="00EB3432"/>
    <w:rsid w:val="00EB65C6"/>
    <w:rsid w:val="00EC18EA"/>
    <w:rsid w:val="00EC29BA"/>
    <w:rsid w:val="00ED42C3"/>
    <w:rsid w:val="00ED7664"/>
    <w:rsid w:val="00EE1D6B"/>
    <w:rsid w:val="00EF2DB1"/>
    <w:rsid w:val="00EF3471"/>
    <w:rsid w:val="00F0191A"/>
    <w:rsid w:val="00F05CE3"/>
    <w:rsid w:val="00F07DA4"/>
    <w:rsid w:val="00F25849"/>
    <w:rsid w:val="00F32E28"/>
    <w:rsid w:val="00F333B0"/>
    <w:rsid w:val="00F350E1"/>
    <w:rsid w:val="00F3531E"/>
    <w:rsid w:val="00F404D6"/>
    <w:rsid w:val="00F418CB"/>
    <w:rsid w:val="00F43D89"/>
    <w:rsid w:val="00F543A1"/>
    <w:rsid w:val="00F55CAA"/>
    <w:rsid w:val="00F62F2B"/>
    <w:rsid w:val="00F65B1A"/>
    <w:rsid w:val="00F7147B"/>
    <w:rsid w:val="00F764D3"/>
    <w:rsid w:val="00F84E5A"/>
    <w:rsid w:val="00F861A0"/>
    <w:rsid w:val="00FA7D2F"/>
    <w:rsid w:val="00FB37FA"/>
    <w:rsid w:val="00FC5F25"/>
    <w:rsid w:val="00FE2BBC"/>
    <w:rsid w:val="00FF0218"/>
    <w:rsid w:val="00FF2EC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uiPriority w:val="99"/>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uiPriority w:val="99"/>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1879">
      <w:bodyDiv w:val="1"/>
      <w:marLeft w:val="0"/>
      <w:marRight w:val="0"/>
      <w:marTop w:val="0"/>
      <w:marBottom w:val="0"/>
      <w:divBdr>
        <w:top w:val="none" w:sz="0" w:space="0" w:color="auto"/>
        <w:left w:val="none" w:sz="0" w:space="0" w:color="auto"/>
        <w:bottom w:val="none" w:sz="0" w:space="0" w:color="auto"/>
        <w:right w:val="none" w:sz="0" w:space="0" w:color="auto"/>
      </w:divBdr>
    </w:div>
    <w:div w:id="1204977638">
      <w:bodyDiv w:val="1"/>
      <w:marLeft w:val="0"/>
      <w:marRight w:val="0"/>
      <w:marTop w:val="0"/>
      <w:marBottom w:val="0"/>
      <w:divBdr>
        <w:top w:val="none" w:sz="0" w:space="0" w:color="auto"/>
        <w:left w:val="none" w:sz="0" w:space="0" w:color="auto"/>
        <w:bottom w:val="none" w:sz="0" w:space="0" w:color="auto"/>
        <w:right w:val="none" w:sz="0" w:space="0" w:color="auto"/>
      </w:divBdr>
    </w:div>
    <w:div w:id="1391728070">
      <w:bodyDiv w:val="1"/>
      <w:marLeft w:val="0"/>
      <w:marRight w:val="0"/>
      <w:marTop w:val="0"/>
      <w:marBottom w:val="0"/>
      <w:divBdr>
        <w:top w:val="none" w:sz="0" w:space="0" w:color="auto"/>
        <w:left w:val="none" w:sz="0" w:space="0" w:color="auto"/>
        <w:bottom w:val="none" w:sz="0" w:space="0" w:color="auto"/>
        <w:right w:val="none" w:sz="0" w:space="0" w:color="auto"/>
      </w:divBdr>
    </w:div>
    <w:div w:id="1521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mo.int/pages/prog/www/DPFSERA/Meetings/ET-ERA_BuenosAires2015/DocPlan_000.html" TargetMode="External"/><Relationship Id="rId13" Type="http://schemas.openxmlformats.org/officeDocument/2006/relationships/hyperlink" Target="https://portal.icao.int/METP/MISD/Reports/MISD3%20RRM%20Report%20FINAL%2020171105.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ub.iaea.org/books/iaeabooks/10905/preparedness-and-response-for-a-nuclear-or-radiological-emergen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icao.int/METP/METP4%20Documents/METP4-WP2101_Amendment_to_Annex3_concerning_radioactive_cloud_SIGME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icao.int/METP/MISD/MISD3%20Meeting%20Documents/MISD3-SN2101_RRM%20(IACRNE%20SIGMET%20Task%20Group%20Report).pdf" TargetMode="External"/><Relationship Id="rId5" Type="http://schemas.openxmlformats.org/officeDocument/2006/relationships/webSettings" Target="webSettings.xml"/><Relationship Id="rId15" Type="http://schemas.openxmlformats.org/officeDocument/2006/relationships/hyperlink" Target="https://portal.icao.int/METP/MISD/Reports/METP_MISD4_Combined_Meeting_Report_FINAL_REV1.pdf" TargetMode="External"/><Relationship Id="rId10" Type="http://schemas.openxmlformats.org/officeDocument/2006/relationships/hyperlink" Target="https://portal.icao.int/METP/MISD/MISD3%20Meeting%20Documents/MISD3-SN2101_RRM%20(IACRNE%20SIGMET%20Task%20Group%20Report)%20(Appendix%20A).pdf" TargetMode="External"/><Relationship Id="rId4" Type="http://schemas.openxmlformats.org/officeDocument/2006/relationships/settings" Target="settings.xml"/><Relationship Id="rId9" Type="http://schemas.openxmlformats.org/officeDocument/2006/relationships/hyperlink" Target="https://portal.icao.int/icao-net/Annexes/an03_20ed.pdf" TargetMode="External"/><Relationship Id="rId14" Type="http://schemas.openxmlformats.org/officeDocument/2006/relationships/hyperlink" Target="https://portal.icao.int/METP/MISD/MISD4%20Combined%20Documents/MISD4-SN2103_RRM%20(Ammendment%20to%20Annex-3%20Concerning%20Changes%20to%20Radioactive%20Cloud%20SIGMET)_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Pascale Gomez</cp:lastModifiedBy>
  <cp:revision>2</cp:revision>
  <cp:lastPrinted>2013-10-16T12:53:00Z</cp:lastPrinted>
  <dcterms:created xsi:type="dcterms:W3CDTF">2018-09-18T14:23:00Z</dcterms:created>
  <dcterms:modified xsi:type="dcterms:W3CDTF">2018-09-18T14:23:00Z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