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F0" w:rsidRDefault="009461C1" w:rsidP="00C831F0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Theme Leader on </w:t>
      </w:r>
      <w:proofErr w:type="spellStart"/>
      <w:r>
        <w:rPr>
          <w:rFonts w:cs="Arial"/>
          <w:b/>
          <w:bCs w:val="0"/>
        </w:rPr>
        <w:t>Radiosonde</w:t>
      </w:r>
      <w:proofErr w:type="spellEnd"/>
      <w:r>
        <w:rPr>
          <w:rFonts w:cs="Arial"/>
          <w:b/>
          <w:bCs w:val="0"/>
        </w:rPr>
        <w:t xml:space="preserve"> Performance Monitoring (2014-2018</w:t>
      </w:r>
      <w:proofErr w:type="gramStart"/>
      <w:r>
        <w:rPr>
          <w:rFonts w:cs="Arial"/>
          <w:b/>
          <w:bCs w:val="0"/>
        </w:rPr>
        <w:t>)</w:t>
      </w:r>
      <w:proofErr w:type="gramEnd"/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="00C831F0">
        <w:rPr>
          <w:bCs w:val="0"/>
          <w:sz w:val="20"/>
          <w:szCs w:val="20"/>
          <w:lang w:val="nb-NO"/>
        </w:rPr>
        <w:t>(Version: as approved by CIMO-MG-13 in Dec. 2014)</w:t>
      </w:r>
    </w:p>
    <w:p w:rsidR="009461C1" w:rsidRPr="00BE5438" w:rsidRDefault="009461C1" w:rsidP="009461C1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highlight w:val="yellow"/>
          <w:lang w:val="nb-NO"/>
        </w:rPr>
      </w:pPr>
      <w:bookmarkStart w:id="0" w:name="_GoBack"/>
      <w:bookmarkEnd w:id="0"/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440"/>
        <w:gridCol w:w="3240"/>
        <w:gridCol w:w="2340"/>
        <w:gridCol w:w="1080"/>
        <w:gridCol w:w="1467"/>
        <w:gridCol w:w="2673"/>
      </w:tblGrid>
      <w:tr w:rsidR="009461C1" w:rsidRPr="007E02F7" w:rsidTr="00500523">
        <w:trPr>
          <w:tblHeader/>
          <w:jc w:val="center"/>
        </w:trPr>
        <w:tc>
          <w:tcPr>
            <w:tcW w:w="648" w:type="dxa"/>
            <w:vAlign w:val="center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vAlign w:val="center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440" w:type="dxa"/>
            <w:vAlign w:val="center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240" w:type="dxa"/>
            <w:vAlign w:val="center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340" w:type="dxa"/>
            <w:vAlign w:val="center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080" w:type="dxa"/>
            <w:vAlign w:val="center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deliv</w:t>
            </w:r>
            <w:proofErr w:type="spellEnd"/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67" w:type="dxa"/>
            <w:vAlign w:val="center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Status</w:t>
            </w: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[%]</w:t>
            </w:r>
          </w:p>
        </w:tc>
        <w:tc>
          <w:tcPr>
            <w:tcW w:w="2673" w:type="dxa"/>
            <w:vAlign w:val="center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9461C1" w:rsidRPr="007E02F7" w:rsidTr="00500523">
        <w:trPr>
          <w:jc w:val="center"/>
        </w:trPr>
        <w:tc>
          <w:tcPr>
            <w:tcW w:w="648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92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Catalogue of </w:t>
            </w:r>
            <w:proofErr w:type="spellStart"/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radiosondes</w:t>
            </w:r>
            <w:proofErr w:type="spellEnd"/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and upper-air wind systems</w:t>
            </w:r>
          </w:p>
        </w:tc>
        <w:tc>
          <w:tcPr>
            <w:tcW w:w="1440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A. Kat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240" w:type="dxa"/>
          </w:tcPr>
          <w:p w:rsidR="009461C1" w:rsidRPr="007E02F7" w:rsidRDefault="009461C1" w:rsidP="009461C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Update annually the catalogue compiling global yearly statistics of BUFR, TEMP and PILOT messages and </w:t>
            </w:r>
            <w:proofErr w:type="spellStart"/>
            <w:r w:rsidRPr="007E02F7">
              <w:rPr>
                <w:rFonts w:eastAsia="Arial" w:cs="Arial"/>
                <w:sz w:val="20"/>
                <w:szCs w:val="20"/>
                <w:lang w:val="en-US"/>
              </w:rPr>
              <w:t>srrarasasa</w:t>
            </w:r>
            <w:proofErr w:type="spellEnd"/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 code figures arriving along with section 7 of TEMP messages and respective descriptors (002011,002013,002014,002003) of BUFR messages, using operational databases of the </w:t>
            </w:r>
            <w:proofErr w:type="spellStart"/>
            <w:r w:rsidRPr="007E02F7">
              <w:rPr>
                <w:rFonts w:eastAsia="Arial" w:cs="Arial"/>
                <w:sz w:val="20"/>
                <w:szCs w:val="20"/>
                <w:lang w:val="en-US"/>
              </w:rPr>
              <w:t>Hydrometcentre</w:t>
            </w:r>
            <w:proofErr w:type="spellEnd"/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 of Russia</w:t>
            </w:r>
          </w:p>
          <w:p w:rsidR="009461C1" w:rsidRPr="007E02F7" w:rsidRDefault="009461C1" w:rsidP="009461C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Verifying abovementioned information versus WMO Publication No. 9, Volume A and drafting the list of operational upper-air stations.</w:t>
            </w:r>
          </w:p>
          <w:p w:rsidR="009461C1" w:rsidRPr="007E02F7" w:rsidRDefault="009461C1" w:rsidP="009461C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Identifying inconsistencies (silent stations, unknown stations, invalid </w:t>
            </w:r>
            <w:proofErr w:type="spellStart"/>
            <w:r w:rsidRPr="007E02F7">
              <w:rPr>
                <w:rFonts w:eastAsia="Arial" w:cs="Arial"/>
                <w:sz w:val="20"/>
                <w:szCs w:val="20"/>
                <w:lang w:val="en-US"/>
              </w:rPr>
              <w:t>rara</w:t>
            </w:r>
            <w:proofErr w:type="spellEnd"/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 figures) in the list above and resolving them in liaison with NHMSs and compiling the Catalogue. </w:t>
            </w:r>
          </w:p>
          <w:p w:rsidR="009461C1" w:rsidRPr="007E02F7" w:rsidRDefault="009461C1" w:rsidP="009461C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Liaising with ICG-WIGOS on facilitating migration of </w:t>
            </w:r>
            <w:proofErr w:type="spellStart"/>
            <w:r w:rsidRPr="007E02F7">
              <w:rPr>
                <w:rFonts w:eastAsia="Arial" w:cs="Arial"/>
                <w:sz w:val="20"/>
                <w:szCs w:val="20"/>
                <w:lang w:val="en-US"/>
              </w:rPr>
              <w:t>Radiosonde</w:t>
            </w:r>
            <w:proofErr w:type="spellEnd"/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 Catalogue information towards OSCAR/Surface representation</w:t>
            </w:r>
          </w:p>
        </w:tc>
        <w:tc>
          <w:tcPr>
            <w:tcW w:w="2340" w:type="dxa"/>
          </w:tcPr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9461C1">
            <w:pPr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New version of catalogue for posting on CIMO website</w:t>
            </w: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9461C1">
            <w:pPr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Suggestion for  catalogue migration to OSCAR/Surface</w:t>
            </w:r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Annually</w:t>
            </w:r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06/2015</w:t>
            </w:r>
          </w:p>
        </w:tc>
        <w:tc>
          <w:tcPr>
            <w:tcW w:w="1467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CIMO-XV, para 5.5</w:t>
            </w:r>
          </w:p>
        </w:tc>
      </w:tr>
      <w:tr w:rsidR="009461C1" w:rsidRPr="007E02F7" w:rsidTr="00500523">
        <w:trPr>
          <w:jc w:val="center"/>
        </w:trPr>
        <w:tc>
          <w:tcPr>
            <w:tcW w:w="648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92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Performance monitoring statistics</w:t>
            </w:r>
          </w:p>
        </w:tc>
        <w:tc>
          <w:tcPr>
            <w:tcW w:w="1440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A. Kat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240" w:type="dxa"/>
          </w:tcPr>
          <w:p w:rsidR="009461C1" w:rsidRPr="007E02F7" w:rsidRDefault="009461C1" w:rsidP="009461C1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Compile the quarterly upper-air performance monitoring </w:t>
            </w:r>
            <w:r w:rsidRPr="007E02F7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statistics and graphical plots</w:t>
            </w:r>
          </w:p>
          <w:p w:rsidR="009461C1" w:rsidRPr="007E02F7" w:rsidRDefault="009461C1" w:rsidP="009461C1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Analyzing upper-air monitoring statistics and graphical plots, identify problems with certain stations/</w:t>
            </w:r>
            <w:proofErr w:type="spellStart"/>
            <w:r w:rsidRPr="007E02F7">
              <w:rPr>
                <w:rFonts w:eastAsia="Arial" w:cs="Arial"/>
                <w:sz w:val="20"/>
                <w:szCs w:val="20"/>
                <w:lang w:val="en-US"/>
              </w:rPr>
              <w:t>radiosonde</w:t>
            </w:r>
            <w:proofErr w:type="spellEnd"/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 types, and prepare a respective report</w:t>
            </w:r>
          </w:p>
        </w:tc>
        <w:tc>
          <w:tcPr>
            <w:tcW w:w="2340" w:type="dxa"/>
          </w:tcPr>
          <w:p w:rsidR="009461C1" w:rsidRPr="007E02F7" w:rsidRDefault="009461C1" w:rsidP="009461C1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lastRenderedPageBreak/>
              <w:t xml:space="preserve">New version of files for posting on CIMO </w:t>
            </w:r>
            <w:r w:rsidRPr="007E02F7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website</w:t>
            </w:r>
          </w:p>
          <w:p w:rsidR="009461C1" w:rsidRPr="007E02F7" w:rsidRDefault="009461C1" w:rsidP="009461C1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Report with list of identified problems</w:t>
            </w:r>
          </w:p>
        </w:tc>
        <w:tc>
          <w:tcPr>
            <w:tcW w:w="1080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lastRenderedPageBreak/>
              <w:t xml:space="preserve">1.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Annual</w:t>
            </w:r>
            <w:r w:rsidRPr="007E02F7">
              <w:rPr>
                <w:rFonts w:eastAsia="Arial" w:cs="Arial"/>
                <w:sz w:val="20"/>
                <w:szCs w:val="20"/>
                <w:lang w:val="en-US"/>
              </w:rPr>
              <w:t>ly</w:t>
            </w:r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2. Annually</w:t>
            </w:r>
          </w:p>
        </w:tc>
        <w:tc>
          <w:tcPr>
            <w:tcW w:w="1467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CIMO-XV, para 5.5</w:t>
            </w:r>
          </w:p>
        </w:tc>
      </w:tr>
      <w:tr w:rsidR="009461C1" w:rsidRPr="007E02F7" w:rsidTr="00500523">
        <w:trPr>
          <w:jc w:val="center"/>
        </w:trPr>
        <w:tc>
          <w:tcPr>
            <w:tcW w:w="648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592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Follow-up on identified performance issues</w:t>
            </w:r>
          </w:p>
        </w:tc>
        <w:tc>
          <w:tcPr>
            <w:tcW w:w="1440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A. Kat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240" w:type="dxa"/>
          </w:tcPr>
          <w:p w:rsidR="009461C1" w:rsidRPr="007E02F7" w:rsidRDefault="009461C1" w:rsidP="009461C1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Contact individual Members and HMEI on performance issues identified above</w:t>
            </w:r>
          </w:p>
          <w:p w:rsidR="009461C1" w:rsidRPr="007E02F7" w:rsidRDefault="009461C1" w:rsidP="009461C1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Identify and assist on remedy actions in respect to BUFR reporting software issues</w:t>
            </w:r>
          </w:p>
          <w:p w:rsidR="009461C1" w:rsidRPr="007E02F7" w:rsidRDefault="009461C1" w:rsidP="009461C1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Promote high-resolution native upper-air BUFR production instead of TEMP-&gt;BUFR conversion</w:t>
            </w:r>
          </w:p>
        </w:tc>
        <w:tc>
          <w:tcPr>
            <w:tcW w:w="2340" w:type="dxa"/>
          </w:tcPr>
          <w:p w:rsidR="009461C1" w:rsidRPr="007E02F7" w:rsidRDefault="009461C1" w:rsidP="009461C1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Correspondence to relevant Members</w:t>
            </w:r>
            <w:r>
              <w:rPr>
                <w:rFonts w:eastAsia="Arial" w:cs="Arial"/>
                <w:sz w:val="20"/>
                <w:szCs w:val="20"/>
                <w:lang w:val="en-US"/>
              </w:rPr>
              <w:t xml:space="preserve"> (e.g., NMHS)</w:t>
            </w: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 and HMEI</w:t>
            </w:r>
          </w:p>
          <w:p w:rsidR="009461C1" w:rsidRPr="007E02F7" w:rsidRDefault="009461C1" w:rsidP="009461C1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Report to CIMO-MG</w:t>
            </w:r>
          </w:p>
        </w:tc>
        <w:tc>
          <w:tcPr>
            <w:tcW w:w="1080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1. As </w:t>
            </w:r>
            <w:proofErr w:type="spellStart"/>
            <w:r w:rsidRPr="007E02F7">
              <w:rPr>
                <w:rFonts w:eastAsia="Arial" w:cs="Arial"/>
                <w:sz w:val="20"/>
                <w:szCs w:val="20"/>
                <w:lang w:val="en-US"/>
              </w:rPr>
              <w:t>Req</w:t>
            </w:r>
            <w:proofErr w:type="spellEnd"/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2. Annually</w:t>
            </w:r>
          </w:p>
        </w:tc>
        <w:tc>
          <w:tcPr>
            <w:tcW w:w="1467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CIMO-XV, para 5.5</w:t>
            </w:r>
          </w:p>
        </w:tc>
      </w:tr>
      <w:tr w:rsidR="009461C1" w:rsidRPr="007E02F7" w:rsidTr="00500523">
        <w:trPr>
          <w:jc w:val="center"/>
        </w:trPr>
        <w:tc>
          <w:tcPr>
            <w:tcW w:w="648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592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b/>
                <w:sz w:val="20"/>
                <w:szCs w:val="20"/>
                <w:lang w:val="en-US"/>
              </w:rPr>
              <w:t>Follow-up on coding issues</w:t>
            </w:r>
          </w:p>
        </w:tc>
        <w:tc>
          <w:tcPr>
            <w:tcW w:w="1440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A. Kat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3240" w:type="dxa"/>
          </w:tcPr>
          <w:p w:rsidR="009461C1" w:rsidRPr="007E02F7" w:rsidRDefault="009461C1" w:rsidP="009461C1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Liaise with Members, HMEI and CBS IPET-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DRMM</w:t>
            </w: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 on allocation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 xml:space="preserve">of </w:t>
            </w: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new entries for </w:t>
            </w:r>
            <w:proofErr w:type="spellStart"/>
            <w:r w:rsidRPr="007E02F7">
              <w:rPr>
                <w:rFonts w:eastAsia="Arial" w:cs="Arial"/>
                <w:sz w:val="20"/>
                <w:szCs w:val="20"/>
                <w:lang w:val="en-US"/>
              </w:rPr>
              <w:t>radiosonde</w:t>
            </w:r>
            <w:proofErr w:type="spellEnd"/>
            <w:r w:rsidRPr="007E02F7">
              <w:rPr>
                <w:rFonts w:eastAsia="Arial" w:cs="Arial"/>
                <w:sz w:val="20"/>
                <w:szCs w:val="20"/>
                <w:lang w:val="en-US"/>
              </w:rPr>
              <w:t>/sounding system used in TDCF</w:t>
            </w:r>
          </w:p>
        </w:tc>
        <w:tc>
          <w:tcPr>
            <w:tcW w:w="2340" w:type="dxa"/>
          </w:tcPr>
          <w:p w:rsidR="009461C1" w:rsidRPr="007E02F7" w:rsidRDefault="009461C1" w:rsidP="009461C1">
            <w:pPr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Correspondence to relevant Members, HMEI and IPET-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DRMM</w:t>
            </w: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 chair</w:t>
            </w:r>
          </w:p>
          <w:p w:rsidR="009461C1" w:rsidRPr="007E02F7" w:rsidRDefault="009461C1" w:rsidP="009461C1">
            <w:pPr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Report to CIMO-MG</w:t>
            </w:r>
          </w:p>
        </w:tc>
        <w:tc>
          <w:tcPr>
            <w:tcW w:w="1080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 xml:space="preserve">1. As </w:t>
            </w:r>
            <w:proofErr w:type="spellStart"/>
            <w:r w:rsidRPr="007E02F7">
              <w:rPr>
                <w:rFonts w:eastAsia="Arial" w:cs="Arial"/>
                <w:sz w:val="20"/>
                <w:szCs w:val="20"/>
                <w:lang w:val="en-US"/>
              </w:rPr>
              <w:t>req</w:t>
            </w:r>
            <w:proofErr w:type="spellEnd"/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2. Annually</w:t>
            </w:r>
          </w:p>
          <w:p w:rsidR="009461C1" w:rsidRPr="007E02F7" w:rsidRDefault="009461C1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9461C1" w:rsidRPr="007E02F7" w:rsidRDefault="009461C1" w:rsidP="00500523">
            <w:pPr>
              <w:tabs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</w:tcPr>
          <w:p w:rsidR="009461C1" w:rsidRPr="007E02F7" w:rsidRDefault="009461C1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7E02F7">
              <w:rPr>
                <w:rFonts w:eastAsia="Arial" w:cs="Arial"/>
                <w:sz w:val="20"/>
                <w:szCs w:val="20"/>
                <w:lang w:val="en-US"/>
              </w:rPr>
              <w:t>CIMO-16, 8.9</w:t>
            </w:r>
          </w:p>
        </w:tc>
      </w:tr>
    </w:tbl>
    <w:p w:rsidR="009461C1" w:rsidRDefault="009461C1" w:rsidP="009461C1"/>
    <w:p w:rsidR="009461C1" w:rsidRPr="00D06854" w:rsidRDefault="009461C1" w:rsidP="009461C1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C831F0"/>
    <w:sectPr w:rsidR="00570CF7" w:rsidSect="009461C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131"/>
    <w:multiLevelType w:val="hybridMultilevel"/>
    <w:tmpl w:val="6218BA5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37AB4"/>
    <w:multiLevelType w:val="hybridMultilevel"/>
    <w:tmpl w:val="592681D2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B2184"/>
    <w:multiLevelType w:val="hybridMultilevel"/>
    <w:tmpl w:val="EC74B4A0"/>
    <w:lvl w:ilvl="0" w:tplc="9C8C2D24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A26D1"/>
    <w:multiLevelType w:val="hybridMultilevel"/>
    <w:tmpl w:val="B7FE39FC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3436C"/>
    <w:multiLevelType w:val="hybridMultilevel"/>
    <w:tmpl w:val="780A9AD2"/>
    <w:lvl w:ilvl="0" w:tplc="059454A4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6B06"/>
    <w:multiLevelType w:val="hybridMultilevel"/>
    <w:tmpl w:val="EC74B4A0"/>
    <w:lvl w:ilvl="0" w:tplc="9C8C2D24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05FDE"/>
    <w:multiLevelType w:val="hybridMultilevel"/>
    <w:tmpl w:val="413E37EA"/>
    <w:lvl w:ilvl="0" w:tplc="9C8C2D24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73489"/>
    <w:multiLevelType w:val="hybridMultilevel"/>
    <w:tmpl w:val="B7FE39FC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D1B0E"/>
    <w:multiLevelType w:val="hybridMultilevel"/>
    <w:tmpl w:val="5E787F9A"/>
    <w:lvl w:ilvl="0" w:tplc="4F88A502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1"/>
    <w:rsid w:val="0029739B"/>
    <w:rsid w:val="009461C1"/>
    <w:rsid w:val="00BA08FD"/>
    <w:rsid w:val="00C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C1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C1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63AF8F1A.dotm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2</cp:revision>
  <dcterms:created xsi:type="dcterms:W3CDTF">2015-02-23T13:42:00Z</dcterms:created>
  <dcterms:modified xsi:type="dcterms:W3CDTF">2015-02-23T13:52:00Z</dcterms:modified>
</cp:coreProperties>
</file>