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6" w:rsidRDefault="00FB25AD" w:rsidP="007E0006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r>
        <w:rPr>
          <w:rFonts w:cs="Arial"/>
          <w:b/>
        </w:rPr>
        <w:t>W</w:t>
      </w:r>
      <w:r w:rsidRPr="00714E7A">
        <w:rPr>
          <w:rFonts w:cs="Arial"/>
          <w:b/>
        </w:rPr>
        <w:t>orkplan</w:t>
      </w:r>
      <w:r>
        <w:rPr>
          <w:rFonts w:cs="Arial"/>
          <w:b/>
        </w:rPr>
        <w:t xml:space="preserve"> of the Expert Team on Operational Metrology (2014-2018)</w:t>
      </w:r>
      <w:r w:rsidRPr="0056453B">
        <w:rPr>
          <w:rFonts w:cs="Arial"/>
          <w:b/>
          <w:sz w:val="24"/>
          <w:szCs w:val="24"/>
          <w:lang w:val="nb-NO"/>
        </w:rPr>
        <w:br/>
      </w:r>
      <w:r w:rsidR="007E0006">
        <w:rPr>
          <w:bCs w:val="0"/>
          <w:sz w:val="20"/>
          <w:szCs w:val="20"/>
          <w:lang w:val="nb-NO"/>
        </w:rPr>
        <w:t>(Version: as approved by CIMO-MG-13 in Dec. 2014)</w:t>
      </w:r>
    </w:p>
    <w:p w:rsidR="00FB25AD" w:rsidRPr="00BE5438" w:rsidRDefault="00FB25AD" w:rsidP="00FB25AD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highlight w:val="yellow"/>
          <w:lang w:val="nb-NO"/>
        </w:rPr>
      </w:pPr>
      <w:bookmarkStart w:id="0" w:name="_GoBack"/>
      <w:bookmarkEnd w:id="0"/>
    </w:p>
    <w:tbl>
      <w:tblPr>
        <w:tblW w:w="16239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599"/>
        <w:gridCol w:w="3081"/>
        <w:gridCol w:w="2022"/>
        <w:gridCol w:w="1559"/>
        <w:gridCol w:w="739"/>
        <w:gridCol w:w="739"/>
        <w:gridCol w:w="3260"/>
      </w:tblGrid>
      <w:tr w:rsidR="00FB25AD" w:rsidRPr="001B2F8E" w:rsidTr="00500523">
        <w:trPr>
          <w:tblHeader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 xml:space="preserve">Person responsible </w:t>
            </w:r>
            <w:r w:rsidRPr="0079589B">
              <w:rPr>
                <w:sz w:val="20"/>
                <w:szCs w:val="20"/>
                <w:lang w:val="en-US"/>
              </w:rPr>
              <w:t>and subteam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Deadline for deliv.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Priority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5AD" w:rsidRPr="0079589B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Status</w:t>
            </w:r>
          </w:p>
          <w:p w:rsidR="00FB25AD" w:rsidRPr="0079589B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[%]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79589B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Estimation of calibration uncertainty – traceability to SI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 xml:space="preserve">D.Groselj,  </w:t>
            </w:r>
            <w:r w:rsidRPr="001B2F8E">
              <w:rPr>
                <w:sz w:val="20"/>
                <w:szCs w:val="20"/>
                <w:lang w:val="en-US"/>
              </w:rPr>
              <w:t>K.Premec, A.Mounir, T.Holfelder, N.Mander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Review document on computation of calibration uncertainties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Develop  workshop on uncertainty calculations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Carry-out workshop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numPr>
                <w:ilvl w:val="0"/>
                <w:numId w:val="1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IOM report on calibration uncertainties</w:t>
            </w:r>
          </w:p>
          <w:p w:rsidR="00FB25AD" w:rsidRPr="001B2F8E" w:rsidRDefault="00FB25AD" w:rsidP="00500523">
            <w:pPr>
              <w:suppressAutoHyphens/>
              <w:snapToGrid w:val="0"/>
              <w:ind w:left="-65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2a. Concept for Workshop </w:t>
            </w:r>
          </w:p>
          <w:p w:rsidR="00FB25AD" w:rsidRPr="001B2F8E" w:rsidRDefault="00FB25AD" w:rsidP="00500523">
            <w:pPr>
              <w:suppressAutoHyphens/>
              <w:snapToGrid w:val="0"/>
              <w:ind w:left="-65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2b. Training units and associated presentations prepared.</w:t>
            </w:r>
          </w:p>
          <w:p w:rsidR="00FB25AD" w:rsidRPr="001B2F8E" w:rsidRDefault="00FB25AD" w:rsidP="00500523">
            <w:pPr>
              <w:suppressAutoHyphens/>
              <w:snapToGrid w:val="0"/>
              <w:ind w:left="-65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3. Workshop carried out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Approved for publication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2a. July 2015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2b. Dec. 2015</w:t>
            </w:r>
          </w:p>
          <w:p w:rsidR="00FB25AD" w:rsidRPr="001B2F8E" w:rsidRDefault="00FB25AD" w:rsidP="00FB25AD">
            <w:pPr>
              <w:pStyle w:val="WMOBodyTex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TBD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CIMO-XV para 6.3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CIMO-16, Doc. 6, para 6.9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Workshop should also address how to establish calibration certificates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Workshop could be done on-site, or possibly remotely (including RICs).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RIC inter-laboratory intercomparisons (demonstrating capabilities in achieving declared RIC calibration and measurement capabilities (CMCs))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RA-VI: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 xml:space="preserve">D.Groselj,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F.Montariol,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de-DE"/>
              </w:rPr>
            </w:pPr>
            <w:r w:rsidRPr="001B2F8E">
              <w:rPr>
                <w:b/>
                <w:sz w:val="20"/>
                <w:szCs w:val="20"/>
                <w:lang w:val="de-DE"/>
              </w:rPr>
              <w:t>RA-II &amp; V: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de-DE"/>
              </w:rPr>
            </w:pPr>
            <w:r w:rsidRPr="001B2F8E">
              <w:rPr>
                <w:b/>
                <w:sz w:val="20"/>
                <w:szCs w:val="20"/>
                <w:lang w:val="de-DE"/>
              </w:rPr>
              <w:t>K.Nakashima</w:t>
            </w:r>
            <w:r w:rsidRPr="001B2F8E">
              <w:rPr>
                <w:sz w:val="20"/>
                <w:szCs w:val="20"/>
                <w:lang w:val="de-DE"/>
              </w:rPr>
              <w:t xml:space="preserve">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F.Barcenas,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RA-I: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A.Mounir</w:t>
            </w:r>
            <w:r w:rsidRPr="001B2F8E">
              <w:rPr>
                <w:sz w:val="20"/>
                <w:szCs w:val="20"/>
                <w:lang w:val="en-US"/>
              </w:rPr>
              <w:t>,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RA-IV &amp; III: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D.Walker</w:t>
            </w:r>
            <w:r w:rsidRPr="001B2F8E">
              <w:rPr>
                <w:sz w:val="20"/>
                <w:szCs w:val="20"/>
                <w:lang w:val="en-US"/>
              </w:rPr>
              <w:t>, D.Prescod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12"/>
              </w:numPr>
              <w:suppressAutoHyphens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Set-up intercomparison kit for temperature, humidity and pressure (at least one, but preferably all 3 parameters)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2"/>
              </w:numPr>
              <w:suppressAutoHyphens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Schedule intercomparisons with other RICs of Regions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Publish intercomparison report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Develop procedure for conducting and evaluating inter-laboratory comparison (based on general principles published in ISO standard for comparison between many laboratories)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snapToGrid w:val="0"/>
              <w:ind w:left="-65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1-3. (IOM) Reports on intercomparisons &amp; Presentations at CIMO-2016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ind w:left="-65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4a.Document describing procedure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4b. Update of CIMO Guide, incorporating procedure.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pStyle w:val="ListParagraph"/>
              <w:widowControl w:val="0"/>
              <w:numPr>
                <w:ilvl w:val="3"/>
                <w:numId w:val="9"/>
              </w:numPr>
              <w:tabs>
                <w:tab w:val="left" w:pos="851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B2F8E">
              <w:rPr>
                <w:sz w:val="20"/>
                <w:szCs w:val="20"/>
              </w:rPr>
              <w:t>July 2017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4a. July 2017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4b. Dec. 2017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it-IT"/>
              </w:rPr>
            </w:pPr>
            <w:r w:rsidRPr="001B2F8E">
              <w:rPr>
                <w:sz w:val="20"/>
                <w:szCs w:val="20"/>
                <w:lang w:val="it-IT"/>
              </w:rPr>
              <w:t>CIMO-XV para 6.3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it-IT"/>
              </w:rPr>
            </w:pPr>
            <w:r w:rsidRPr="001B2F8E">
              <w:rPr>
                <w:sz w:val="20"/>
                <w:szCs w:val="20"/>
                <w:lang w:val="it-IT"/>
              </w:rPr>
              <w:t>CIMO-16, Doc. 6, para 6.9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it-IT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ET-RIC meeting report, § 3.5, 7.3 and 8.8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 xml:space="preserve">Strengthening RICs and supporting their communication with Members and with </w:t>
            </w:r>
            <w:r w:rsidRPr="001B2F8E">
              <w:rPr>
                <w:b/>
                <w:sz w:val="20"/>
                <w:szCs w:val="20"/>
                <w:lang w:val="en-US"/>
              </w:rPr>
              <w:lastRenderedPageBreak/>
              <w:t>respective RA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lastRenderedPageBreak/>
              <w:t>K.Nakashima,</w:t>
            </w:r>
            <w:r w:rsidRPr="001B2F8E">
              <w:rPr>
                <w:sz w:val="20"/>
                <w:szCs w:val="20"/>
                <w:lang w:val="en-US"/>
              </w:rPr>
              <w:t xml:space="preserve"> D.Groselj, A.Mounir, T.Holfelder, </w:t>
            </w:r>
            <w:r w:rsidRPr="001B2F8E">
              <w:rPr>
                <w:sz w:val="20"/>
                <w:szCs w:val="20"/>
                <w:lang w:val="en-US"/>
              </w:rPr>
              <w:lastRenderedPageBreak/>
              <w:t>D.Prescod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 xml:space="preserve">Contact RICs without standard websites and support them in developing the information needed for </w:t>
            </w:r>
            <w:r w:rsidRPr="001B2F8E">
              <w:rPr>
                <w:sz w:val="20"/>
                <w:szCs w:val="20"/>
                <w:lang w:val="en-US"/>
              </w:rPr>
              <w:lastRenderedPageBreak/>
              <w:t>their websites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Review outcomes of RIC evaluations and support those which have problems in performing such evaluations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On request, provide support for the evaluation of RICs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Prepare a template for report of RICs to the RA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Standard websites for all RICs</w:t>
            </w:r>
          </w:p>
          <w:p w:rsidR="00FB25AD" w:rsidRPr="001B2F8E" w:rsidRDefault="00FB25AD" w:rsidP="00500523">
            <w:pPr>
              <w:suppressAutoHyphens/>
              <w:snapToGrid w:val="0"/>
              <w:ind w:left="295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suppressAutoHyphens/>
              <w:snapToGrid w:val="0"/>
              <w:ind w:left="295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FB25AD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Evaluation of all RICs</w:t>
            </w:r>
          </w:p>
          <w:p w:rsidR="00FB25AD" w:rsidRPr="001B2F8E" w:rsidRDefault="00FB25AD" w:rsidP="00500523">
            <w:pPr>
              <w:suppressAutoHyphens/>
              <w:snapToGrid w:val="0"/>
              <w:ind w:left="295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suppressAutoHyphens/>
              <w:snapToGrid w:val="0"/>
              <w:ind w:left="295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suppressAutoHyphens/>
              <w:snapToGrid w:val="0"/>
              <w:ind w:left="295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FB25AD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Report on RIC audits</w:t>
            </w:r>
          </w:p>
          <w:p w:rsidR="00FB25AD" w:rsidRPr="001B2F8E" w:rsidRDefault="00FB25AD" w:rsidP="00FB25AD">
            <w:pPr>
              <w:numPr>
                <w:ilvl w:val="0"/>
                <w:numId w:val="8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Template for RIC reporting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1. July 2016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FB25AD">
            <w:pPr>
              <w:pStyle w:val="WMOBodyText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Dec. 2016</w:t>
            </w:r>
          </w:p>
          <w:p w:rsidR="00FB25AD" w:rsidRPr="001B2F8E" w:rsidRDefault="00FB25AD" w:rsidP="00500523">
            <w:pPr>
              <w:pStyle w:val="WMOBodyText"/>
              <w:ind w:left="295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3. May. 2016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4. Q2 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CIMO-XV para 6.3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Towards calibration of ceilometer, visibilimeter and present weather sensor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 xml:space="preserve">N.Mander, </w:t>
            </w:r>
            <w:r w:rsidRPr="001B2F8E">
              <w:rPr>
                <w:sz w:val="20"/>
                <w:szCs w:val="20"/>
                <w:lang w:val="en-US"/>
              </w:rPr>
              <w:t>F.Montariol, D.Groselj,  J.Lin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snapToGrid w:val="0"/>
              <w:ind w:left="176" w:hanging="241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1. </w:t>
            </w:r>
            <w:r w:rsidRPr="001B2F8E">
              <w:rPr>
                <w:rFonts w:cs="Arial"/>
                <w:sz w:val="20"/>
                <w:szCs w:val="20"/>
              </w:rPr>
              <w:t>Identify and review existing guidance material on</w:t>
            </w:r>
            <w:r w:rsidRPr="001B2F8E">
              <w:rPr>
                <w:sz w:val="20"/>
                <w:szCs w:val="20"/>
                <w:lang w:val="en-US"/>
              </w:rPr>
              <w:t xml:space="preserve"> calibration procedure for ceilometer, visibilimeter and present weather sensor</w:t>
            </w:r>
          </w:p>
          <w:p w:rsidR="00FB25AD" w:rsidRPr="001B2F8E" w:rsidRDefault="00FB25AD" w:rsidP="00500523">
            <w:pPr>
              <w:widowControl w:val="0"/>
              <w:snapToGrid w:val="0"/>
              <w:ind w:left="176" w:hanging="241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Synthesize information obtained into general guidance material</w:t>
            </w:r>
          </w:p>
          <w:p w:rsidR="00FB25AD" w:rsidRPr="001B2F8E" w:rsidRDefault="00FB25AD" w:rsidP="00500523">
            <w:pPr>
              <w:widowControl w:val="0"/>
              <w:snapToGrid w:val="0"/>
              <w:ind w:left="176" w:hanging="241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3. Establish first draft of technical procedures </w:t>
            </w:r>
          </w:p>
          <w:p w:rsidR="00FB25AD" w:rsidRPr="001B2F8E" w:rsidRDefault="00FB25AD" w:rsidP="00500523">
            <w:pPr>
              <w:widowControl w:val="0"/>
              <w:snapToGrid w:val="0"/>
              <w:ind w:left="176" w:hanging="241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ind w:left="213" w:hanging="21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Guidance material identified</w:t>
            </w:r>
          </w:p>
          <w:p w:rsidR="00FB25AD" w:rsidRPr="001B2F8E" w:rsidRDefault="00FB25AD" w:rsidP="00500523">
            <w:pPr>
              <w:ind w:left="213" w:hanging="21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General guidance established on the achievement of the traceability of these instruments</w:t>
            </w:r>
          </w:p>
          <w:p w:rsidR="00FB25AD" w:rsidRPr="001B2F8E" w:rsidRDefault="00FB25AD" w:rsidP="00500523">
            <w:pPr>
              <w:ind w:left="213" w:hanging="21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3.  Technical procedures drafted based on the identified materials,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June 2016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Dec. 2016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3. July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Outcome from  A.1 and A.2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and CIMO TB and TL centers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Action 2 will require guidance on their traceability  provided by the dedicated expert bodies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Note: Outcomes of volcanic ash/aerosol intercomparison may help in progressing this task. 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Implementation of the strategy for improving traceability of basic measurements (such as p, T, h) to SI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 xml:space="preserve">K.Premec, </w:t>
            </w:r>
            <w:r w:rsidRPr="001B2F8E">
              <w:rPr>
                <w:sz w:val="20"/>
                <w:szCs w:val="20"/>
                <w:lang w:val="en-US"/>
              </w:rPr>
              <w:t>N.Mander, D.Groselj, A.Mounir, K.Nakashima, F.Barcenas, J.Lin,    D.Prescod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Develop outreach flyer (for decision makers) on importance of measurement traceability and how to achieve it.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Finalize calibration/traceability strategy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Ensure inclusion of the strategy in the CIMO Guide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Develop guidance material on how to implement traceability (for ex. use of </w:t>
            </w:r>
            <w:r w:rsidRPr="001B2F8E">
              <w:rPr>
                <w:sz w:val="20"/>
                <w:szCs w:val="20"/>
                <w:lang w:val="en-US"/>
              </w:rPr>
              <w:lastRenderedPageBreak/>
              <w:t>field inspection kit)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5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Outreach flyer</w:t>
            </w:r>
          </w:p>
          <w:p w:rsidR="00FB25AD" w:rsidRPr="001B2F8E" w:rsidRDefault="00FB25AD" w:rsidP="00500523">
            <w:pPr>
              <w:widowControl w:val="0"/>
              <w:tabs>
                <w:tab w:val="left" w:pos="213"/>
              </w:tabs>
              <w:suppressAutoHyphens/>
              <w:snapToGrid w:val="0"/>
              <w:ind w:left="213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213"/>
              </w:tabs>
              <w:suppressAutoHyphens/>
              <w:snapToGrid w:val="0"/>
              <w:ind w:left="213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FB25AD">
            <w:pPr>
              <w:widowControl w:val="0"/>
              <w:numPr>
                <w:ilvl w:val="0"/>
                <w:numId w:val="5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Document with calibration strategy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5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Relevant CIMO Guide chapters updated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5"/>
              </w:numPr>
              <w:tabs>
                <w:tab w:val="clear" w:pos="295"/>
                <w:tab w:val="left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Document with guidance material published as IOM report or Annex </w:t>
            </w:r>
            <w:r w:rsidRPr="001B2F8E">
              <w:rPr>
                <w:sz w:val="20"/>
                <w:szCs w:val="20"/>
                <w:lang w:val="en-US"/>
              </w:rPr>
              <w:lastRenderedPageBreak/>
              <w:t>to CIMO Guide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1. March 2015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Dec. 2016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3. July 2017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4. July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CIMO-16, Doc. 6, §6.8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Perspective is for a strategy for ensuring world-wide traceability of measurements to SI.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bCs w:val="0"/>
                <w:sz w:val="20"/>
                <w:szCs w:val="20"/>
                <w:lang w:val="en-US"/>
              </w:rPr>
              <w:t>Impact of Minamata convention and guidance for transition from mercury-based instruments to alternative technologies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A.Mounir,</w:t>
            </w:r>
            <w:r w:rsidRPr="001B2F8E">
              <w:rPr>
                <w:sz w:val="20"/>
                <w:szCs w:val="20"/>
                <w:lang w:val="en-US"/>
              </w:rPr>
              <w:t xml:space="preserve"> N.Mander, D.Groselj, T.</w:t>
            </w:r>
            <w:r w:rsidRPr="001B2F8E">
              <w:rPr>
                <w:bCs w:val="0"/>
                <w:sz w:val="20"/>
                <w:szCs w:val="20"/>
                <w:lang w:val="en-US"/>
              </w:rPr>
              <w:t>Holfelder, K.Premec, D.Prescod,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P. Copping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Develop outreach flyer (for decision makers) on impact of Minamata convention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Collect expertise from Members having successfully transitioned away from Mercury 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Develop road-map/guidance for transition of instruments containing mercury to alternative devices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Develop guidance on how to choose modern cost-effective alternative instruments (incl. list of minimum metrological characteristics of these alternatives)</w:t>
            </w:r>
          </w:p>
          <w:p w:rsidR="00FB25AD" w:rsidRPr="001B2F8E" w:rsidRDefault="00FB25AD" w:rsidP="00500523">
            <w:pPr>
              <w:widowControl w:val="0"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1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Outreach flyer</w:t>
            </w:r>
          </w:p>
          <w:p w:rsidR="00FB25AD" w:rsidRPr="001B2F8E" w:rsidRDefault="00FB25AD" w:rsidP="00FB25AD">
            <w:pPr>
              <w:widowControl w:val="0"/>
              <w:numPr>
                <w:ilvl w:val="1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Links to relevant publications provided on IMOP website</w:t>
            </w:r>
          </w:p>
          <w:p w:rsidR="00FB25AD" w:rsidRPr="001B2F8E" w:rsidRDefault="00FB25AD" w:rsidP="00FB25AD">
            <w:pPr>
              <w:widowControl w:val="0"/>
              <w:numPr>
                <w:ilvl w:val="1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Document with roadmap/guidance for Members wanting/having to transition away from Mercury</w:t>
            </w:r>
          </w:p>
          <w:p w:rsidR="00FB25AD" w:rsidRPr="001B2F8E" w:rsidRDefault="00FB25AD" w:rsidP="00FB25AD">
            <w:pPr>
              <w:widowControl w:val="0"/>
              <w:numPr>
                <w:ilvl w:val="1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Documents with guidance on instrument selection (possibly to be included as annex to a CIMO Guide chapter)</w:t>
            </w:r>
          </w:p>
          <w:p w:rsidR="00FB25AD" w:rsidRPr="001B2F8E" w:rsidRDefault="00FB25AD" w:rsidP="00FB25AD">
            <w:pPr>
              <w:widowControl w:val="0"/>
              <w:numPr>
                <w:ilvl w:val="1"/>
                <w:numId w:val="10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March 2015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Dec. 2015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3. July 2016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4. July 2017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it-IT"/>
              </w:rPr>
            </w:pPr>
            <w:r w:rsidRPr="001B2F8E">
              <w:rPr>
                <w:sz w:val="20"/>
                <w:szCs w:val="20"/>
                <w:lang w:val="it-IT"/>
              </w:rPr>
              <w:t>CIMO-16, Doc. 6, §6.10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it-IT"/>
              </w:rPr>
            </w:pPr>
            <w:r w:rsidRPr="001B2F8E">
              <w:rPr>
                <w:sz w:val="20"/>
                <w:szCs w:val="20"/>
                <w:lang w:val="it-IT"/>
              </w:rPr>
              <w:t>CIMO-16, Doc. 6, §6.12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it-IT"/>
              </w:rPr>
            </w:pPr>
            <w:r w:rsidRPr="001B2F8E">
              <w:rPr>
                <w:sz w:val="20"/>
                <w:szCs w:val="20"/>
                <w:lang w:val="it-IT"/>
              </w:rPr>
              <w:t>CIMO-16, Doc. 6, §6.13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CIMO-16, Doc. 6, §6.14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ET-RIC meeting report, § 8.8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Note: road-map is meant in a general manner. It is clear that Members may have different ways &amp; timelines to implement it.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Assess status and need for regional standard barometer and update CIMO Guide and relevant WMO resolutions accordingly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A.Mounir,</w:t>
            </w:r>
            <w:r w:rsidRPr="001B2F8E">
              <w:rPr>
                <w:sz w:val="20"/>
                <w:szCs w:val="20"/>
                <w:lang w:val="en-US"/>
              </w:rPr>
              <w:t xml:space="preserve"> K.Nakashima, F.Montariol,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D.Prescod, F.Barcenas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4"/>
              </w:numPr>
              <w:tabs>
                <w:tab w:val="clear" w:pos="295"/>
                <w:tab w:val="num" w:pos="230"/>
              </w:tabs>
              <w:suppressAutoHyphens/>
              <w:snapToGrid w:val="0"/>
              <w:ind w:left="23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Collect the needs for regional standards barometers in RAs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suppressAutoHyphens/>
              <w:snapToGrid w:val="0"/>
              <w:ind w:left="213" w:hanging="21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Report to CIMO on the status and need for regional standard barometers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Dec. 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</w:rPr>
            </w:pP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Use of modern alternatives to obsolete instruments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 xml:space="preserve">F.Barcenas, </w:t>
            </w:r>
            <w:r w:rsidRPr="001B2F8E">
              <w:rPr>
                <w:sz w:val="20"/>
                <w:szCs w:val="20"/>
                <w:lang w:val="en-US"/>
              </w:rPr>
              <w:t xml:space="preserve"> T.Holfelder,  N.Mander, A.Mounir, K.Nakashima, D.Groselj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P.Copping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Collect information on successful experiences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Collaborate with HMEI in identifying alternative instruments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Develop guidance on how to select modern instruments replacing outdated </w:t>
            </w:r>
            <w:r w:rsidRPr="001B2F8E">
              <w:rPr>
                <w:sz w:val="20"/>
                <w:szCs w:val="20"/>
                <w:lang w:val="en-US"/>
              </w:rPr>
              <w:lastRenderedPageBreak/>
              <w:t>instruments</w:t>
            </w:r>
          </w:p>
          <w:p w:rsidR="00FB25AD" w:rsidRPr="001B2F8E" w:rsidRDefault="00FB25AD" w:rsidP="00FB25A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B2F8E">
              <w:rPr>
                <w:sz w:val="20"/>
                <w:szCs w:val="20"/>
              </w:rPr>
              <w:t>Develop guidance on how to maintain and calibrate modern instruments replacing outdated instruments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numPr>
                <w:ilvl w:val="0"/>
                <w:numId w:val="1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Lists of relevant publications, and links provided on IMOP website</w:t>
            </w:r>
          </w:p>
          <w:p w:rsidR="00FB25AD" w:rsidRPr="001B2F8E" w:rsidRDefault="00FB25AD" w:rsidP="00FB25AD">
            <w:pPr>
              <w:numPr>
                <w:ilvl w:val="0"/>
                <w:numId w:val="1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Document (possibly IOM Report) proposing </w:t>
            </w:r>
            <w:r w:rsidRPr="001B2F8E">
              <w:rPr>
                <w:sz w:val="20"/>
                <w:szCs w:val="20"/>
                <w:lang w:val="en-US"/>
              </w:rPr>
              <w:lastRenderedPageBreak/>
              <w:t>alternatives</w:t>
            </w:r>
          </w:p>
          <w:p w:rsidR="00FB25AD" w:rsidRPr="001B2F8E" w:rsidRDefault="00FB25AD" w:rsidP="00FB25AD">
            <w:pPr>
              <w:numPr>
                <w:ilvl w:val="0"/>
                <w:numId w:val="1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Guidance document and/or updates of relevant CIMO Guide chapters</w:t>
            </w:r>
          </w:p>
          <w:p w:rsidR="00FB25AD" w:rsidRPr="001B2F8E" w:rsidRDefault="00FB25AD" w:rsidP="00FB25AD">
            <w:pPr>
              <w:numPr>
                <w:ilvl w:val="0"/>
                <w:numId w:val="14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Guidance document and/or updates of relevant CIMO Guide chapters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1. July 2016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Dec 2016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3. July 2017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4. July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CIMO-16, Doc. 6, §6.15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ET-RIC meeting report, § 8.10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Note: Task includes giving guidance on cost-effective AWS and liaise with ET A2.</w:t>
            </w:r>
          </w:p>
        </w:tc>
      </w:tr>
      <w:tr w:rsidR="00FB25AD" w:rsidRPr="001B2F8E" w:rsidTr="00500523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CIMO Guide update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Temperature: K.Premec,</w:t>
            </w:r>
            <w:r w:rsidRPr="001B2F8E">
              <w:rPr>
                <w:sz w:val="20"/>
                <w:szCs w:val="20"/>
                <w:lang w:val="en-US"/>
              </w:rPr>
              <w:t xml:space="preserve"> D.Groselj, F.Montariol,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Cs w:val="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T.Holfelder,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K.Nakashima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 xml:space="preserve"> </w:t>
            </w:r>
          </w:p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Pressure:</w:t>
            </w:r>
            <w:r w:rsidRPr="001B2F8E">
              <w:rPr>
                <w:sz w:val="20"/>
                <w:szCs w:val="20"/>
                <w:lang w:val="en-US"/>
              </w:rPr>
              <w:t xml:space="preserve"> </w:t>
            </w:r>
            <w:r w:rsidRPr="001B2F8E">
              <w:rPr>
                <w:b/>
                <w:sz w:val="20"/>
                <w:szCs w:val="20"/>
                <w:lang w:val="en-US"/>
              </w:rPr>
              <w:t>T.Holfelder,</w:t>
            </w:r>
            <w:r w:rsidRPr="001B2F8E">
              <w:rPr>
                <w:sz w:val="20"/>
                <w:szCs w:val="20"/>
                <w:lang w:val="en-US"/>
              </w:rPr>
              <w:t xml:space="preserve"> K.Premec, F.Montariol, N.Mandel, D.Groselj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Fully revise and update CIMO Guide chapter on temperature and pressure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  <w:p w:rsidR="00FB25AD" w:rsidRPr="001B2F8E" w:rsidDel="00CB4F23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numPr>
                <w:ilvl w:val="1"/>
                <w:numId w:val="11"/>
              </w:numPr>
              <w:tabs>
                <w:tab w:val="clear" w:pos="1440"/>
                <w:tab w:val="num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Updated CIMO Guide chapter</w:t>
            </w:r>
          </w:p>
          <w:p w:rsidR="00FB25AD" w:rsidRPr="001B2F8E" w:rsidRDefault="00FB25AD" w:rsidP="00500523">
            <w:pPr>
              <w:pStyle w:val="WMOBodyTex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July 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B25AD" w:rsidRPr="001B2F8E" w:rsidTr="00500523">
        <w:trPr>
          <w:trHeight w:val="2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b/>
                <w:bCs w:val="0"/>
                <w:sz w:val="20"/>
                <w:szCs w:val="20"/>
                <w:lang w:val="en-US"/>
              </w:rPr>
              <w:t>Precipitation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ind w:left="-8" w:firstLine="8"/>
              <w:rPr>
                <w:sz w:val="20"/>
                <w:szCs w:val="20"/>
                <w:lang w:val="en-US"/>
              </w:rPr>
            </w:pPr>
            <w:r w:rsidRPr="001B2F8E">
              <w:rPr>
                <w:b/>
                <w:sz w:val="20"/>
                <w:szCs w:val="20"/>
                <w:lang w:val="en-US"/>
              </w:rPr>
              <w:t>N. Mander, A.</w:t>
            </w:r>
            <w:r w:rsidRPr="001B2F8E">
              <w:rPr>
                <w:sz w:val="20"/>
                <w:szCs w:val="20"/>
                <w:lang w:val="en-US"/>
              </w:rPr>
              <w:t>Mounir, D.Groselj,  D.Walker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Review the CIMO Guide chapter on precipitation</w:t>
            </w:r>
          </w:p>
          <w:p w:rsidR="00FB25AD" w:rsidRPr="001B2F8E" w:rsidRDefault="00FB25AD" w:rsidP="00FB25AD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eastAsia="Times New Roman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Review documentation on practices on laboratory precipitation calibration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FB25AD">
            <w:pPr>
              <w:numPr>
                <w:ilvl w:val="1"/>
                <w:numId w:val="11"/>
              </w:numPr>
              <w:tabs>
                <w:tab w:val="clear" w:pos="1440"/>
                <w:tab w:val="num" w:pos="213"/>
              </w:tabs>
              <w:suppressAutoHyphens/>
              <w:snapToGrid w:val="0"/>
              <w:ind w:left="213" w:hanging="283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Propose</w:t>
            </w:r>
            <w:r>
              <w:rPr>
                <w:sz w:val="20"/>
                <w:szCs w:val="20"/>
                <w:lang w:val="en-US"/>
              </w:rPr>
              <w:t xml:space="preserve"> u</w:t>
            </w:r>
            <w:r w:rsidRPr="001B2F8E">
              <w:rPr>
                <w:sz w:val="20"/>
                <w:szCs w:val="20"/>
                <w:lang w:val="en-US"/>
              </w:rPr>
              <w:t xml:space="preserve">pdates of the </w:t>
            </w:r>
            <w:r>
              <w:rPr>
                <w:sz w:val="20"/>
                <w:szCs w:val="20"/>
                <w:lang w:val="en-US"/>
              </w:rPr>
              <w:t>CIMO</w:t>
            </w:r>
            <w:r w:rsidRPr="001B2F8E">
              <w:rPr>
                <w:sz w:val="20"/>
                <w:szCs w:val="20"/>
                <w:lang w:val="en-US"/>
              </w:rPr>
              <w:t xml:space="preserve"> guide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1. Dec 2017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AD" w:rsidRPr="001B2F8E" w:rsidRDefault="00FB25AD" w:rsidP="00500523">
            <w:pPr>
              <w:widowControl w:val="0"/>
              <w:tabs>
                <w:tab w:val="left" w:pos="851"/>
              </w:tabs>
              <w:snapToGrid w:val="0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Liaise with A.1 and A.2</w:t>
            </w:r>
          </w:p>
        </w:tc>
      </w:tr>
    </w:tbl>
    <w:p w:rsidR="00FB25AD" w:rsidRPr="009F62B7" w:rsidRDefault="00FB25AD" w:rsidP="00FB25AD"/>
    <w:p w:rsidR="00FB25AD" w:rsidRPr="00D06854" w:rsidRDefault="00FB25AD" w:rsidP="00FB25AD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7E0006"/>
    <w:sectPr w:rsidR="00570CF7" w:rsidSect="00FB25A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152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3">
    <w:nsid w:val="0000000D"/>
    <w:multiLevelType w:val="singleLevel"/>
    <w:tmpl w:val="46A80F20"/>
    <w:name w:val="WW8Num1522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  <w:b w:val="0"/>
        <w:bCs w:val="0"/>
        <w:sz w:val="20"/>
        <w:szCs w:val="2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6">
    <w:nsid w:val="00560750"/>
    <w:multiLevelType w:val="multilevel"/>
    <w:tmpl w:val="00000019"/>
    <w:name w:val="WW8Num252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7">
    <w:nsid w:val="0B0D1978"/>
    <w:multiLevelType w:val="hybridMultilevel"/>
    <w:tmpl w:val="54F6C78A"/>
    <w:name w:val="WW8Num92"/>
    <w:lvl w:ilvl="0" w:tplc="00000009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D3F862B8">
      <w:start w:val="1"/>
      <w:numFmt w:val="decimal"/>
      <w:lvlText w:val="%2."/>
      <w:lvlJc w:val="left"/>
      <w:pPr>
        <w:tabs>
          <w:tab w:val="num" w:pos="230"/>
        </w:tabs>
        <w:ind w:left="2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F6DB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85205"/>
    <w:multiLevelType w:val="multilevel"/>
    <w:tmpl w:val="00000019"/>
    <w:name w:val="WW8Num25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0">
    <w:nsid w:val="2B1868A4"/>
    <w:multiLevelType w:val="hybridMultilevel"/>
    <w:tmpl w:val="9FBA4352"/>
    <w:name w:val="WW8Num152"/>
    <w:lvl w:ilvl="0" w:tplc="D3F862B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</w:rPr>
    </w:lvl>
    <w:lvl w:ilvl="1" w:tplc="000000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C76CD0"/>
    <w:multiLevelType w:val="hybridMultilevel"/>
    <w:tmpl w:val="6972D9E8"/>
    <w:name w:val="WW8Num42"/>
    <w:lvl w:ilvl="0" w:tplc="00000004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9537EA"/>
    <w:multiLevelType w:val="hybridMultilevel"/>
    <w:tmpl w:val="76EE28FA"/>
    <w:lvl w:ilvl="0" w:tplc="00000009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471D2"/>
    <w:multiLevelType w:val="hybridMultilevel"/>
    <w:tmpl w:val="1F568644"/>
    <w:lvl w:ilvl="0" w:tplc="6778C7D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4">
    <w:nsid w:val="7DAA444D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AD"/>
    <w:rsid w:val="0029739B"/>
    <w:rsid w:val="007E0006"/>
    <w:rsid w:val="00BA08FD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AD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AD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FB25AD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FB25AD"/>
    <w:rPr>
      <w:rFonts w:ascii="Arial" w:eastAsia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AD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AD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FB25AD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FB25AD"/>
    <w:rPr>
      <w:rFonts w:ascii="Arial" w:eastAsia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FEE8B9E9.dotm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2</cp:revision>
  <dcterms:created xsi:type="dcterms:W3CDTF">2015-02-23T13:41:00Z</dcterms:created>
  <dcterms:modified xsi:type="dcterms:W3CDTF">2015-02-23T13:51:00Z</dcterms:modified>
</cp:coreProperties>
</file>