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050" w:rsidRPr="00E71F09" w:rsidRDefault="00512050" w:rsidP="00512050">
      <w:pPr>
        <w:keepNext/>
        <w:keepLines/>
        <w:tabs>
          <w:tab w:val="clear" w:pos="1134"/>
        </w:tabs>
        <w:spacing w:before="360"/>
        <w:jc w:val="center"/>
        <w:outlineLvl w:val="1"/>
        <w:rPr>
          <w:rFonts w:ascii="Verdana" w:hAnsi="Verdana"/>
          <w:b/>
          <w:bCs/>
          <w:iCs/>
          <w:sz w:val="20"/>
          <w:lang w:eastAsia="zh-TW"/>
        </w:rPr>
      </w:pPr>
      <w:bookmarkStart w:id="0" w:name="_GoBack"/>
      <w:bookmarkEnd w:id="0"/>
      <w:r w:rsidRPr="00E71F09">
        <w:rPr>
          <w:rFonts w:ascii="Verdana" w:hAnsi="Verdana"/>
          <w:b/>
          <w:bCs/>
          <w:iCs/>
          <w:sz w:val="20"/>
          <w:lang w:eastAsia="zh-TW"/>
        </w:rPr>
        <w:t>Annex to draft Decision 8.1/1 (EC-68)</w:t>
      </w:r>
    </w:p>
    <w:p w:rsidR="00512050" w:rsidRPr="00E71F09" w:rsidRDefault="00512050" w:rsidP="00512050">
      <w:pPr>
        <w:keepNext/>
        <w:keepLines/>
        <w:spacing w:before="360" w:after="480"/>
        <w:jc w:val="center"/>
        <w:outlineLvl w:val="2"/>
        <w:rPr>
          <w:rFonts w:ascii="Verdana" w:hAnsi="Verdana"/>
          <w:b/>
          <w:bCs/>
          <w:caps/>
          <w:noProof/>
          <w:sz w:val="20"/>
          <w:lang w:eastAsia="zh-TW"/>
        </w:rPr>
      </w:pPr>
      <w:r w:rsidRPr="00E71F09">
        <w:rPr>
          <w:rFonts w:ascii="Verdana" w:hAnsi="Verdana"/>
          <w:b/>
          <w:bCs/>
          <w:caps/>
          <w:noProof/>
          <w:sz w:val="20"/>
          <w:lang w:eastAsia="zh-TW"/>
        </w:rPr>
        <w:t>Outline of the Seamless data-processing and forecasting System  implemetation plan –Including vision and scope</w:t>
      </w:r>
    </w:p>
    <w:p w:rsidR="00512050" w:rsidRPr="00E71F09" w:rsidRDefault="00512050" w:rsidP="00512050">
      <w:pPr>
        <w:numPr>
          <w:ilvl w:val="0"/>
          <w:numId w:val="1"/>
        </w:numPr>
        <w:tabs>
          <w:tab w:val="clear" w:pos="1134"/>
        </w:tabs>
        <w:spacing w:after="200" w:line="276" w:lineRule="auto"/>
        <w:contextualSpacing/>
        <w:jc w:val="left"/>
        <w:rPr>
          <w:rFonts w:ascii="Verdana" w:eastAsia="Calibri" w:hAnsi="Verdana"/>
          <w:b/>
          <w:sz w:val="20"/>
          <w:lang w:val="en-US"/>
        </w:rPr>
      </w:pPr>
      <w:r w:rsidRPr="00E71F09">
        <w:rPr>
          <w:rFonts w:ascii="Verdana" w:eastAsia="Calibri" w:hAnsi="Verdana"/>
          <w:b/>
          <w:sz w:val="20"/>
          <w:lang w:val="en-US"/>
        </w:rPr>
        <w:t xml:space="preserve">Introduction </w:t>
      </w:r>
    </w:p>
    <w:p w:rsidR="00512050" w:rsidRPr="00E71F09" w:rsidRDefault="00512050" w:rsidP="00512050">
      <w:pPr>
        <w:tabs>
          <w:tab w:val="clear" w:pos="1134"/>
        </w:tabs>
        <w:spacing w:after="200" w:line="276" w:lineRule="auto"/>
        <w:ind w:left="360"/>
        <w:contextualSpacing/>
        <w:jc w:val="left"/>
        <w:rPr>
          <w:rFonts w:ascii="Verdana" w:eastAsia="Calibri" w:hAnsi="Verdana"/>
          <w:b/>
          <w:sz w:val="20"/>
          <w:lang w:val="en-US"/>
        </w:rPr>
      </w:pPr>
    </w:p>
    <w:p w:rsidR="00512050" w:rsidRPr="00E71F09" w:rsidRDefault="00512050" w:rsidP="00512050">
      <w:pPr>
        <w:numPr>
          <w:ilvl w:val="0"/>
          <w:numId w:val="1"/>
        </w:numPr>
        <w:tabs>
          <w:tab w:val="clear" w:pos="1134"/>
        </w:tabs>
        <w:spacing w:after="200" w:line="276" w:lineRule="auto"/>
        <w:contextualSpacing/>
        <w:jc w:val="left"/>
        <w:rPr>
          <w:rFonts w:ascii="Verdana" w:eastAsia="Calibri" w:hAnsi="Verdana"/>
          <w:b/>
          <w:sz w:val="20"/>
          <w:lang w:val="en-US"/>
        </w:rPr>
      </w:pPr>
      <w:r w:rsidRPr="00E71F09">
        <w:rPr>
          <w:rFonts w:ascii="Verdana" w:eastAsia="Calibri" w:hAnsi="Verdana"/>
          <w:b/>
          <w:sz w:val="20"/>
          <w:lang w:val="en-US"/>
        </w:rPr>
        <w:t>Vision</w:t>
      </w:r>
    </w:p>
    <w:p w:rsidR="00512050" w:rsidRPr="00E71F09" w:rsidRDefault="00512050" w:rsidP="00512050">
      <w:pPr>
        <w:pStyle w:val="WMOBodyText"/>
        <w:rPr>
          <w:rFonts w:ascii="Verdana" w:hAnsi="Verdana"/>
          <w:sz w:val="20"/>
          <w:szCs w:val="20"/>
          <w:lang w:val="en-US" w:eastAsia="en-US"/>
        </w:rPr>
      </w:pPr>
      <w:r w:rsidRPr="00E71F09">
        <w:rPr>
          <w:rFonts w:ascii="Verdana" w:hAnsi="Verdana"/>
          <w:sz w:val="20"/>
          <w:szCs w:val="20"/>
          <w:lang w:val="en-US" w:eastAsia="en-US"/>
        </w:rPr>
        <w:t>(Excerpt from the draft White Paper on Seamless GDPFS)</w:t>
      </w:r>
    </w:p>
    <w:p w:rsidR="00512050" w:rsidRPr="00E71F09" w:rsidRDefault="00512050" w:rsidP="00512050">
      <w:pPr>
        <w:pStyle w:val="WMOBodyText"/>
        <w:numPr>
          <w:ilvl w:val="0"/>
          <w:numId w:val="6"/>
        </w:numPr>
        <w:rPr>
          <w:rFonts w:ascii="Verdana" w:hAnsi="Verdana"/>
          <w:sz w:val="20"/>
          <w:szCs w:val="20"/>
          <w:lang w:val="en-US" w:eastAsia="en-US"/>
        </w:rPr>
      </w:pPr>
      <w:r w:rsidRPr="00E71F09">
        <w:rPr>
          <w:rFonts w:ascii="Verdana" w:hAnsi="Verdana"/>
          <w:sz w:val="20"/>
          <w:szCs w:val="20"/>
          <w:lang w:val="en-US" w:eastAsia="en-US"/>
        </w:rPr>
        <w:t xml:space="preserve">The GDPFS will be an effective and adaptable monitoring and prediction system to enable Members and partners to make better-informed decisions. </w:t>
      </w:r>
    </w:p>
    <w:p w:rsidR="00512050" w:rsidRPr="00E71F09" w:rsidRDefault="00512050" w:rsidP="00512050">
      <w:pPr>
        <w:pStyle w:val="WMOBodyText"/>
        <w:numPr>
          <w:ilvl w:val="0"/>
          <w:numId w:val="6"/>
        </w:numPr>
        <w:rPr>
          <w:rFonts w:ascii="Verdana" w:hAnsi="Verdana"/>
          <w:sz w:val="20"/>
          <w:szCs w:val="20"/>
          <w:lang w:val="en-US" w:eastAsia="en-US"/>
        </w:rPr>
      </w:pPr>
      <w:r w:rsidRPr="00E71F09">
        <w:rPr>
          <w:rFonts w:ascii="Verdana" w:hAnsi="Verdana"/>
          <w:sz w:val="20"/>
          <w:szCs w:val="20"/>
          <w:lang w:val="en-US" w:eastAsia="en-US"/>
        </w:rPr>
        <w:t xml:space="preserve">The GDPFS will facilitate the provision of impact-based FORECASTS and risk-based warnings through partnership and collaboration. </w:t>
      </w:r>
    </w:p>
    <w:p w:rsidR="00512050" w:rsidRPr="00E71F09" w:rsidRDefault="00512050" w:rsidP="00512050">
      <w:pPr>
        <w:pStyle w:val="WMOBodyText"/>
        <w:numPr>
          <w:ilvl w:val="0"/>
          <w:numId w:val="5"/>
        </w:numPr>
        <w:rPr>
          <w:rFonts w:ascii="Verdana" w:hAnsi="Verdana"/>
          <w:sz w:val="20"/>
          <w:szCs w:val="20"/>
          <w:lang w:val="en-US" w:eastAsia="en-US"/>
        </w:rPr>
      </w:pPr>
      <w:r w:rsidRPr="00E71F09">
        <w:rPr>
          <w:rFonts w:ascii="Verdana" w:hAnsi="Verdana"/>
          <w:sz w:val="20"/>
          <w:szCs w:val="20"/>
          <w:lang w:val="en-US" w:eastAsia="en-US"/>
        </w:rPr>
        <w:t>The GDPFS will do so through the sharing of weather, water, climate and related environmental data, products and services in a cost effective, timely and agile way, with the effect of benefitting all WMO members, while also reducing the gaps between developed and developing Members.</w:t>
      </w:r>
    </w:p>
    <w:p w:rsidR="00512050" w:rsidRPr="00E71F09" w:rsidRDefault="00512050" w:rsidP="00512050">
      <w:pPr>
        <w:pStyle w:val="WMOBodyText"/>
        <w:rPr>
          <w:rFonts w:ascii="Verdana" w:hAnsi="Verdana"/>
          <w:sz w:val="20"/>
          <w:szCs w:val="20"/>
          <w:lang w:val="en-US" w:eastAsia="en-US"/>
        </w:rPr>
      </w:pPr>
      <w:r w:rsidRPr="00E71F09">
        <w:rPr>
          <w:rFonts w:ascii="Verdana" w:hAnsi="Verdana"/>
          <w:sz w:val="20"/>
          <w:szCs w:val="20"/>
          <w:lang w:val="en-US" w:eastAsia="en-US"/>
        </w:rPr>
        <w:t xml:space="preserve">One may imagine the GDPFS in 2031, 16 years later: </w:t>
      </w:r>
    </w:p>
    <w:p w:rsidR="00512050" w:rsidRPr="00E71F09" w:rsidRDefault="00512050" w:rsidP="00512050">
      <w:pPr>
        <w:pStyle w:val="WMOBodyText"/>
        <w:numPr>
          <w:ilvl w:val="0"/>
          <w:numId w:val="5"/>
        </w:numPr>
        <w:rPr>
          <w:rFonts w:ascii="Verdana" w:hAnsi="Verdana"/>
          <w:sz w:val="20"/>
          <w:szCs w:val="20"/>
          <w:lang w:val="en-US" w:eastAsia="en-US"/>
        </w:rPr>
      </w:pPr>
      <w:r w:rsidRPr="00E71F09">
        <w:rPr>
          <w:rFonts w:ascii="Verdana" w:hAnsi="Verdana"/>
          <w:sz w:val="20"/>
          <w:szCs w:val="20"/>
          <w:lang w:val="en-US" w:eastAsia="en-US"/>
        </w:rPr>
        <w:t xml:space="preserve">The overall accuracy of state of the art global prediction models have improved enough to add1.5 days of overall predictability, if the historical rate of progress of one day per decade is sustained: The goal set by Julius </w:t>
      </w:r>
      <w:proofErr w:type="spellStart"/>
      <w:r w:rsidRPr="00E71F09">
        <w:rPr>
          <w:rFonts w:ascii="Verdana" w:hAnsi="Verdana"/>
          <w:sz w:val="20"/>
          <w:szCs w:val="20"/>
          <w:lang w:val="en-US" w:eastAsia="en-US"/>
        </w:rPr>
        <w:t>Charney</w:t>
      </w:r>
      <w:proofErr w:type="spellEnd"/>
      <w:r w:rsidRPr="00E71F09">
        <w:rPr>
          <w:rFonts w:ascii="Verdana" w:hAnsi="Verdana"/>
          <w:sz w:val="20"/>
          <w:szCs w:val="20"/>
          <w:lang w:val="en-US" w:eastAsia="en-US"/>
        </w:rPr>
        <w:t xml:space="preserve"> and others when they launched GARP in the 1970's was achieved. Global models have resolutions below 5km, and mesoscale models significantly below 1km, down to a few tens of meters in urban areas for example. </w:t>
      </w:r>
    </w:p>
    <w:p w:rsidR="00512050" w:rsidRPr="00E71F09" w:rsidRDefault="00512050" w:rsidP="00512050">
      <w:pPr>
        <w:pStyle w:val="WMOBodyText"/>
        <w:numPr>
          <w:ilvl w:val="0"/>
          <w:numId w:val="5"/>
        </w:numPr>
        <w:rPr>
          <w:rFonts w:ascii="Verdana" w:hAnsi="Verdana"/>
          <w:sz w:val="20"/>
          <w:szCs w:val="20"/>
          <w:lang w:val="en-US" w:eastAsia="en-US"/>
        </w:rPr>
      </w:pPr>
      <w:r w:rsidRPr="00E71F09">
        <w:rPr>
          <w:rFonts w:ascii="Verdana" w:hAnsi="Verdana"/>
          <w:sz w:val="20"/>
          <w:szCs w:val="20"/>
          <w:lang w:val="en-US" w:eastAsia="en-US"/>
        </w:rPr>
        <w:t xml:space="preserve">The sub seasonal time scales are achieved, ensembles have routinely hundreds of members, shared between many global centers, and forecast products provide accurate and detailed information on such things as closed water budgets over most watersheds, wind, temperature and air quality information in urban street canyons and outwards to the surrounding country side, finely detailed </w:t>
      </w:r>
      <w:proofErr w:type="spellStart"/>
      <w:r w:rsidRPr="00E71F09">
        <w:rPr>
          <w:rFonts w:ascii="Verdana" w:hAnsi="Verdana"/>
          <w:sz w:val="20"/>
          <w:szCs w:val="20"/>
          <w:lang w:val="en-US" w:eastAsia="en-US"/>
        </w:rPr>
        <w:t>agromet</w:t>
      </w:r>
      <w:proofErr w:type="spellEnd"/>
      <w:r w:rsidRPr="00E71F09">
        <w:rPr>
          <w:rFonts w:ascii="Verdana" w:hAnsi="Verdana"/>
          <w:sz w:val="20"/>
          <w:szCs w:val="20"/>
          <w:lang w:val="en-US" w:eastAsia="en-US"/>
        </w:rPr>
        <w:t xml:space="preserve"> information from hourly cycles to seasonal, precise storm surges and wind damage estimates for cyclone landfall, sea state, including rogue waves, and dangerous shore currents, telecommunications and electricity blackouts from solar eruptions form the surface to satellites orbital heights, toxic algae blooms , pest migrations, etc.</w:t>
      </w:r>
    </w:p>
    <w:p w:rsidR="00512050" w:rsidRPr="00E71F09" w:rsidRDefault="00512050" w:rsidP="00512050">
      <w:pPr>
        <w:pStyle w:val="WMOBodyText"/>
        <w:numPr>
          <w:ilvl w:val="0"/>
          <w:numId w:val="5"/>
        </w:numPr>
        <w:rPr>
          <w:rFonts w:ascii="Verdana" w:hAnsi="Verdana"/>
          <w:sz w:val="20"/>
          <w:szCs w:val="20"/>
          <w:lang w:val="en-US" w:eastAsia="en-US"/>
        </w:rPr>
      </w:pPr>
      <w:r w:rsidRPr="00E71F09">
        <w:rPr>
          <w:rFonts w:ascii="Verdana" w:hAnsi="Verdana"/>
          <w:sz w:val="20"/>
          <w:szCs w:val="20"/>
          <w:lang w:val="en-US" w:eastAsia="en-US"/>
        </w:rPr>
        <w:t>Most or even all this information are accessible as a public good product to all WMO members, and their partners, and most of this information is available either in raw format, or directly as impact information. It is disseminated and presented in accordance with users formats, and using point to point or, increasingly, cloud to point communication broadband technologies. It is quality controlled, validated and  have metadata information associated, and in the case of forecast information, it is verified. Imbedded in the design of the system is a two-way feedback real time communication capacity between the provider and the receiver of the data.</w:t>
      </w:r>
    </w:p>
    <w:p w:rsidR="00512050" w:rsidRPr="00E71F09" w:rsidRDefault="00512050" w:rsidP="00512050">
      <w:pPr>
        <w:pStyle w:val="WMOBodyText"/>
        <w:numPr>
          <w:ilvl w:val="0"/>
          <w:numId w:val="5"/>
        </w:numPr>
        <w:rPr>
          <w:rFonts w:ascii="Verdana" w:hAnsi="Verdana"/>
          <w:sz w:val="20"/>
          <w:szCs w:val="20"/>
          <w:lang w:val="en-US" w:eastAsia="en-US"/>
        </w:rPr>
      </w:pPr>
      <w:r w:rsidRPr="00E71F09">
        <w:rPr>
          <w:rFonts w:ascii="Verdana" w:hAnsi="Verdana"/>
          <w:sz w:val="20"/>
          <w:szCs w:val="20"/>
          <w:lang w:val="en-US" w:eastAsia="en-US"/>
        </w:rPr>
        <w:lastRenderedPageBreak/>
        <w:t xml:space="preserve">The system has evolved through partnership agreements that allow it to absorb or carry information produced either by the private sector, or by other closely related organizations to the traditional NMHS's. </w:t>
      </w:r>
    </w:p>
    <w:p w:rsidR="00512050" w:rsidRPr="00E71F09" w:rsidRDefault="00512050" w:rsidP="00512050">
      <w:pPr>
        <w:pStyle w:val="WMOBodyText"/>
        <w:rPr>
          <w:rFonts w:ascii="Verdana" w:hAnsi="Verdana"/>
          <w:b/>
          <w:sz w:val="20"/>
          <w:szCs w:val="20"/>
          <w:lang w:val="en-US" w:eastAsia="en-US"/>
        </w:rPr>
      </w:pPr>
      <w:r w:rsidRPr="00E71F09">
        <w:rPr>
          <w:rFonts w:ascii="Verdana" w:hAnsi="Verdana"/>
          <w:b/>
          <w:sz w:val="20"/>
          <w:szCs w:val="20"/>
          <w:lang w:val="en-US" w:eastAsia="en-US"/>
        </w:rPr>
        <w:t>3. Scope</w:t>
      </w:r>
    </w:p>
    <w:p w:rsidR="00512050" w:rsidRPr="00E71F09" w:rsidRDefault="00512050" w:rsidP="00512050">
      <w:pPr>
        <w:pStyle w:val="WMOBodyText"/>
        <w:rPr>
          <w:rFonts w:ascii="Verdana" w:hAnsi="Verdana"/>
          <w:sz w:val="20"/>
          <w:szCs w:val="20"/>
          <w:lang w:val="en-US" w:eastAsia="en-US"/>
        </w:rPr>
      </w:pPr>
      <w:r w:rsidRPr="00E71F09">
        <w:rPr>
          <w:rFonts w:ascii="Verdana" w:hAnsi="Verdana"/>
          <w:sz w:val="20"/>
          <w:szCs w:val="20"/>
          <w:lang w:val="en-US" w:eastAsia="en-US"/>
        </w:rPr>
        <w:t xml:space="preserve">The WMO Strategic Plan 2016-2019 will largely determine the scope of the evolution of the GDPFS.  It will be driven by the need to support the role of NMHSs in their response to global societal needs facing the world population at large. It will not only focus  those sectors for which they traditionally have had a leading role to play, mainly in reducing the socio-economic impacts of weather and climate related disasters in their respective countries, but more broadly on contributing to an expanding number of sustainable development issues related to weather, climate, water and related environmental factors. This expansion or broadening of the role of the GDPFS will be made possible by a number of factors, a key one being the seamless and integrated modeling approach, which allows the delivery of new environmental services in support of sustainable development across all timescales.  </w:t>
      </w:r>
    </w:p>
    <w:p w:rsidR="00512050" w:rsidRPr="00E71F09" w:rsidRDefault="00512050" w:rsidP="00512050">
      <w:pPr>
        <w:tabs>
          <w:tab w:val="clear" w:pos="1134"/>
        </w:tabs>
        <w:spacing w:after="200" w:line="276" w:lineRule="auto"/>
        <w:ind w:left="360"/>
        <w:contextualSpacing/>
        <w:jc w:val="left"/>
        <w:rPr>
          <w:rFonts w:ascii="Verdana" w:eastAsia="Calibri" w:hAnsi="Verdana"/>
          <w:b/>
          <w:sz w:val="20"/>
          <w:lang w:val="en-US"/>
        </w:rPr>
      </w:pPr>
    </w:p>
    <w:p w:rsidR="00512050" w:rsidRPr="00E71F09" w:rsidRDefault="00512050" w:rsidP="00512050">
      <w:pPr>
        <w:tabs>
          <w:tab w:val="clear" w:pos="1134"/>
        </w:tabs>
        <w:spacing w:after="200" w:line="276" w:lineRule="auto"/>
        <w:contextualSpacing/>
        <w:jc w:val="left"/>
        <w:rPr>
          <w:rFonts w:ascii="Verdana" w:eastAsia="Calibri" w:hAnsi="Verdana"/>
          <w:b/>
          <w:sz w:val="20"/>
          <w:lang w:val="en-US"/>
        </w:rPr>
      </w:pPr>
      <w:r w:rsidRPr="00E71F09">
        <w:rPr>
          <w:rFonts w:ascii="Verdana" w:eastAsia="Calibri" w:hAnsi="Verdana"/>
          <w:b/>
          <w:sz w:val="20"/>
          <w:lang w:val="en-US"/>
        </w:rPr>
        <w:t>4. Current state of the GDPFS, what is it, what works, success stories</w:t>
      </w:r>
    </w:p>
    <w:p w:rsidR="00512050" w:rsidRPr="00E71F09" w:rsidRDefault="00512050" w:rsidP="00512050">
      <w:pPr>
        <w:tabs>
          <w:tab w:val="clear" w:pos="1134"/>
        </w:tabs>
        <w:spacing w:after="200" w:line="276" w:lineRule="auto"/>
        <w:ind w:left="360"/>
        <w:contextualSpacing/>
        <w:jc w:val="left"/>
        <w:rPr>
          <w:rFonts w:ascii="Verdana" w:eastAsia="Calibri" w:hAnsi="Verdana"/>
          <w:sz w:val="20"/>
          <w:lang w:val="en-US"/>
        </w:rPr>
      </w:pP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Success Stories:</w:t>
      </w:r>
    </w:p>
    <w:p w:rsidR="00512050" w:rsidRPr="00E71F09" w:rsidRDefault="00512050" w:rsidP="00512050">
      <w:pPr>
        <w:numPr>
          <w:ilvl w:val="2"/>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SWFDP and cascading forecasting  process</w:t>
      </w:r>
    </w:p>
    <w:p w:rsidR="00512050" w:rsidRPr="00E71F09" w:rsidRDefault="00512050" w:rsidP="00512050">
      <w:pPr>
        <w:numPr>
          <w:ilvl w:val="2"/>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Manual on GDPFS </w:t>
      </w:r>
    </w:p>
    <w:p w:rsidR="00512050" w:rsidRPr="00E71F09" w:rsidRDefault="00512050" w:rsidP="00512050">
      <w:pPr>
        <w:numPr>
          <w:ilvl w:val="2"/>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ERA </w:t>
      </w:r>
      <w:proofErr w:type="spellStart"/>
      <w:r w:rsidRPr="00E71F09">
        <w:rPr>
          <w:rFonts w:ascii="Verdana" w:eastAsia="Calibri" w:hAnsi="Verdana"/>
          <w:sz w:val="20"/>
          <w:lang w:val="en-US"/>
        </w:rPr>
        <w:t>Centres</w:t>
      </w:r>
      <w:proofErr w:type="spellEnd"/>
    </w:p>
    <w:p w:rsidR="00512050" w:rsidRPr="00E71F09" w:rsidRDefault="00512050" w:rsidP="00512050">
      <w:pPr>
        <w:numPr>
          <w:ilvl w:val="2"/>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Designation of GDPFS </w:t>
      </w:r>
      <w:proofErr w:type="spellStart"/>
      <w:r w:rsidRPr="00E71F09">
        <w:rPr>
          <w:rFonts w:ascii="Verdana" w:eastAsia="Calibri" w:hAnsi="Verdana"/>
          <w:sz w:val="20"/>
          <w:lang w:val="en-US"/>
        </w:rPr>
        <w:t>Centres</w:t>
      </w:r>
      <w:proofErr w:type="spellEnd"/>
    </w:p>
    <w:p w:rsidR="00512050" w:rsidRPr="00E71F09" w:rsidRDefault="00512050" w:rsidP="00512050">
      <w:pPr>
        <w:numPr>
          <w:ilvl w:val="2"/>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LCs for verification</w:t>
      </w:r>
    </w:p>
    <w:p w:rsidR="00512050" w:rsidRPr="00E71F09" w:rsidRDefault="00512050" w:rsidP="00512050">
      <w:pPr>
        <w:numPr>
          <w:ilvl w:val="2"/>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LRFMME (link with CCL)</w:t>
      </w:r>
    </w:p>
    <w:p w:rsidR="00512050" w:rsidRPr="00E71F09" w:rsidRDefault="00512050" w:rsidP="00512050">
      <w:pPr>
        <w:numPr>
          <w:ilvl w:val="2"/>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w:t>
      </w:r>
    </w:p>
    <w:p w:rsidR="00512050" w:rsidRPr="00E71F09" w:rsidRDefault="00512050" w:rsidP="00512050">
      <w:pPr>
        <w:tabs>
          <w:tab w:val="clear" w:pos="1134"/>
        </w:tabs>
        <w:spacing w:after="200" w:line="276" w:lineRule="auto"/>
        <w:ind w:left="1800"/>
        <w:contextualSpacing/>
        <w:jc w:val="left"/>
        <w:rPr>
          <w:rFonts w:ascii="Verdana" w:eastAsia="Calibri" w:hAnsi="Verdana"/>
          <w:sz w:val="20"/>
          <w:lang w:val="en-US"/>
        </w:rPr>
      </w:pPr>
    </w:p>
    <w:p w:rsidR="00512050" w:rsidRPr="00E71F09" w:rsidRDefault="00512050" w:rsidP="00512050">
      <w:pPr>
        <w:tabs>
          <w:tab w:val="clear" w:pos="1134"/>
        </w:tabs>
        <w:spacing w:after="200" w:line="276" w:lineRule="auto"/>
        <w:ind w:left="180"/>
        <w:contextualSpacing/>
        <w:jc w:val="left"/>
        <w:rPr>
          <w:rFonts w:ascii="Verdana" w:eastAsia="Calibri" w:hAnsi="Verdana"/>
          <w:b/>
          <w:sz w:val="20"/>
          <w:lang w:val="en-US"/>
        </w:rPr>
      </w:pPr>
      <w:r w:rsidRPr="00E71F09">
        <w:rPr>
          <w:rFonts w:ascii="Verdana" w:eastAsia="Calibri" w:hAnsi="Verdana"/>
          <w:b/>
          <w:sz w:val="20"/>
          <w:lang w:val="en-US"/>
        </w:rPr>
        <w:t>5.  Role of Members</w:t>
      </w:r>
    </w:p>
    <w:p w:rsidR="00512050" w:rsidRPr="00E71F09" w:rsidRDefault="00512050" w:rsidP="00512050">
      <w:pPr>
        <w:tabs>
          <w:tab w:val="clear" w:pos="1134"/>
        </w:tabs>
        <w:spacing w:after="200" w:line="276" w:lineRule="auto"/>
        <w:ind w:left="360"/>
        <w:contextualSpacing/>
        <w:jc w:val="left"/>
        <w:rPr>
          <w:rFonts w:ascii="Verdana" w:eastAsia="Calibri" w:hAnsi="Verdana"/>
          <w:b/>
          <w:sz w:val="20"/>
          <w:lang w:val="en-US"/>
        </w:rPr>
      </w:pPr>
    </w:p>
    <w:p w:rsidR="00512050" w:rsidRPr="00E71F09" w:rsidRDefault="00512050" w:rsidP="00512050">
      <w:pPr>
        <w:tabs>
          <w:tab w:val="clear" w:pos="1134"/>
        </w:tabs>
        <w:spacing w:after="200" w:line="276" w:lineRule="auto"/>
        <w:ind w:left="180"/>
        <w:contextualSpacing/>
        <w:jc w:val="left"/>
        <w:rPr>
          <w:rFonts w:ascii="Verdana" w:eastAsia="Calibri" w:hAnsi="Verdana"/>
          <w:b/>
          <w:sz w:val="20"/>
          <w:lang w:val="en-US"/>
        </w:rPr>
      </w:pPr>
      <w:r w:rsidRPr="00E71F09">
        <w:rPr>
          <w:rFonts w:ascii="Verdana" w:eastAsia="Calibri" w:hAnsi="Verdana"/>
          <w:b/>
          <w:sz w:val="20"/>
          <w:lang w:val="en-US"/>
        </w:rPr>
        <w:t xml:space="preserve">6.  Role of stakeholders and partners (existing and potential) </w:t>
      </w:r>
    </w:p>
    <w:p w:rsidR="00512050" w:rsidRPr="00E71F09" w:rsidRDefault="00512050" w:rsidP="00512050">
      <w:pPr>
        <w:tabs>
          <w:tab w:val="clear" w:pos="1134"/>
        </w:tabs>
        <w:spacing w:after="200" w:line="276" w:lineRule="auto"/>
        <w:ind w:left="360"/>
        <w:contextualSpacing/>
        <w:jc w:val="left"/>
        <w:rPr>
          <w:rFonts w:ascii="Verdana" w:eastAsia="Calibri" w:hAnsi="Verdana"/>
          <w:sz w:val="20"/>
          <w:lang w:val="en-US"/>
        </w:rPr>
      </w:pPr>
    </w:p>
    <w:p w:rsidR="00512050" w:rsidRPr="0065680B" w:rsidRDefault="00512050" w:rsidP="00512050">
      <w:pPr>
        <w:numPr>
          <w:ilvl w:val="1"/>
          <w:numId w:val="1"/>
        </w:numPr>
        <w:tabs>
          <w:tab w:val="clear" w:pos="1134"/>
        </w:tabs>
        <w:spacing w:after="200" w:line="276" w:lineRule="auto"/>
        <w:contextualSpacing/>
        <w:jc w:val="left"/>
        <w:rPr>
          <w:rFonts w:ascii="Verdana" w:eastAsia="Calibri" w:hAnsi="Verdana"/>
          <w:sz w:val="20"/>
          <w:lang w:val="fr-CH"/>
        </w:rPr>
      </w:pPr>
      <w:r w:rsidRPr="0065680B">
        <w:rPr>
          <w:rFonts w:ascii="Verdana" w:eastAsia="Calibri" w:hAnsi="Verdana"/>
          <w:sz w:val="20"/>
          <w:lang w:val="fr-CH"/>
        </w:rPr>
        <w:t>Constituent bodies (</w:t>
      </w:r>
      <w:proofErr w:type="spellStart"/>
      <w:r w:rsidRPr="0065680B">
        <w:rPr>
          <w:rFonts w:ascii="Verdana" w:eastAsia="Calibri" w:hAnsi="Verdana"/>
          <w:sz w:val="20"/>
          <w:lang w:val="fr-CH"/>
        </w:rPr>
        <w:t>TCs</w:t>
      </w:r>
      <w:proofErr w:type="spellEnd"/>
      <w:r w:rsidRPr="0065680B">
        <w:rPr>
          <w:rFonts w:ascii="Verdana" w:eastAsia="Calibri" w:hAnsi="Verdana"/>
          <w:sz w:val="20"/>
          <w:lang w:val="fr-CH"/>
        </w:rPr>
        <w:t xml:space="preserve">, </w:t>
      </w:r>
      <w:proofErr w:type="spellStart"/>
      <w:r w:rsidRPr="0065680B">
        <w:rPr>
          <w:rFonts w:ascii="Verdana" w:eastAsia="Calibri" w:hAnsi="Verdana"/>
          <w:sz w:val="20"/>
          <w:lang w:val="fr-CH"/>
        </w:rPr>
        <w:t>RAs</w:t>
      </w:r>
      <w:proofErr w:type="spellEnd"/>
      <w:r w:rsidRPr="0065680B">
        <w:rPr>
          <w:rFonts w:ascii="Verdana" w:eastAsia="Calibri" w:hAnsi="Verdana"/>
          <w:sz w:val="20"/>
          <w:lang w:val="fr-CH"/>
        </w:rPr>
        <w:t>, EC )</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GFCS/CSIS</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Humanitarian Agencies</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IAEA/CTBTO</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ICAO</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GEO</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European Commission  </w:t>
      </w:r>
    </w:p>
    <w:p w:rsidR="00512050" w:rsidRPr="00E71F09" w:rsidRDefault="00512050" w:rsidP="00512050">
      <w:pPr>
        <w:tabs>
          <w:tab w:val="clear" w:pos="1134"/>
        </w:tabs>
        <w:spacing w:after="200" w:line="276" w:lineRule="auto"/>
        <w:ind w:left="1080"/>
        <w:contextualSpacing/>
        <w:jc w:val="left"/>
        <w:rPr>
          <w:rFonts w:ascii="Verdana" w:eastAsia="Calibri" w:hAnsi="Verdana"/>
          <w:sz w:val="20"/>
          <w:lang w:val="en-US"/>
        </w:rPr>
      </w:pPr>
    </w:p>
    <w:p w:rsidR="00512050" w:rsidRPr="00E71F09" w:rsidRDefault="00512050" w:rsidP="00512050">
      <w:pPr>
        <w:tabs>
          <w:tab w:val="clear" w:pos="1134"/>
        </w:tabs>
        <w:spacing w:after="200" w:line="276" w:lineRule="auto"/>
        <w:ind w:left="180"/>
        <w:contextualSpacing/>
        <w:jc w:val="left"/>
        <w:rPr>
          <w:rFonts w:ascii="Verdana" w:eastAsia="Calibri" w:hAnsi="Verdana"/>
          <w:b/>
          <w:sz w:val="20"/>
          <w:lang w:val="en-US"/>
        </w:rPr>
      </w:pPr>
      <w:r w:rsidRPr="00E71F09">
        <w:rPr>
          <w:rFonts w:ascii="Verdana" w:eastAsia="Calibri" w:hAnsi="Verdana"/>
          <w:b/>
          <w:sz w:val="20"/>
          <w:lang w:val="en-US"/>
        </w:rPr>
        <w:t xml:space="preserve">7.  Areas for improvements </w:t>
      </w:r>
    </w:p>
    <w:p w:rsidR="00512050" w:rsidRPr="00E71F09" w:rsidRDefault="00512050" w:rsidP="00512050">
      <w:pPr>
        <w:tabs>
          <w:tab w:val="clear" w:pos="1134"/>
        </w:tabs>
        <w:spacing w:after="200" w:line="276" w:lineRule="auto"/>
        <w:ind w:left="360"/>
        <w:contextualSpacing/>
        <w:jc w:val="left"/>
        <w:rPr>
          <w:rFonts w:ascii="Verdana" w:eastAsia="Calibri" w:hAnsi="Verdana"/>
          <w:sz w:val="20"/>
          <w:lang w:val="en-US"/>
        </w:rPr>
      </w:pP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Interoperability between legacy GDPFS and users/partners</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Services to Humanitarian Agencies </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Limited recognition of capability of GDPFS among some users (</w:t>
      </w:r>
      <w:proofErr w:type="spellStart"/>
      <w:r w:rsidRPr="00E71F09">
        <w:rPr>
          <w:rFonts w:ascii="Verdana" w:eastAsia="Calibri" w:hAnsi="Verdana"/>
          <w:sz w:val="20"/>
          <w:lang w:val="en-US"/>
        </w:rPr>
        <w:t>eg</w:t>
      </w:r>
      <w:proofErr w:type="spellEnd"/>
      <w:r w:rsidRPr="00E71F09">
        <w:rPr>
          <w:rFonts w:ascii="Verdana" w:eastAsia="Calibri" w:hAnsi="Verdana"/>
          <w:sz w:val="20"/>
          <w:lang w:val="en-US"/>
        </w:rPr>
        <w:t xml:space="preserve">. Hydrology) </w:t>
      </w:r>
    </w:p>
    <w:p w:rsidR="00512050" w:rsidRPr="00E71F09" w:rsidRDefault="00512050" w:rsidP="00512050">
      <w:pPr>
        <w:numPr>
          <w:ilvl w:val="2"/>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 Hydrology cascade</w:t>
      </w:r>
    </w:p>
    <w:p w:rsidR="00512050" w:rsidRPr="00E71F09" w:rsidRDefault="00512050" w:rsidP="00512050">
      <w:pPr>
        <w:numPr>
          <w:ilvl w:val="2"/>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EFAS/GLOFAS (internal WMO structure)</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Medium and long range (Sub-seasonal gap in the Manual)</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Global </w:t>
      </w:r>
      <w:proofErr w:type="spellStart"/>
      <w:r w:rsidRPr="00E71F09">
        <w:rPr>
          <w:rFonts w:ascii="Verdana" w:eastAsia="Calibri" w:hAnsi="Verdana"/>
          <w:sz w:val="20"/>
          <w:lang w:val="en-US"/>
        </w:rPr>
        <w:t>centre</w:t>
      </w:r>
      <w:proofErr w:type="spellEnd"/>
      <w:r w:rsidRPr="00E71F09">
        <w:rPr>
          <w:rFonts w:ascii="Verdana" w:eastAsia="Calibri" w:hAnsi="Verdana"/>
          <w:sz w:val="20"/>
          <w:lang w:val="en-US"/>
        </w:rPr>
        <w:t xml:space="preserve"> for climate monitoring (ocean &amp; atmosphere)</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Lack of global coverage from the cascading process (cascading applied to limited areas)</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Lack of designation criteria for some specialized </w:t>
      </w:r>
      <w:proofErr w:type="spellStart"/>
      <w:r w:rsidRPr="00E71F09">
        <w:rPr>
          <w:rFonts w:ascii="Verdana" w:eastAsia="Calibri" w:hAnsi="Verdana"/>
          <w:sz w:val="20"/>
          <w:lang w:val="en-US"/>
        </w:rPr>
        <w:t>centres</w:t>
      </w:r>
      <w:proofErr w:type="spellEnd"/>
      <w:r w:rsidRPr="00E71F09">
        <w:rPr>
          <w:rFonts w:ascii="Verdana" w:eastAsia="Calibri" w:hAnsi="Verdana"/>
          <w:sz w:val="20"/>
          <w:lang w:val="en-US"/>
        </w:rPr>
        <w:t xml:space="preserve"> (e.g. Agriculture, Hydrology)</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Sustaining linkage of GDPFS goals to other relevant research bodies like WWRP TIGGE (including TIGGE-LAM) and international HEPEX, and other water and environmental research groups (e.g. European JRC).</w:t>
      </w:r>
    </w:p>
    <w:p w:rsidR="00512050" w:rsidRPr="00E71F09" w:rsidRDefault="00512050" w:rsidP="00512050">
      <w:pPr>
        <w:tabs>
          <w:tab w:val="clear" w:pos="1134"/>
        </w:tabs>
        <w:spacing w:after="200" w:line="276" w:lineRule="auto"/>
        <w:ind w:left="1080" w:right="-54"/>
        <w:contextualSpacing/>
        <w:jc w:val="left"/>
        <w:rPr>
          <w:rFonts w:ascii="Verdana" w:eastAsia="Calibri" w:hAnsi="Verdana"/>
          <w:sz w:val="20"/>
          <w:lang w:val="en-US"/>
        </w:rPr>
      </w:pPr>
    </w:p>
    <w:p w:rsidR="00512050" w:rsidRPr="00E71F09" w:rsidRDefault="00512050" w:rsidP="00512050">
      <w:pPr>
        <w:tabs>
          <w:tab w:val="clear" w:pos="1134"/>
        </w:tabs>
        <w:spacing w:after="200" w:line="276" w:lineRule="auto"/>
        <w:ind w:left="180"/>
        <w:contextualSpacing/>
        <w:jc w:val="left"/>
        <w:rPr>
          <w:rFonts w:ascii="Verdana" w:eastAsia="Calibri" w:hAnsi="Verdana"/>
          <w:b/>
          <w:sz w:val="20"/>
          <w:lang w:val="en-US"/>
        </w:rPr>
      </w:pPr>
      <w:r w:rsidRPr="00E71F09">
        <w:rPr>
          <w:rFonts w:ascii="Verdana" w:eastAsia="Calibri" w:hAnsi="Verdana"/>
          <w:b/>
          <w:sz w:val="20"/>
          <w:lang w:val="en-US"/>
        </w:rPr>
        <w:t>8.   Communication &amp; outreach strategy</w:t>
      </w:r>
    </w:p>
    <w:p w:rsidR="00512050" w:rsidRPr="00E71F09" w:rsidRDefault="00512050" w:rsidP="00512050">
      <w:pPr>
        <w:numPr>
          <w:ilvl w:val="0"/>
          <w:numId w:val="4"/>
        </w:numPr>
        <w:tabs>
          <w:tab w:val="clear" w:pos="1134"/>
        </w:tabs>
        <w:spacing w:after="200" w:line="276" w:lineRule="auto"/>
        <w:contextualSpacing/>
        <w:jc w:val="left"/>
        <w:rPr>
          <w:rFonts w:ascii="Verdana" w:eastAsia="Calibri" w:hAnsi="Verdana"/>
          <w:bCs/>
          <w:sz w:val="20"/>
          <w:lang w:val="en-US"/>
        </w:rPr>
      </w:pPr>
      <w:r w:rsidRPr="00E71F09">
        <w:rPr>
          <w:rFonts w:ascii="Verdana" w:eastAsia="Calibri" w:hAnsi="Verdana"/>
          <w:bCs/>
          <w:sz w:val="20"/>
          <w:lang w:val="en-US"/>
        </w:rPr>
        <w:t>Aligned with i.e. WIS, WIGOS GFCS, etc.</w:t>
      </w:r>
    </w:p>
    <w:p w:rsidR="00512050" w:rsidRPr="00E71F09" w:rsidRDefault="00512050" w:rsidP="00512050">
      <w:pPr>
        <w:tabs>
          <w:tab w:val="clear" w:pos="1134"/>
        </w:tabs>
        <w:spacing w:after="200" w:line="276" w:lineRule="auto"/>
        <w:ind w:left="360"/>
        <w:contextualSpacing/>
        <w:jc w:val="left"/>
        <w:rPr>
          <w:rFonts w:ascii="Verdana" w:eastAsia="Calibri" w:hAnsi="Verdana"/>
          <w:sz w:val="20"/>
          <w:lang w:val="en-US"/>
        </w:rPr>
      </w:pPr>
    </w:p>
    <w:p w:rsidR="00512050" w:rsidRPr="00E71F09" w:rsidRDefault="00512050" w:rsidP="00512050">
      <w:pPr>
        <w:tabs>
          <w:tab w:val="clear" w:pos="1134"/>
        </w:tabs>
        <w:spacing w:after="200" w:line="276" w:lineRule="auto"/>
        <w:ind w:left="180"/>
        <w:contextualSpacing/>
        <w:jc w:val="left"/>
        <w:rPr>
          <w:rFonts w:ascii="Verdana" w:eastAsia="Calibri" w:hAnsi="Verdana"/>
          <w:b/>
          <w:sz w:val="20"/>
          <w:lang w:val="en-US"/>
        </w:rPr>
      </w:pPr>
      <w:r w:rsidRPr="00E71F09">
        <w:rPr>
          <w:rFonts w:ascii="Verdana" w:eastAsia="Calibri" w:hAnsi="Verdana"/>
          <w:b/>
          <w:sz w:val="20"/>
          <w:lang w:val="en-US"/>
        </w:rPr>
        <w:t xml:space="preserve">9.   Capacity development &amp; Training   </w:t>
      </w:r>
    </w:p>
    <w:p w:rsidR="00512050" w:rsidRPr="00E71F09" w:rsidRDefault="00512050" w:rsidP="00512050">
      <w:pPr>
        <w:pStyle w:val="ListParagraph"/>
        <w:numPr>
          <w:ilvl w:val="0"/>
          <w:numId w:val="4"/>
        </w:numPr>
        <w:tabs>
          <w:tab w:val="clear" w:pos="1134"/>
        </w:tabs>
        <w:spacing w:after="200" w:line="276" w:lineRule="auto"/>
        <w:jc w:val="left"/>
        <w:rPr>
          <w:rFonts w:ascii="Verdana" w:eastAsia="Calibri" w:hAnsi="Verdana"/>
          <w:bCs/>
          <w:sz w:val="20"/>
          <w:lang w:val="en-US"/>
        </w:rPr>
      </w:pPr>
      <w:r w:rsidRPr="00E71F09">
        <w:rPr>
          <w:rFonts w:ascii="Verdana" w:eastAsia="Calibri" w:hAnsi="Verdana"/>
          <w:bCs/>
          <w:sz w:val="20"/>
          <w:lang w:val="en-US"/>
        </w:rPr>
        <w:t>Aligned with i.e. WIS, WIGOS GFCS, and the WMO strategy for Capacity development etc.</w:t>
      </w:r>
    </w:p>
    <w:p w:rsidR="00512050" w:rsidRPr="00E71F09" w:rsidRDefault="00512050" w:rsidP="00512050">
      <w:pPr>
        <w:pStyle w:val="WMOBodyText"/>
        <w:rPr>
          <w:rFonts w:ascii="Verdana" w:hAnsi="Verdana"/>
          <w:sz w:val="20"/>
          <w:szCs w:val="20"/>
          <w:lang w:val="en-US" w:eastAsia="en-US"/>
        </w:rPr>
      </w:pPr>
    </w:p>
    <w:p w:rsidR="00512050" w:rsidRPr="00E71F09" w:rsidRDefault="00512050" w:rsidP="00512050">
      <w:pPr>
        <w:tabs>
          <w:tab w:val="clear" w:pos="1134"/>
        </w:tabs>
        <w:spacing w:after="200" w:line="276" w:lineRule="auto"/>
        <w:ind w:left="180"/>
        <w:contextualSpacing/>
        <w:jc w:val="left"/>
        <w:rPr>
          <w:rFonts w:ascii="Verdana" w:eastAsia="Calibri" w:hAnsi="Verdana"/>
          <w:b/>
          <w:sz w:val="20"/>
          <w:lang w:val="en-US"/>
        </w:rPr>
      </w:pPr>
      <w:r w:rsidRPr="00E71F09">
        <w:rPr>
          <w:rFonts w:ascii="Verdana" w:eastAsia="Calibri" w:hAnsi="Verdana"/>
          <w:b/>
          <w:sz w:val="20"/>
          <w:lang w:val="en-US"/>
        </w:rPr>
        <w:t xml:space="preserve">10.  Current and foreseeable trends (external drivers of change) – </w:t>
      </w:r>
      <w:r w:rsidRPr="00E71F09">
        <w:rPr>
          <w:rFonts w:ascii="Verdana" w:eastAsia="Calibri" w:hAnsi="Verdana"/>
          <w:sz w:val="20"/>
          <w:lang w:val="en-US"/>
        </w:rPr>
        <w:t>(users driven and technology driven)</w:t>
      </w:r>
    </w:p>
    <w:p w:rsidR="00512050" w:rsidRPr="00E71F09" w:rsidRDefault="00512050" w:rsidP="00512050">
      <w:pPr>
        <w:tabs>
          <w:tab w:val="clear" w:pos="1134"/>
        </w:tabs>
        <w:spacing w:after="200" w:line="276" w:lineRule="auto"/>
        <w:ind w:left="360"/>
        <w:contextualSpacing/>
        <w:jc w:val="left"/>
        <w:rPr>
          <w:rFonts w:ascii="Verdana" w:eastAsia="Calibri" w:hAnsi="Verdana"/>
          <w:b/>
          <w:sz w:val="20"/>
          <w:lang w:val="en-US"/>
        </w:rPr>
      </w:pP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Science </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Earth system modeling </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Internet bandwidth in developing countries</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Technologies (big data, cloud storage and data mining tools, cloud computing, next generation satellite systems, crowdsourcing of everything, the Internet of things)</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Emerging service needs – Downscaling </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Socio-economic trends </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Climate change and global security considerations</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Urbanization (Mega cities), transports, energy, etc.</w:t>
      </w:r>
    </w:p>
    <w:p w:rsidR="00512050" w:rsidRPr="00E71F09" w:rsidRDefault="00512050" w:rsidP="00512050">
      <w:pPr>
        <w:tabs>
          <w:tab w:val="clear" w:pos="1134"/>
        </w:tabs>
        <w:spacing w:after="200" w:line="276" w:lineRule="auto"/>
        <w:ind w:left="1080"/>
        <w:contextualSpacing/>
        <w:jc w:val="left"/>
        <w:rPr>
          <w:rFonts w:ascii="Verdana" w:eastAsia="Calibri" w:hAnsi="Verdana"/>
          <w:sz w:val="20"/>
          <w:lang w:val="en-US"/>
        </w:rPr>
      </w:pPr>
    </w:p>
    <w:p w:rsidR="00512050" w:rsidRPr="00E71F09" w:rsidRDefault="00512050" w:rsidP="00512050">
      <w:pPr>
        <w:tabs>
          <w:tab w:val="clear" w:pos="1134"/>
        </w:tabs>
        <w:spacing w:after="200" w:line="276" w:lineRule="auto"/>
        <w:ind w:left="180"/>
        <w:contextualSpacing/>
        <w:jc w:val="left"/>
        <w:rPr>
          <w:rFonts w:ascii="Verdana" w:eastAsia="Calibri" w:hAnsi="Verdana"/>
          <w:b/>
          <w:sz w:val="20"/>
          <w:lang w:val="en-US"/>
        </w:rPr>
      </w:pPr>
      <w:r w:rsidRPr="00E71F09">
        <w:rPr>
          <w:rFonts w:ascii="Verdana" w:eastAsia="Calibri" w:hAnsi="Verdana"/>
          <w:b/>
          <w:sz w:val="20"/>
          <w:lang w:val="en-US"/>
        </w:rPr>
        <w:t>11.  Success indicators</w:t>
      </w:r>
    </w:p>
    <w:p w:rsidR="00512050" w:rsidRPr="00E71F09" w:rsidRDefault="00512050" w:rsidP="00512050">
      <w:pPr>
        <w:tabs>
          <w:tab w:val="clear" w:pos="1134"/>
        </w:tabs>
        <w:spacing w:after="200" w:line="276" w:lineRule="auto"/>
        <w:ind w:left="360"/>
        <w:contextualSpacing/>
        <w:jc w:val="left"/>
        <w:rPr>
          <w:rFonts w:ascii="Verdana" w:eastAsia="Calibri" w:hAnsi="Verdana"/>
          <w:sz w:val="20"/>
          <w:lang w:val="en-US"/>
        </w:rPr>
      </w:pPr>
    </w:p>
    <w:p w:rsidR="00512050" w:rsidRPr="00E71F09" w:rsidRDefault="00512050" w:rsidP="00512050">
      <w:pPr>
        <w:numPr>
          <w:ilvl w:val="0"/>
          <w:numId w:val="2"/>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Harmonization of regulatory materials</w:t>
      </w:r>
    </w:p>
    <w:p w:rsidR="00512050" w:rsidRPr="00E71F09" w:rsidRDefault="00512050" w:rsidP="00512050">
      <w:pPr>
        <w:numPr>
          <w:ilvl w:val="0"/>
          <w:numId w:val="2"/>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Centre designation criteria &amp; responsibilities established</w:t>
      </w:r>
    </w:p>
    <w:p w:rsidR="00512050" w:rsidRPr="00E71F09" w:rsidRDefault="00512050" w:rsidP="00512050">
      <w:pPr>
        <w:numPr>
          <w:ilvl w:val="0"/>
          <w:numId w:val="2"/>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Inclusion of all WMO domains (Ag, Hydrology, marine, etc.)</w:t>
      </w:r>
    </w:p>
    <w:p w:rsidR="00512050" w:rsidRPr="00E71F09" w:rsidRDefault="00512050" w:rsidP="00512050">
      <w:pPr>
        <w:numPr>
          <w:ilvl w:val="0"/>
          <w:numId w:val="2"/>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QMS including recurrent review of requirements in place</w:t>
      </w:r>
    </w:p>
    <w:p w:rsidR="00512050" w:rsidRPr="00E71F09" w:rsidRDefault="00512050" w:rsidP="00512050">
      <w:pPr>
        <w:numPr>
          <w:ilvl w:val="0"/>
          <w:numId w:val="2"/>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procedures for continuing evolution in place</w:t>
      </w:r>
    </w:p>
    <w:p w:rsidR="00512050" w:rsidRPr="00E71F09" w:rsidRDefault="00512050" w:rsidP="00512050">
      <w:pPr>
        <w:numPr>
          <w:ilvl w:val="0"/>
          <w:numId w:val="2"/>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Cascading process implemented across all regions</w:t>
      </w:r>
    </w:p>
    <w:p w:rsidR="00512050" w:rsidRPr="00E71F09" w:rsidRDefault="00512050" w:rsidP="00512050">
      <w:pPr>
        <w:numPr>
          <w:ilvl w:val="0"/>
          <w:numId w:val="2"/>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Key external stakeholders are engaged</w:t>
      </w:r>
    </w:p>
    <w:p w:rsidR="00512050" w:rsidRPr="00E71F09" w:rsidRDefault="00512050" w:rsidP="00512050">
      <w:pPr>
        <w:numPr>
          <w:ilvl w:val="0"/>
          <w:numId w:val="2"/>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Members have access to sufficient information to support the issue of multi-hazards early warnings </w:t>
      </w:r>
    </w:p>
    <w:p w:rsidR="00512050" w:rsidRPr="00E71F09" w:rsidRDefault="00512050" w:rsidP="00512050">
      <w:pPr>
        <w:numPr>
          <w:ilvl w:val="0"/>
          <w:numId w:val="2"/>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Engagement with all TCs and RAs</w:t>
      </w:r>
    </w:p>
    <w:p w:rsidR="00512050" w:rsidRPr="00E71F09" w:rsidRDefault="00512050" w:rsidP="00512050">
      <w:pPr>
        <w:tabs>
          <w:tab w:val="clear" w:pos="1134"/>
        </w:tabs>
        <w:spacing w:after="200" w:line="276" w:lineRule="auto"/>
        <w:ind w:left="720"/>
        <w:contextualSpacing/>
        <w:jc w:val="left"/>
        <w:rPr>
          <w:rFonts w:ascii="Verdana" w:eastAsia="Calibri" w:hAnsi="Verdana"/>
          <w:sz w:val="20"/>
          <w:lang w:val="en-US"/>
        </w:rPr>
      </w:pPr>
    </w:p>
    <w:p w:rsidR="00512050" w:rsidRPr="00E71F09" w:rsidRDefault="00512050" w:rsidP="00512050">
      <w:pPr>
        <w:tabs>
          <w:tab w:val="clear" w:pos="1134"/>
        </w:tabs>
        <w:spacing w:after="200" w:line="276" w:lineRule="auto"/>
        <w:ind w:left="180"/>
        <w:contextualSpacing/>
        <w:jc w:val="left"/>
        <w:rPr>
          <w:rFonts w:ascii="Verdana" w:eastAsia="Calibri" w:hAnsi="Verdana"/>
          <w:b/>
          <w:sz w:val="20"/>
          <w:lang w:val="en-US"/>
        </w:rPr>
      </w:pPr>
      <w:r w:rsidRPr="00E71F09">
        <w:rPr>
          <w:rFonts w:ascii="Verdana" w:eastAsia="Calibri" w:hAnsi="Verdana"/>
          <w:b/>
          <w:sz w:val="20"/>
          <w:lang w:val="en-US"/>
        </w:rPr>
        <w:t>12.   Methodology/Principles</w:t>
      </w:r>
    </w:p>
    <w:p w:rsidR="00512050" w:rsidRPr="00E71F09" w:rsidRDefault="00512050" w:rsidP="00512050">
      <w:pPr>
        <w:tabs>
          <w:tab w:val="clear" w:pos="1134"/>
        </w:tabs>
        <w:spacing w:after="200" w:line="276" w:lineRule="auto"/>
        <w:ind w:left="360"/>
        <w:contextualSpacing/>
        <w:jc w:val="left"/>
        <w:rPr>
          <w:rFonts w:ascii="Verdana" w:eastAsia="Calibri" w:hAnsi="Verdana"/>
          <w:sz w:val="20"/>
          <w:lang w:val="en-US"/>
        </w:rPr>
      </w:pPr>
    </w:p>
    <w:p w:rsidR="00512050" w:rsidRPr="00E71F09" w:rsidRDefault="00512050" w:rsidP="00512050">
      <w:pPr>
        <w:numPr>
          <w:ilvl w:val="0"/>
          <w:numId w:val="3"/>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Engagement of TCs, RAs and </w:t>
      </w:r>
      <w:proofErr w:type="spellStart"/>
      <w:r w:rsidRPr="00E71F09">
        <w:rPr>
          <w:rFonts w:ascii="Verdana" w:eastAsia="Calibri" w:hAnsi="Verdana"/>
          <w:sz w:val="20"/>
          <w:lang w:val="en-US"/>
        </w:rPr>
        <w:t>Programmes</w:t>
      </w:r>
      <w:proofErr w:type="spellEnd"/>
    </w:p>
    <w:p w:rsidR="00512050" w:rsidRPr="00E71F09" w:rsidRDefault="00512050" w:rsidP="00512050">
      <w:pPr>
        <w:numPr>
          <w:ilvl w:val="0"/>
          <w:numId w:val="3"/>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Clarity of responsibility between WIS, WIGOS and GDPFS</w:t>
      </w:r>
    </w:p>
    <w:p w:rsidR="00512050" w:rsidRPr="00E71F09" w:rsidRDefault="00512050" w:rsidP="00512050">
      <w:pPr>
        <w:numPr>
          <w:ilvl w:val="0"/>
          <w:numId w:val="3"/>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Evolution of existing system </w:t>
      </w:r>
    </w:p>
    <w:p w:rsidR="00512050" w:rsidRPr="00E71F09" w:rsidRDefault="00512050" w:rsidP="00512050">
      <w:pPr>
        <w:numPr>
          <w:ilvl w:val="0"/>
          <w:numId w:val="3"/>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Cost neutral</w:t>
      </w:r>
    </w:p>
    <w:p w:rsidR="00512050" w:rsidRPr="00E71F09" w:rsidRDefault="00512050" w:rsidP="00512050">
      <w:pPr>
        <w:numPr>
          <w:ilvl w:val="0"/>
          <w:numId w:val="3"/>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Don’t break anything</w:t>
      </w:r>
    </w:p>
    <w:p w:rsidR="00512050" w:rsidRPr="00E71F09" w:rsidRDefault="00512050" w:rsidP="00512050">
      <w:pPr>
        <w:numPr>
          <w:ilvl w:val="0"/>
          <w:numId w:val="3"/>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Non duplication</w:t>
      </w:r>
    </w:p>
    <w:p w:rsidR="00512050" w:rsidRPr="00E71F09" w:rsidRDefault="00512050" w:rsidP="00512050">
      <w:pPr>
        <w:numPr>
          <w:ilvl w:val="0"/>
          <w:numId w:val="3"/>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Leverage existing system </w:t>
      </w:r>
    </w:p>
    <w:p w:rsidR="00512050" w:rsidRPr="00E71F09" w:rsidRDefault="00512050" w:rsidP="00512050">
      <w:pPr>
        <w:numPr>
          <w:ilvl w:val="0"/>
          <w:numId w:val="3"/>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Synergy between research and operation </w:t>
      </w:r>
    </w:p>
    <w:p w:rsidR="00512050" w:rsidRPr="00E71F09" w:rsidRDefault="00512050" w:rsidP="00512050">
      <w:pPr>
        <w:numPr>
          <w:ilvl w:val="0"/>
          <w:numId w:val="3"/>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Clear linkages to strategic plan</w:t>
      </w:r>
    </w:p>
    <w:p w:rsidR="00512050" w:rsidRPr="00E71F09" w:rsidRDefault="00512050" w:rsidP="00512050">
      <w:pPr>
        <w:numPr>
          <w:ilvl w:val="0"/>
          <w:numId w:val="3"/>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Focus on operational arrangement and coordination </w:t>
      </w:r>
    </w:p>
    <w:p w:rsidR="00512050" w:rsidRPr="00E71F09" w:rsidRDefault="00512050" w:rsidP="00512050">
      <w:pPr>
        <w:numPr>
          <w:ilvl w:val="0"/>
          <w:numId w:val="3"/>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Consolidation where appropriate</w:t>
      </w:r>
    </w:p>
    <w:p w:rsidR="00512050" w:rsidRPr="00E71F09" w:rsidRDefault="00512050" w:rsidP="00512050">
      <w:pPr>
        <w:numPr>
          <w:ilvl w:val="0"/>
          <w:numId w:val="3"/>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Simplification and integration </w:t>
      </w:r>
    </w:p>
    <w:p w:rsidR="00512050" w:rsidRPr="00E71F09" w:rsidRDefault="00512050" w:rsidP="00512050">
      <w:pPr>
        <w:numPr>
          <w:ilvl w:val="0"/>
          <w:numId w:val="3"/>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Regional engagement and empowerment</w:t>
      </w:r>
    </w:p>
    <w:p w:rsidR="00512050" w:rsidRPr="00E71F09" w:rsidRDefault="00512050" w:rsidP="00512050">
      <w:pPr>
        <w:numPr>
          <w:ilvl w:val="0"/>
          <w:numId w:val="3"/>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Strengthening application activities  </w:t>
      </w:r>
    </w:p>
    <w:p w:rsidR="00512050" w:rsidRPr="00E71F09" w:rsidRDefault="00512050" w:rsidP="00512050">
      <w:pPr>
        <w:numPr>
          <w:ilvl w:val="0"/>
          <w:numId w:val="3"/>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 xml:space="preserve">Service oriented </w:t>
      </w:r>
    </w:p>
    <w:p w:rsidR="00512050" w:rsidRPr="00E71F09" w:rsidRDefault="00512050" w:rsidP="00512050">
      <w:pPr>
        <w:numPr>
          <w:ilvl w:val="0"/>
          <w:numId w:val="3"/>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Customers (NMHSs &amp; International Organizations)</w:t>
      </w:r>
    </w:p>
    <w:p w:rsidR="00512050" w:rsidRPr="00E71F09" w:rsidRDefault="00512050" w:rsidP="00512050">
      <w:pPr>
        <w:tabs>
          <w:tab w:val="clear" w:pos="1134"/>
        </w:tabs>
        <w:spacing w:after="200" w:line="276" w:lineRule="auto"/>
        <w:ind w:left="360"/>
        <w:contextualSpacing/>
        <w:jc w:val="left"/>
        <w:rPr>
          <w:rFonts w:ascii="Verdana" w:eastAsia="Calibri" w:hAnsi="Verdana"/>
          <w:sz w:val="20"/>
          <w:lang w:val="en-US"/>
        </w:rPr>
      </w:pPr>
    </w:p>
    <w:p w:rsidR="00512050" w:rsidRPr="00E71F09" w:rsidRDefault="00512050" w:rsidP="00512050">
      <w:pPr>
        <w:tabs>
          <w:tab w:val="clear" w:pos="1134"/>
        </w:tabs>
        <w:spacing w:after="200" w:line="276" w:lineRule="auto"/>
        <w:contextualSpacing/>
        <w:jc w:val="left"/>
        <w:rPr>
          <w:rFonts w:ascii="Verdana" w:eastAsia="Calibri" w:hAnsi="Verdana"/>
          <w:b/>
          <w:sz w:val="20"/>
          <w:lang w:val="en-US"/>
        </w:rPr>
      </w:pPr>
      <w:r w:rsidRPr="00E71F09">
        <w:rPr>
          <w:rFonts w:ascii="Verdana" w:eastAsia="Calibri" w:hAnsi="Verdana"/>
          <w:b/>
          <w:sz w:val="20"/>
          <w:lang w:val="en-US"/>
        </w:rPr>
        <w:t xml:space="preserve">13.  Policy considerations required to facilitate, enable the achievement of the vision </w:t>
      </w:r>
    </w:p>
    <w:p w:rsidR="00512050" w:rsidRPr="00E71F09" w:rsidRDefault="00512050" w:rsidP="00512050">
      <w:pPr>
        <w:tabs>
          <w:tab w:val="clear" w:pos="1134"/>
        </w:tabs>
        <w:spacing w:after="200" w:line="276" w:lineRule="auto"/>
        <w:ind w:left="360"/>
        <w:contextualSpacing/>
        <w:jc w:val="left"/>
        <w:rPr>
          <w:rFonts w:ascii="Verdana" w:eastAsia="Calibri" w:hAnsi="Verdana"/>
          <w:sz w:val="20"/>
          <w:lang w:val="en-US"/>
        </w:rPr>
      </w:pP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Clarity of the role between WIS/WIGOS and GDPFS</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Open data</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Open source</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Cascading processing and predictive strategy</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Evolving WMO governance to enable our vision</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Role of the private sector?</w:t>
      </w:r>
    </w:p>
    <w:p w:rsidR="00512050" w:rsidRPr="00E71F09" w:rsidRDefault="00512050" w:rsidP="00512050">
      <w:pPr>
        <w:tabs>
          <w:tab w:val="clear" w:pos="1134"/>
        </w:tabs>
        <w:spacing w:after="200" w:line="276" w:lineRule="auto"/>
        <w:ind w:left="360"/>
        <w:contextualSpacing/>
        <w:jc w:val="left"/>
        <w:rPr>
          <w:rFonts w:ascii="Verdana" w:eastAsia="Calibri" w:hAnsi="Verdana"/>
          <w:sz w:val="20"/>
          <w:lang w:val="en-US"/>
        </w:rPr>
      </w:pPr>
    </w:p>
    <w:p w:rsidR="00512050" w:rsidRPr="00E71F09" w:rsidRDefault="00512050" w:rsidP="00512050">
      <w:pPr>
        <w:tabs>
          <w:tab w:val="clear" w:pos="1134"/>
        </w:tabs>
        <w:spacing w:after="200" w:line="276" w:lineRule="auto"/>
        <w:ind w:left="180"/>
        <w:contextualSpacing/>
        <w:jc w:val="left"/>
        <w:rPr>
          <w:rFonts w:ascii="Verdana" w:eastAsia="Calibri" w:hAnsi="Verdana"/>
          <w:b/>
          <w:sz w:val="20"/>
          <w:lang w:val="en-US"/>
        </w:rPr>
      </w:pPr>
      <w:r w:rsidRPr="00E71F09">
        <w:rPr>
          <w:rFonts w:ascii="Verdana" w:eastAsia="Calibri" w:hAnsi="Verdana"/>
          <w:b/>
          <w:sz w:val="20"/>
          <w:lang w:val="en-US"/>
        </w:rPr>
        <w:t>14.  How do we get there? Required partnerships, role of the private sector in supporting-enabling the vision</w:t>
      </w:r>
    </w:p>
    <w:p w:rsidR="00512050" w:rsidRPr="00E71F09" w:rsidRDefault="00512050" w:rsidP="00512050">
      <w:pPr>
        <w:tabs>
          <w:tab w:val="clear" w:pos="1134"/>
        </w:tabs>
        <w:spacing w:after="200" w:line="276" w:lineRule="auto"/>
        <w:ind w:left="360"/>
        <w:contextualSpacing/>
        <w:jc w:val="left"/>
        <w:rPr>
          <w:rFonts w:ascii="Verdana" w:eastAsia="Calibri" w:hAnsi="Verdana"/>
          <w:sz w:val="20"/>
          <w:lang w:val="en-US"/>
        </w:rPr>
      </w:pP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Harmonization of regulatory materials</w:t>
      </w:r>
    </w:p>
    <w:p w:rsidR="00512050" w:rsidRPr="00E71F09" w:rsidRDefault="00512050" w:rsidP="00512050">
      <w:pPr>
        <w:tabs>
          <w:tab w:val="clear" w:pos="1134"/>
        </w:tabs>
        <w:spacing w:after="200" w:line="276" w:lineRule="auto"/>
        <w:ind w:left="360"/>
        <w:contextualSpacing/>
        <w:jc w:val="left"/>
        <w:rPr>
          <w:rFonts w:ascii="Verdana" w:eastAsia="Calibri" w:hAnsi="Verdana"/>
          <w:sz w:val="20"/>
          <w:lang w:val="en-US"/>
        </w:rPr>
      </w:pPr>
    </w:p>
    <w:p w:rsidR="00512050" w:rsidRPr="00E71F09" w:rsidRDefault="00512050" w:rsidP="00512050">
      <w:pPr>
        <w:tabs>
          <w:tab w:val="clear" w:pos="1134"/>
        </w:tabs>
        <w:spacing w:after="200" w:line="276" w:lineRule="auto"/>
        <w:ind w:left="180"/>
        <w:contextualSpacing/>
        <w:jc w:val="left"/>
        <w:rPr>
          <w:rFonts w:ascii="Verdana" w:eastAsia="Calibri" w:hAnsi="Verdana"/>
          <w:b/>
          <w:sz w:val="20"/>
          <w:lang w:val="en-US"/>
        </w:rPr>
      </w:pPr>
      <w:r w:rsidRPr="00E71F09">
        <w:rPr>
          <w:rFonts w:ascii="Verdana" w:eastAsia="Calibri" w:hAnsi="Verdana"/>
          <w:b/>
          <w:sz w:val="20"/>
          <w:lang w:val="en-US"/>
        </w:rPr>
        <w:t>15.  Roadmap, timelines, resources (high level implementation plan)</w:t>
      </w:r>
    </w:p>
    <w:p w:rsidR="00512050" w:rsidRPr="00E71F09" w:rsidRDefault="00512050" w:rsidP="00512050">
      <w:pPr>
        <w:tabs>
          <w:tab w:val="clear" w:pos="1134"/>
        </w:tabs>
        <w:spacing w:after="200" w:line="276" w:lineRule="auto"/>
        <w:ind w:left="360"/>
        <w:contextualSpacing/>
        <w:jc w:val="left"/>
        <w:rPr>
          <w:rFonts w:ascii="Verdana" w:eastAsia="Calibri" w:hAnsi="Verdana"/>
          <w:sz w:val="20"/>
          <w:lang w:val="en-US"/>
        </w:rPr>
      </w:pP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EC-68, 69, and 70</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CBS (and other sessions of TCs and RAs)</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Cg-18, in 2019</w:t>
      </w:r>
    </w:p>
    <w:p w:rsidR="00512050" w:rsidRPr="00E71F09" w:rsidRDefault="00512050" w:rsidP="00512050">
      <w:pPr>
        <w:numPr>
          <w:ilvl w:val="1"/>
          <w:numId w:val="1"/>
        </w:numPr>
        <w:tabs>
          <w:tab w:val="clear" w:pos="1134"/>
        </w:tabs>
        <w:spacing w:after="200" w:line="276" w:lineRule="auto"/>
        <w:contextualSpacing/>
        <w:jc w:val="left"/>
        <w:rPr>
          <w:rFonts w:ascii="Verdana" w:eastAsia="Calibri" w:hAnsi="Verdana"/>
          <w:sz w:val="20"/>
          <w:lang w:val="en-US"/>
        </w:rPr>
      </w:pPr>
      <w:r w:rsidRPr="00E71F09">
        <w:rPr>
          <w:rFonts w:ascii="Verdana" w:eastAsia="Calibri" w:hAnsi="Verdana"/>
          <w:sz w:val="20"/>
          <w:lang w:val="en-US"/>
        </w:rPr>
        <w:t>CBS-17, in 2020</w:t>
      </w:r>
    </w:p>
    <w:p w:rsidR="00512050" w:rsidRPr="00E71F09" w:rsidRDefault="00512050" w:rsidP="00512050">
      <w:pPr>
        <w:pStyle w:val="WMOBodyText"/>
        <w:rPr>
          <w:rFonts w:ascii="Verdana" w:hAnsi="Verdana"/>
          <w:sz w:val="20"/>
          <w:szCs w:val="20"/>
        </w:rPr>
      </w:pPr>
      <w:r w:rsidRPr="00E71F09">
        <w:rPr>
          <w:rFonts w:ascii="Verdana" w:hAnsi="Verdana"/>
          <w:sz w:val="20"/>
          <w:szCs w:val="20"/>
        </w:rPr>
        <w:t>__________</w:t>
      </w:r>
    </w:p>
    <w:p w:rsidR="00512050" w:rsidRPr="00E71F09" w:rsidRDefault="00512050" w:rsidP="00512050">
      <w:pPr>
        <w:pStyle w:val="WMOBodyText"/>
        <w:rPr>
          <w:rFonts w:ascii="Verdana" w:hAnsi="Verdana"/>
          <w:sz w:val="20"/>
          <w:szCs w:val="20"/>
        </w:rPr>
      </w:pPr>
    </w:p>
    <w:p w:rsidR="00512050" w:rsidRPr="00E71F09" w:rsidRDefault="00512050" w:rsidP="00512050">
      <w:pPr>
        <w:keepNext/>
        <w:keepLines/>
        <w:spacing w:before="360" w:after="480"/>
        <w:jc w:val="left"/>
        <w:outlineLvl w:val="2"/>
        <w:rPr>
          <w:rFonts w:ascii="Verdana" w:hAnsi="Verdana"/>
          <w:sz w:val="20"/>
        </w:rPr>
      </w:pPr>
      <w:r w:rsidRPr="00E71F09">
        <w:rPr>
          <w:rFonts w:ascii="Verdana" w:hAnsi="Verdana"/>
          <w:sz w:val="20"/>
          <w:lang w:eastAsia="zh-CN"/>
        </w:rPr>
        <w:br w:type="page"/>
      </w:r>
      <w:bookmarkStart w:id="1" w:name="_APPENDIX_A:_"/>
      <w:bookmarkEnd w:id="1"/>
    </w:p>
    <w:p w:rsidR="00757691" w:rsidRDefault="00757691"/>
    <w:sectPr w:rsidR="00757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72A"/>
    <w:multiLevelType w:val="hybridMultilevel"/>
    <w:tmpl w:val="0E58AF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931936"/>
    <w:multiLevelType w:val="hybridMultilevel"/>
    <w:tmpl w:val="0320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F5F08"/>
    <w:multiLevelType w:val="hybridMultilevel"/>
    <w:tmpl w:val="4606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2668D6"/>
    <w:multiLevelType w:val="hybridMultilevel"/>
    <w:tmpl w:val="2CE2577C"/>
    <w:lvl w:ilvl="0" w:tplc="0409000F">
      <w:start w:val="1"/>
      <w:numFmt w:val="decimal"/>
      <w:lvlText w:val="%1."/>
      <w:lvlJc w:val="left"/>
      <w:pPr>
        <w:ind w:left="54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72C6DA0">
      <w:numFmt w:val="bullet"/>
      <w:lvlText w:val="•"/>
      <w:lvlJc w:val="left"/>
      <w:pPr>
        <w:ind w:left="3300" w:hanging="1140"/>
      </w:pPr>
      <w:rPr>
        <w:rFonts w:ascii="Arial" w:eastAsia="Arial"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BB515FE"/>
    <w:multiLevelType w:val="hybridMultilevel"/>
    <w:tmpl w:val="E9A64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E6C1BE9"/>
    <w:multiLevelType w:val="hybridMultilevel"/>
    <w:tmpl w:val="A8CC4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50"/>
    <w:rsid w:val="00214613"/>
    <w:rsid w:val="00512050"/>
    <w:rsid w:val="005B2D82"/>
    <w:rsid w:val="0075769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050"/>
    <w:pPr>
      <w:tabs>
        <w:tab w:val="left" w:pos="1134"/>
      </w:tabs>
      <w:spacing w:after="0" w:line="240" w:lineRule="auto"/>
      <w:jc w:val="both"/>
    </w:pPr>
    <w:rPr>
      <w:rFonts w:ascii="Arial" w:eastAsia="Arial" w:hAnsi="Arial" w:cs="Arial"/>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OBodyText">
    <w:name w:val="WMO_BodyText"/>
    <w:basedOn w:val="Normal"/>
    <w:link w:val="WMOBodyTextCharChar"/>
    <w:rsid w:val="00512050"/>
    <w:pPr>
      <w:spacing w:before="240"/>
      <w:jc w:val="left"/>
    </w:pPr>
    <w:rPr>
      <w:szCs w:val="22"/>
      <w:lang w:eastAsia="zh-TW"/>
    </w:rPr>
  </w:style>
  <w:style w:type="character" w:customStyle="1" w:styleId="WMOBodyTextCharChar">
    <w:name w:val="WMO_BodyText Char Char"/>
    <w:basedOn w:val="DefaultParagraphFont"/>
    <w:link w:val="WMOBodyText"/>
    <w:rsid w:val="00512050"/>
    <w:rPr>
      <w:rFonts w:ascii="Arial" w:eastAsia="Arial" w:hAnsi="Arial" w:cs="Arial"/>
      <w:lang w:val="en-GB"/>
    </w:rPr>
  </w:style>
  <w:style w:type="paragraph" w:styleId="ListParagraph">
    <w:name w:val="List Paragraph"/>
    <w:basedOn w:val="Normal"/>
    <w:link w:val="ListParagraphChar"/>
    <w:uiPriority w:val="34"/>
    <w:qFormat/>
    <w:rsid w:val="00512050"/>
    <w:pPr>
      <w:ind w:left="720"/>
      <w:contextualSpacing/>
    </w:pPr>
  </w:style>
  <w:style w:type="character" w:customStyle="1" w:styleId="ListParagraphChar">
    <w:name w:val="List Paragraph Char"/>
    <w:link w:val="ListParagraph"/>
    <w:uiPriority w:val="34"/>
    <w:locked/>
    <w:rsid w:val="00512050"/>
    <w:rPr>
      <w:rFonts w:ascii="Arial" w:eastAsia="Arial" w:hAnsi="Arial" w:cs="Arial"/>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050"/>
    <w:pPr>
      <w:tabs>
        <w:tab w:val="left" w:pos="1134"/>
      </w:tabs>
      <w:spacing w:after="0" w:line="240" w:lineRule="auto"/>
      <w:jc w:val="both"/>
    </w:pPr>
    <w:rPr>
      <w:rFonts w:ascii="Arial" w:eastAsia="Arial" w:hAnsi="Arial" w:cs="Arial"/>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OBodyText">
    <w:name w:val="WMO_BodyText"/>
    <w:basedOn w:val="Normal"/>
    <w:link w:val="WMOBodyTextCharChar"/>
    <w:rsid w:val="00512050"/>
    <w:pPr>
      <w:spacing w:before="240"/>
      <w:jc w:val="left"/>
    </w:pPr>
    <w:rPr>
      <w:szCs w:val="22"/>
      <w:lang w:eastAsia="zh-TW"/>
    </w:rPr>
  </w:style>
  <w:style w:type="character" w:customStyle="1" w:styleId="WMOBodyTextCharChar">
    <w:name w:val="WMO_BodyText Char Char"/>
    <w:basedOn w:val="DefaultParagraphFont"/>
    <w:link w:val="WMOBodyText"/>
    <w:rsid w:val="00512050"/>
    <w:rPr>
      <w:rFonts w:ascii="Arial" w:eastAsia="Arial" w:hAnsi="Arial" w:cs="Arial"/>
      <w:lang w:val="en-GB"/>
    </w:rPr>
  </w:style>
  <w:style w:type="paragraph" w:styleId="ListParagraph">
    <w:name w:val="List Paragraph"/>
    <w:basedOn w:val="Normal"/>
    <w:link w:val="ListParagraphChar"/>
    <w:uiPriority w:val="34"/>
    <w:qFormat/>
    <w:rsid w:val="00512050"/>
    <w:pPr>
      <w:ind w:left="720"/>
      <w:contextualSpacing/>
    </w:pPr>
  </w:style>
  <w:style w:type="character" w:customStyle="1" w:styleId="ListParagraphChar">
    <w:name w:val="List Paragraph Char"/>
    <w:link w:val="ListParagraph"/>
    <w:uiPriority w:val="34"/>
    <w:locked/>
    <w:rsid w:val="00512050"/>
    <w:rPr>
      <w:rFonts w:ascii="Arial" w:eastAsia="Arial" w:hAnsi="Arial" w:cs="Arial"/>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1094</Words>
  <Characters>6237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WMO</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Harou</dc:creator>
  <cp:lastModifiedBy>Pascale Gomez</cp:lastModifiedBy>
  <cp:revision>2</cp:revision>
  <dcterms:created xsi:type="dcterms:W3CDTF">2016-05-23T09:40:00Z</dcterms:created>
  <dcterms:modified xsi:type="dcterms:W3CDTF">2016-05-23T09:40:00Z</dcterms:modified>
</cp:coreProperties>
</file>