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9F" w:rsidRDefault="00EE54CD" w:rsidP="00CC4A25">
      <w:pPr>
        <w:spacing w:after="0"/>
        <w:rPr>
          <w:rFonts w:ascii="Arial Narrow" w:hAnsi="Arial Narrow" w:cs="Arial"/>
        </w:rPr>
      </w:pPr>
      <w:r w:rsidRPr="00F8494A">
        <w:rPr>
          <w:rFonts w:ascii="Arial Narrow" w:hAnsi="Arial Narrow" w:cs="Arial"/>
        </w:rPr>
        <w:t>WORLD METEOROLOGICAL ORGANISATION</w:t>
      </w:r>
      <w:r w:rsidRPr="00F8494A">
        <w:rPr>
          <w:rFonts w:ascii="Arial Narrow" w:hAnsi="Arial Narrow" w:cs="Arial"/>
        </w:rPr>
        <w:tab/>
      </w:r>
      <w:r w:rsidRPr="00F8494A">
        <w:rPr>
          <w:rFonts w:ascii="Arial Narrow" w:hAnsi="Arial Narrow" w:cs="Arial"/>
        </w:rPr>
        <w:tab/>
      </w:r>
      <w:r w:rsidRPr="00F8494A">
        <w:rPr>
          <w:rFonts w:ascii="Arial Narrow" w:hAnsi="Arial Narrow" w:cs="Arial"/>
        </w:rPr>
        <w:tab/>
      </w:r>
      <w:r w:rsidRPr="00F8494A">
        <w:rPr>
          <w:rFonts w:ascii="Arial Narrow" w:hAnsi="Arial Narrow" w:cs="Arial"/>
        </w:rPr>
        <w:tab/>
      </w:r>
      <w:r w:rsidR="00F8494A" w:rsidRPr="00F8494A">
        <w:rPr>
          <w:rFonts w:ascii="Arial Narrow" w:hAnsi="Arial Narrow" w:cs="Arial"/>
        </w:rPr>
        <w:t xml:space="preserve">           </w:t>
      </w:r>
      <w:r w:rsidRPr="00F8494A">
        <w:rPr>
          <w:rFonts w:ascii="Arial Narrow" w:hAnsi="Arial Narrow" w:cs="Arial"/>
        </w:rPr>
        <w:t>RA VI MG/</w:t>
      </w:r>
      <w:r w:rsidR="00F8494A" w:rsidRPr="00F8494A">
        <w:rPr>
          <w:rFonts w:ascii="Arial Narrow" w:hAnsi="Arial Narrow" w:cs="Arial"/>
        </w:rPr>
        <w:t>3</w:t>
      </w:r>
      <w:r w:rsidRPr="00F8494A">
        <w:rPr>
          <w:rFonts w:ascii="Arial Narrow" w:hAnsi="Arial Narrow" w:cs="Arial"/>
        </w:rPr>
        <w:t>-201</w:t>
      </w:r>
      <w:r w:rsidR="00F8494A" w:rsidRPr="00F8494A">
        <w:rPr>
          <w:rFonts w:ascii="Arial Narrow" w:hAnsi="Arial Narrow" w:cs="Arial"/>
        </w:rPr>
        <w:t>5</w:t>
      </w:r>
      <w:r w:rsidRPr="00F8494A">
        <w:rPr>
          <w:rFonts w:ascii="Arial Narrow" w:hAnsi="Arial Narrow" w:cs="Arial"/>
        </w:rPr>
        <w:t>/</w:t>
      </w:r>
      <w:r w:rsidR="00F8494A" w:rsidRPr="00F8494A">
        <w:rPr>
          <w:rFonts w:ascii="Arial Narrow" w:hAnsi="Arial Narrow" w:cs="Arial"/>
        </w:rPr>
        <w:t xml:space="preserve">Action List </w:t>
      </w:r>
      <w:r w:rsidRPr="00F8494A">
        <w:rPr>
          <w:rFonts w:ascii="Arial Narrow" w:hAnsi="Arial Narrow" w:cs="Arial"/>
        </w:rPr>
        <w:br/>
        <w:t>RA VI Management Group</w:t>
      </w:r>
    </w:p>
    <w:p w:rsidR="00EE54CD" w:rsidRPr="00F8494A" w:rsidRDefault="0093399F" w:rsidP="00CC4A25">
      <w:pPr>
        <w:spacing w:after="0"/>
        <w:rPr>
          <w:rFonts w:ascii="Arial Narrow" w:hAnsi="Arial Narrow" w:cs="Arial"/>
          <w:u w:val="single"/>
        </w:rPr>
      </w:pPr>
      <w:r>
        <w:rPr>
          <w:rFonts w:ascii="Arial Narrow" w:hAnsi="Arial Narrow" w:cs="Arial"/>
        </w:rPr>
        <w:t>Third meeting</w:t>
      </w:r>
      <w:bookmarkStart w:id="0" w:name="_GoBack"/>
      <w:bookmarkEnd w:id="0"/>
      <w:r w:rsidR="00EE54CD" w:rsidRPr="00F8494A">
        <w:rPr>
          <w:rFonts w:ascii="Arial Narrow" w:hAnsi="Arial Narrow" w:cs="Arial"/>
        </w:rPr>
        <w:t xml:space="preserve"> </w:t>
      </w:r>
    </w:p>
    <w:p w:rsidR="00EE54CD" w:rsidRPr="00F8494A" w:rsidRDefault="00EE54CD" w:rsidP="00F56C39">
      <w:pPr>
        <w:spacing w:after="0" w:line="240" w:lineRule="auto"/>
        <w:rPr>
          <w:rFonts w:ascii="Arial Narrow" w:hAnsi="Arial Narrow" w:cs="Arial"/>
        </w:rPr>
      </w:pPr>
    </w:p>
    <w:p w:rsidR="00EE54CD" w:rsidRPr="00F8494A" w:rsidRDefault="00EE54CD" w:rsidP="00F56C39">
      <w:pPr>
        <w:spacing w:after="0" w:line="240" w:lineRule="auto"/>
        <w:rPr>
          <w:rFonts w:ascii="Arial Narrow" w:hAnsi="Arial Narrow" w:cs="Arial"/>
        </w:rPr>
      </w:pPr>
      <w:r w:rsidRPr="00F8494A">
        <w:rPr>
          <w:rFonts w:ascii="Arial Narrow" w:hAnsi="Arial Narrow" w:cs="Arial"/>
        </w:rPr>
        <w:t xml:space="preserve">Istanbul, Turkey, 9-10 April 2015 </w:t>
      </w:r>
    </w:p>
    <w:p w:rsidR="00EE54CD" w:rsidRPr="00F8494A" w:rsidRDefault="00EE54CD" w:rsidP="00F56C39">
      <w:pPr>
        <w:jc w:val="center"/>
        <w:rPr>
          <w:rFonts w:ascii="Arial Narrow" w:hAnsi="Arial Narrow" w:cs="Arial"/>
        </w:rPr>
      </w:pPr>
    </w:p>
    <w:p w:rsidR="00EE54CD" w:rsidRPr="00F8494A" w:rsidRDefault="00EE54CD" w:rsidP="00F8494A">
      <w:pPr>
        <w:spacing w:after="0" w:line="240" w:lineRule="auto"/>
        <w:jc w:val="center"/>
        <w:rPr>
          <w:rFonts w:ascii="Arial Narrow" w:hAnsi="Arial Narrow" w:cs="Arial"/>
          <w:b/>
        </w:rPr>
      </w:pPr>
      <w:r w:rsidRPr="00F8494A">
        <w:rPr>
          <w:rFonts w:ascii="Arial Narrow" w:hAnsi="Arial Narrow" w:cs="Arial"/>
          <w:b/>
        </w:rPr>
        <w:t>ACTION LIST</w:t>
      </w:r>
    </w:p>
    <w:p w:rsidR="00EE54CD" w:rsidRDefault="00EE54CD" w:rsidP="00F8494A">
      <w:pPr>
        <w:spacing w:after="0" w:line="240" w:lineRule="auto"/>
        <w:jc w:val="center"/>
        <w:rPr>
          <w:rFonts w:ascii="Arial Narrow" w:hAnsi="Arial Narrow" w:cs="Arial"/>
        </w:rPr>
      </w:pPr>
      <w:r w:rsidRPr="00F8494A">
        <w:rPr>
          <w:rFonts w:ascii="Arial Narrow" w:hAnsi="Arial Narrow" w:cs="Arial"/>
        </w:rPr>
        <w:t xml:space="preserve">Based on the actions requested by the RA VI at its </w:t>
      </w:r>
      <w:r w:rsidR="00F8494A" w:rsidRPr="00F8494A">
        <w:rPr>
          <w:rFonts w:ascii="Arial Narrow" w:hAnsi="Arial Narrow" w:cs="Arial"/>
        </w:rPr>
        <w:t>sixteenth session and at the MG</w:t>
      </w:r>
      <w:r w:rsidRPr="00F8494A">
        <w:rPr>
          <w:rFonts w:ascii="Arial Narrow" w:hAnsi="Arial Narrow" w:cs="Arial"/>
        </w:rPr>
        <w:t xml:space="preserve"> meeting</w:t>
      </w:r>
      <w:r w:rsidR="00F8494A" w:rsidRPr="00F8494A">
        <w:rPr>
          <w:rFonts w:ascii="Arial Narrow" w:hAnsi="Arial Narrow" w:cs="Arial"/>
        </w:rPr>
        <w:t>s</w:t>
      </w:r>
    </w:p>
    <w:p w:rsidR="00F8494A" w:rsidRPr="00F8494A" w:rsidRDefault="00F8494A" w:rsidP="00F8494A">
      <w:pPr>
        <w:spacing w:after="0" w:line="240" w:lineRule="auto"/>
        <w:jc w:val="center"/>
        <w:rPr>
          <w:rFonts w:ascii="Arial Narrow" w:hAnsi="Arial Narrow"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547"/>
        <w:gridCol w:w="1346"/>
        <w:gridCol w:w="1179"/>
        <w:gridCol w:w="1956"/>
      </w:tblGrid>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Reference document</w:t>
            </w:r>
          </w:p>
        </w:tc>
        <w:tc>
          <w:tcPr>
            <w:tcW w:w="360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Action</w:t>
            </w:r>
          </w:p>
        </w:tc>
        <w:tc>
          <w:tcPr>
            <w:tcW w:w="135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Responsible body</w:t>
            </w:r>
          </w:p>
        </w:tc>
        <w:tc>
          <w:tcPr>
            <w:tcW w:w="10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Deadline</w:t>
            </w: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Status (on-going, continuing, closed)</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seek further guidance of the WMO Secretariat and Executive Council WG SOP on the planning process; in particular, on how can we influence the KOs and KPIs</w:t>
            </w:r>
          </w:p>
        </w:tc>
        <w:tc>
          <w:tcPr>
            <w:tcW w:w="1350" w:type="dxa"/>
            <w:vMerge w:val="restart"/>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TT/ROP</w:t>
            </w: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MG/2-2</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discuss in EC WG SOP the best way to establish links between the TC working subsidiary bodies and the regional WGs and Task Teams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MG/2-3</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find ways to improve communication with Governments and promote: (1) Social and Economic Benefits of NMHSs, being a clear regional priority, and (2) Research, as the global priority, where the inputs of the WMO Commission on Atmospheric Sciences are expected</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MG/2-4</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inform Members, through the RA VI president, on the draft ROP 2016-2019 encouraging further inputs and using it in the planning process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MG/2-5</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consider the identified users’ needs in the process of the Operating Planning</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MG/2-6</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continue regional survey studies on the Members’ capacity building needs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MG/2-7</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Highlight capacity development elements in the Work Plan of each Working Group and conduct further regional gaps analysis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MG/2-8</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ensure inter-regional actions for bridging the development gap between Members at global and regional level, using the Country Profile Data Base and other informative sources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MG/2-9</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study links to the EU activities like Copernicus, analyze overlaps and opportunities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MG/2-10</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 xml:space="preserve">To provide a tabular presentation of the regional experts represented in the global </w:t>
            </w:r>
            <w:r w:rsidRPr="00F8494A">
              <w:rPr>
                <w:rFonts w:ascii="Arial Narrow" w:hAnsi="Arial Narrow" w:cs="Arial"/>
              </w:rPr>
              <w:lastRenderedPageBreak/>
              <w:t>WMO Subsidiary Bodies (Technical Commissions, Expert Panels) and ensure alignment</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rPr>
          <w:trHeight w:val="953"/>
        </w:trPr>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lastRenderedPageBreak/>
              <w:t>RAVI-16/4.1.42</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monitor all relevant activities of RA VI Members and keep the MG abreast of the developments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RAVI-16/4.6.3</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 xml:space="preserve">To regionalize the implementation of the strategic objectives of the Capacity Development Strategy and to ensure appropriate participation in the new Task Teams </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MG/2-11</w:t>
            </w:r>
          </w:p>
        </w:tc>
        <w:tc>
          <w:tcPr>
            <w:tcW w:w="360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To ensure participation of vital experts to the Task Teams</w:t>
            </w:r>
          </w:p>
        </w:tc>
        <w:tc>
          <w:tcPr>
            <w:tcW w:w="1350" w:type="dxa"/>
            <w:vMerge w:val="restart"/>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All WGs</w:t>
            </w: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WG-CH: closed March 2015</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MG/2-12</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color w:val="222222"/>
              </w:rPr>
              <w:t>To form the membership of Task Teams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WG-CH: closed March 2015</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MG/2-13</w:t>
            </w:r>
          </w:p>
        </w:tc>
        <w:tc>
          <w:tcPr>
            <w:tcW w:w="360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To ensure participation of vital experts to the Task Teams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WG-CH: closed March 2015</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MG/2-14</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develop generic TORs for Rapporteurs and TTs, ensuring that their reports are made visible</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WG-CH: closed March 2015, expect for TT WSD</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MG/2-15</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ensure synergies between the planned activities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WG-CH: continuing</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VI-16/3.9 (</w:t>
            </w:r>
            <w:proofErr w:type="spellStart"/>
            <w:r w:rsidRPr="00F8494A">
              <w:rPr>
                <w:rFonts w:ascii="Arial Narrow" w:hAnsi="Arial Narrow" w:cs="Arial"/>
              </w:rPr>
              <w:t>i</w:t>
            </w:r>
            <w:proofErr w:type="spellEnd"/>
            <w:r w:rsidRPr="00F8494A">
              <w:rPr>
                <w:rFonts w:ascii="Arial Narrow" w:hAnsi="Arial Narrow" w:cs="Arial"/>
              </w:rPr>
              <w:t>) &amp; RA VI-16/7.2.4</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color w:val="222222"/>
              </w:rPr>
              <w:t xml:space="preserve">To prioritize the work programme in order to address the most important needs of the Members, including the ones highlighted at the RECO </w:t>
            </w:r>
            <w:smartTag w:uri="urn:schemas-microsoft-com:office:smarttags" w:element="metricconverter">
              <w:smartTagPr>
                <w:attr w:name="ProductID" w:val="2013 in"/>
              </w:smartTagPr>
              <w:r w:rsidRPr="00F8494A">
                <w:rPr>
                  <w:rFonts w:ascii="Arial Narrow" w:hAnsi="Arial Narrow" w:cs="Arial"/>
                  <w:color w:val="222222"/>
                </w:rPr>
                <w:t>2013 in</w:t>
              </w:r>
            </w:smartTag>
            <w:r w:rsidRPr="00F8494A">
              <w:rPr>
                <w:rFonts w:ascii="Arial Narrow" w:hAnsi="Arial Narrow" w:cs="Arial"/>
                <w:color w:val="222222"/>
              </w:rPr>
              <w:t xml:space="preserve"> Helsinki, by developing practical guidance based on the identified good practices and organizing regional events to help in the implementation of the WMO </w:t>
            </w:r>
            <w:proofErr w:type="spellStart"/>
            <w:r w:rsidRPr="00F8494A">
              <w:rPr>
                <w:rFonts w:ascii="Arial Narrow" w:hAnsi="Arial Narrow" w:cs="Arial"/>
                <w:color w:val="222222"/>
              </w:rPr>
              <w:t>programmes</w:t>
            </w:r>
            <w:proofErr w:type="spellEnd"/>
            <w:r w:rsidRPr="00F8494A">
              <w:rPr>
                <w:rFonts w:ascii="Arial Narrow" w:hAnsi="Arial Narrow" w:cs="Arial"/>
                <w:color w:val="222222"/>
              </w:rPr>
              <w:t xml:space="preserve"> and strategies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WG-CH: continuing</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MG/2-16</w:t>
            </w:r>
          </w:p>
        </w:tc>
        <w:tc>
          <w:tcPr>
            <w:tcW w:w="360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To develop generic TORs for a Rapporteur on Information Technology, a Rapporteur on Radar Networking and for a Rapporteur on Regional Network of Instrument Centers, ensuring that their reports are made visible</w:t>
            </w:r>
          </w:p>
        </w:tc>
        <w:tc>
          <w:tcPr>
            <w:tcW w:w="1350" w:type="dxa"/>
            <w:vMerge w:val="restart"/>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WG/TDI</w:t>
            </w: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MG/2-17</w:t>
            </w:r>
          </w:p>
        </w:tc>
        <w:tc>
          <w:tcPr>
            <w:tcW w:w="360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To enhance cooperation on nowcasting related matters with ESSL, EUMETSAT SAFs and others</w:t>
            </w:r>
          </w:p>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ensure that the Hydrology related matters are linked to WIGOS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MG/2-18</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find synergies with Copernicus Programme activities to be reflected in the programme</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MG/2-19</w:t>
            </w:r>
          </w:p>
        </w:tc>
        <w:tc>
          <w:tcPr>
            <w:tcW w:w="360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To identify an appropriate expert to lead the TT on Aviation</w:t>
            </w:r>
          </w:p>
        </w:tc>
        <w:tc>
          <w:tcPr>
            <w:tcW w:w="1350" w:type="dxa"/>
            <w:vMerge w:val="restart"/>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WG/SDP</w:t>
            </w:r>
          </w:p>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VI-16/3.9(h) &amp; RA VI-16/4.1.6</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 xml:space="preserve">To conduct the SEB analysis and studies, using the SEB guidance document and </w:t>
            </w:r>
            <w:r w:rsidRPr="00F8494A">
              <w:rPr>
                <w:rFonts w:ascii="Arial Narrow" w:hAnsi="Arial Narrow" w:cs="Arial"/>
                <w:color w:val="222222"/>
              </w:rPr>
              <w:lastRenderedPageBreak/>
              <w:t xml:space="preserve">establish twinning projects in the field of SEB analysis, using the existing guidance material. </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lastRenderedPageBreak/>
              <w:t>RA VI-16/4.1.6</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To organize a follow up Regional Conference on SEB</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VI-16/4.1.8</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To organize the Common Alerting Protocol Jump-start Workshops to familiarize the Members with its technology and utility</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VI-16/Res.1</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To implement the WMO Strategy for Service Delivery</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VI-16/4.1.7</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To establish the formal collaborative and coordination mechanisms between NMHSs and national agencies for civil protection (</w:t>
            </w:r>
            <w:r w:rsidRPr="00F8494A">
              <w:rPr>
                <w:rFonts w:ascii="Arial Narrow" w:hAnsi="Arial Narrow" w:cs="Arial"/>
              </w:rPr>
              <w:t>with UK Met Office</w:t>
            </w:r>
            <w:r w:rsidRPr="00F8494A">
              <w:rPr>
                <w:rFonts w:ascii="Arial Narrow" w:hAnsi="Arial Narrow" w:cs="Arial"/>
                <w:color w:val="222222"/>
              </w:rPr>
              <w:t>)</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VI-16/4.1.11</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 xml:space="preserve">To develop a Content Management System within </w:t>
            </w:r>
            <w:proofErr w:type="spellStart"/>
            <w:r w:rsidRPr="00F8494A">
              <w:rPr>
                <w:rFonts w:ascii="Arial Narrow" w:hAnsi="Arial Narrow" w:cs="Arial"/>
                <w:color w:val="222222"/>
              </w:rPr>
              <w:t>Meteoalarm</w:t>
            </w:r>
            <w:proofErr w:type="spellEnd"/>
            <w:r w:rsidRPr="00F8494A">
              <w:rPr>
                <w:rFonts w:ascii="Arial Narrow" w:hAnsi="Arial Narrow" w:cs="Arial"/>
                <w:color w:val="222222"/>
              </w:rPr>
              <w:t xml:space="preserve"> to enable NMHSs to tailor their desired cross-broader warnings exchange</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VI-16/4.1.13</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 xml:space="preserve">To develop a concept for mentoring activities that supports the concerned NMHSs’ staff </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VI-16/3.9</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To explore the possibilities to extend the partnership and reinforce the existing one</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VI-16/4.1.22 &amp; Res.2</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To organize a regional WMO/ICAO Conference to build on the outcomes of the conjoint Met divisional meeting, planned for July 2014</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Postponed for October 2015</w:t>
            </w: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VI-16/4.1.15</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To organize capacity-building activities, such as pilot projects and training sessions in the areas of improvement of service delivery</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MG/2-20</w:t>
            </w:r>
          </w:p>
        </w:tc>
        <w:tc>
          <w:tcPr>
            <w:tcW w:w="3600" w:type="dxa"/>
          </w:tcPr>
          <w:p w:rsidR="00EE54CD" w:rsidRPr="00F8494A" w:rsidRDefault="00EE54CD" w:rsidP="005D2C37">
            <w:pPr>
              <w:shd w:val="clear" w:color="auto" w:fill="FFFFFF"/>
              <w:spacing w:after="0" w:line="240" w:lineRule="auto"/>
              <w:jc w:val="both"/>
              <w:rPr>
                <w:rFonts w:ascii="Arial Narrow" w:hAnsi="Arial Narrow" w:cs="Arial"/>
                <w:color w:val="222222"/>
              </w:rPr>
            </w:pPr>
            <w:r w:rsidRPr="00F8494A">
              <w:rPr>
                <w:rFonts w:ascii="Arial Narrow" w:hAnsi="Arial Narrow" w:cs="Arial"/>
                <w:color w:val="222222"/>
              </w:rPr>
              <w:t>To identify an appropriate expert to lead the TT on Regional Climate Centers and Regional Climate Outlook Forum</w:t>
            </w:r>
          </w:p>
        </w:tc>
        <w:tc>
          <w:tcPr>
            <w:tcW w:w="1350" w:type="dxa"/>
            <w:vMerge w:val="restart"/>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WG/CH</w:t>
            </w: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Closed</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 xml:space="preserve">MG/2-21 &amp; </w:t>
            </w:r>
          </w:p>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VI-16/3.9(b)</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color w:val="222222"/>
              </w:rPr>
              <w:t>Ensure the participation of hydrologists in RCOF sessions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On-going</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MG/2-22</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clarify the definition of Climate Watch &amp; develop the related services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Closed, proposal submitted</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MG/2-23</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 xml:space="preserve">To identify synergies of the TT on CWS and TT on RCC and </w:t>
            </w:r>
            <w:r w:rsidRPr="00F8494A">
              <w:rPr>
                <w:rFonts w:ascii="Arial Narrow" w:hAnsi="Arial Narrow" w:cs="Arial"/>
                <w:color w:val="222222"/>
              </w:rPr>
              <w:t>RCOF</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Continuing</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MG/2-24</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take into account the recommendations of the Network of RCC Focal Points on the composition of the RA VI Task Team on RCC</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Closed</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MG/2-25</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support the data management related matters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Continuing</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MG/2-26</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 xml:space="preserve">To request the WMO Commission on Climatology to develop guidance on homogenization of climate data in case of </w:t>
            </w:r>
            <w:r w:rsidRPr="00F8494A">
              <w:rPr>
                <w:rFonts w:ascii="Arial Narrow" w:hAnsi="Arial Narrow" w:cs="Arial"/>
              </w:rPr>
              <w:lastRenderedPageBreak/>
              <w:t>transition from manual to automatic stations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Closed</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lastRenderedPageBreak/>
              <w:t>MG/2-27</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develop an Action Plan as the main output of the RA VI Hydrology Forum to contribute to the 7</w:t>
            </w:r>
            <w:r w:rsidRPr="00F8494A">
              <w:rPr>
                <w:rFonts w:ascii="Arial Narrow" w:hAnsi="Arial Narrow" w:cs="Arial"/>
                <w:vertAlign w:val="superscript"/>
              </w:rPr>
              <w:t>th</w:t>
            </w:r>
            <w:r w:rsidRPr="00F8494A">
              <w:rPr>
                <w:rFonts w:ascii="Arial Narrow" w:hAnsi="Arial Narrow" w:cs="Arial"/>
              </w:rPr>
              <w:t xml:space="preserve"> World Water Forum, planned for 12-17 April 2015 in Korea</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On going</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RAVI-16/3.9 (a)</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implement the GFCS, incl. the conduction of the region consultation meetings on the Members’ needs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Continuing</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RAVI-16/3.9</w:t>
            </w:r>
          </w:p>
        </w:tc>
        <w:tc>
          <w:tcPr>
            <w:tcW w:w="3600" w:type="dxa"/>
          </w:tcPr>
          <w:p w:rsidR="00EE54CD" w:rsidRPr="00F8494A" w:rsidRDefault="00EE54CD" w:rsidP="005D2C37">
            <w:pPr>
              <w:spacing w:after="0" w:line="240" w:lineRule="auto"/>
              <w:jc w:val="both"/>
              <w:rPr>
                <w:rFonts w:ascii="Arial Narrow" w:hAnsi="Arial Narrow" w:cs="Arial"/>
                <w:lang w:eastAsia="en-US"/>
              </w:rPr>
            </w:pPr>
            <w:r w:rsidRPr="00F8494A">
              <w:rPr>
                <w:rFonts w:ascii="Arial Narrow" w:hAnsi="Arial Narrow" w:cs="Arial"/>
                <w:lang w:eastAsia="en-US"/>
              </w:rPr>
              <w:t>To conduct the Hydrology Forums and provide guidance and advice to the Members in the field of Hydrology</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Every 2 years</w:t>
            </w:r>
          </w:p>
        </w:tc>
        <w:tc>
          <w:tcPr>
            <w:tcW w:w="19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Continuing</w:t>
            </w: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RAVI-16/3.9</w:t>
            </w:r>
          </w:p>
        </w:tc>
        <w:tc>
          <w:tcPr>
            <w:tcW w:w="3600" w:type="dxa"/>
          </w:tcPr>
          <w:p w:rsidR="00EE54CD" w:rsidRPr="00F8494A" w:rsidRDefault="00EE54CD" w:rsidP="005D2C37">
            <w:pPr>
              <w:spacing w:after="0" w:line="240" w:lineRule="auto"/>
              <w:jc w:val="both"/>
              <w:rPr>
                <w:rFonts w:ascii="Arial Narrow" w:hAnsi="Arial Narrow" w:cs="Arial"/>
                <w:lang w:val="en-GB"/>
              </w:rPr>
            </w:pPr>
            <w:r w:rsidRPr="00F8494A">
              <w:rPr>
                <w:rFonts w:ascii="Arial Narrow" w:hAnsi="Arial Narrow" w:cs="Arial"/>
                <w:lang w:val="en-GB"/>
              </w:rPr>
              <w:t>To adopt &amp; implement the WIGOS Implementation Plan; To develop National WIGOS Implementation Plans, monitoring the implementation and identifying the Members’ capacity development needs</w:t>
            </w:r>
          </w:p>
        </w:tc>
        <w:tc>
          <w:tcPr>
            <w:tcW w:w="1350" w:type="dxa"/>
            <w:vMerge w:val="restart"/>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WG/TDI</w:t>
            </w: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RAVI-16/3.9</w:t>
            </w:r>
          </w:p>
        </w:tc>
        <w:tc>
          <w:tcPr>
            <w:tcW w:w="3600" w:type="dxa"/>
          </w:tcPr>
          <w:p w:rsidR="00EE54CD" w:rsidRPr="00F8494A" w:rsidRDefault="00EE54CD" w:rsidP="005D2C37">
            <w:pPr>
              <w:spacing w:after="0" w:line="240" w:lineRule="auto"/>
              <w:jc w:val="both"/>
              <w:rPr>
                <w:rFonts w:ascii="Arial Narrow" w:hAnsi="Arial Narrow" w:cs="Arial"/>
                <w:lang w:val="en-GB" w:eastAsia="en-US"/>
              </w:rPr>
            </w:pPr>
            <w:r w:rsidRPr="00F8494A">
              <w:rPr>
                <w:rFonts w:ascii="Arial Narrow" w:hAnsi="Arial Narrow" w:cs="Arial"/>
                <w:lang w:val="en-GB" w:eastAsia="en-US"/>
              </w:rPr>
              <w:t>To establish and operationalize the planned WIS Centres, in particular the NCs and DCPCs</w:t>
            </w:r>
          </w:p>
        </w:tc>
        <w:tc>
          <w:tcPr>
            <w:tcW w:w="1350" w:type="dxa"/>
            <w:vMerge/>
          </w:tcPr>
          <w:p w:rsidR="00EE54CD" w:rsidRPr="00F8494A" w:rsidRDefault="00EE54CD" w:rsidP="005D2C37">
            <w:pPr>
              <w:spacing w:after="0" w:line="240" w:lineRule="auto"/>
              <w:rPr>
                <w:rFonts w:ascii="Arial Narrow" w:hAnsi="Arial Narrow" w:cs="Arial"/>
                <w:lang w:val="en-GB"/>
              </w:rPr>
            </w:pPr>
          </w:p>
        </w:tc>
        <w:tc>
          <w:tcPr>
            <w:tcW w:w="10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By 2015</w:t>
            </w: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RAVI-16/4.3.4</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consider developing a SWFDP regional Project, especially in SEE, incl. Western Balkans, as method of enhancing severe weather forecasting and warning services, thereby contributing to capacity development, DRR and climate change adaptation in affected countries.  (in cooperation with INTAD-6)</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RAVI-16/4.3.6</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To follow up on review of compliance of GDPFS Centers in RA VI against the designation criteria and inform, through the RA VI president, the SG of the status of these centers.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MG/2-28</w:t>
            </w:r>
          </w:p>
        </w:tc>
        <w:tc>
          <w:tcPr>
            <w:tcW w:w="3600" w:type="dxa"/>
          </w:tcPr>
          <w:p w:rsidR="00EE54CD" w:rsidRPr="00F8494A" w:rsidRDefault="00EE54CD" w:rsidP="005D2C37">
            <w:pPr>
              <w:spacing w:after="0" w:line="240" w:lineRule="auto"/>
              <w:jc w:val="both"/>
              <w:rPr>
                <w:rFonts w:ascii="Arial Narrow" w:hAnsi="Arial Narrow" w:cs="Arial"/>
                <w:lang w:val="en-GB" w:eastAsia="en-US"/>
              </w:rPr>
            </w:pPr>
            <w:r w:rsidRPr="00F8494A">
              <w:rPr>
                <w:rFonts w:ascii="Arial Narrow" w:hAnsi="Arial Narrow" w:cs="Arial"/>
                <w:lang w:eastAsia="en-US"/>
              </w:rPr>
              <w:t xml:space="preserve">To </w:t>
            </w:r>
            <w:r w:rsidRPr="00F8494A">
              <w:rPr>
                <w:rFonts w:ascii="Arial Narrow" w:hAnsi="Arial Narrow" w:cs="Arial"/>
                <w:lang w:val="en-GB" w:eastAsia="en-US"/>
              </w:rPr>
              <w:t xml:space="preserve">provide more information on the financial plan, including the </w:t>
            </w:r>
            <w:r w:rsidRPr="00F8494A">
              <w:rPr>
                <w:rFonts w:ascii="Arial Narrow" w:hAnsi="Arial Narrow"/>
              </w:rPr>
              <w:t>institutional and financial options</w:t>
            </w:r>
          </w:p>
        </w:tc>
        <w:tc>
          <w:tcPr>
            <w:tcW w:w="135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Chair of ICH/CIS</w:t>
            </w: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MG/2-29</w:t>
            </w:r>
          </w:p>
        </w:tc>
        <w:tc>
          <w:tcPr>
            <w:tcW w:w="3600" w:type="dxa"/>
          </w:tcPr>
          <w:p w:rsidR="00EE54CD" w:rsidRPr="00F8494A" w:rsidRDefault="00EE54CD" w:rsidP="005D2C37">
            <w:pPr>
              <w:spacing w:after="0" w:line="240" w:lineRule="auto"/>
              <w:jc w:val="both"/>
              <w:rPr>
                <w:rFonts w:ascii="Arial Narrow" w:hAnsi="Arial Narrow" w:cs="Arial"/>
                <w:lang w:val="en-GB" w:eastAsia="en-US"/>
              </w:rPr>
            </w:pPr>
            <w:r w:rsidRPr="00F8494A">
              <w:rPr>
                <w:rFonts w:ascii="Arial Narrow" w:hAnsi="Arial Narrow" w:cs="Arial"/>
                <w:lang w:eastAsia="en-US"/>
              </w:rPr>
              <w:t xml:space="preserve">To </w:t>
            </w:r>
            <w:r w:rsidRPr="00F8494A">
              <w:rPr>
                <w:rFonts w:ascii="Arial Narrow" w:hAnsi="Arial Narrow" w:cs="Arial"/>
                <w:lang w:val="en-GB" w:eastAsia="en-US"/>
              </w:rPr>
              <w:t xml:space="preserve">make an intervention during EC-66 highlighting the proposals of the ICH/CIS and the progress related to this initiative, supported by both RA II and RA VI. </w:t>
            </w:r>
          </w:p>
          <w:p w:rsidR="00EE54CD" w:rsidRPr="00F8494A" w:rsidRDefault="00EE54CD" w:rsidP="005D2C37">
            <w:pPr>
              <w:spacing w:after="0" w:line="240" w:lineRule="auto"/>
              <w:jc w:val="both"/>
              <w:rPr>
                <w:rFonts w:ascii="Arial Narrow" w:hAnsi="Arial Narrow" w:cs="Arial"/>
                <w:lang w:val="en-GB" w:eastAsia="en-US"/>
              </w:rPr>
            </w:pPr>
          </w:p>
        </w:tc>
        <w:tc>
          <w:tcPr>
            <w:tcW w:w="1350" w:type="dxa"/>
          </w:tcPr>
          <w:p w:rsidR="00EE54CD" w:rsidRPr="00F8494A" w:rsidRDefault="00EE54CD" w:rsidP="005D2C37">
            <w:pPr>
              <w:spacing w:after="0" w:line="240" w:lineRule="auto"/>
              <w:rPr>
                <w:rFonts w:ascii="Arial Narrow" w:hAnsi="Arial Narrow" w:cs="Arial"/>
                <w:lang w:val="en-GB"/>
              </w:rPr>
            </w:pPr>
            <w:r w:rsidRPr="00F8494A">
              <w:rPr>
                <w:rFonts w:ascii="Arial Narrow" w:hAnsi="Arial Narrow" w:cs="Arial"/>
                <w:lang w:val="en-GB"/>
              </w:rPr>
              <w:t>Vice-chair of ICH/CIS</w:t>
            </w: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VI-16/4.1.19</w:t>
            </w:r>
          </w:p>
        </w:tc>
        <w:tc>
          <w:tcPr>
            <w:tcW w:w="3600" w:type="dxa"/>
          </w:tcPr>
          <w:p w:rsidR="00EE54CD" w:rsidRPr="00F8494A" w:rsidRDefault="00EE54CD" w:rsidP="005D2C37">
            <w:pPr>
              <w:spacing w:after="0" w:line="240" w:lineRule="auto"/>
              <w:rPr>
                <w:rFonts w:ascii="Arial Narrow" w:hAnsi="Arial Narrow" w:cs="Arial"/>
                <w:color w:val="222222"/>
              </w:rPr>
            </w:pPr>
            <w:r w:rsidRPr="00F8494A">
              <w:rPr>
                <w:rFonts w:ascii="Arial Narrow" w:hAnsi="Arial Narrow" w:cs="Arial"/>
                <w:color w:val="222222"/>
              </w:rPr>
              <w:t xml:space="preserve">To establish a mechanism for both gathering regional aviation-related priorities and for monitoring and evaluating the regional implementation of activities related to the five top level priorities, reflected by the </w:t>
            </w:r>
            <w:proofErr w:type="spellStart"/>
            <w:r w:rsidRPr="00F8494A">
              <w:rPr>
                <w:rFonts w:ascii="Arial Narrow" w:hAnsi="Arial Narrow" w:cs="Arial"/>
                <w:color w:val="222222"/>
              </w:rPr>
              <w:t>CAeM</w:t>
            </w:r>
            <w:proofErr w:type="spellEnd"/>
          </w:p>
        </w:tc>
        <w:tc>
          <w:tcPr>
            <w:tcW w:w="1350" w:type="dxa"/>
            <w:vMerge w:val="restart"/>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MG</w:t>
            </w: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VI-16/4.1.37</w:t>
            </w:r>
          </w:p>
        </w:tc>
        <w:tc>
          <w:tcPr>
            <w:tcW w:w="3600" w:type="dxa"/>
          </w:tcPr>
          <w:p w:rsidR="00EE54CD" w:rsidRPr="00F8494A" w:rsidRDefault="00EE54CD" w:rsidP="005D2C37">
            <w:pPr>
              <w:spacing w:after="0" w:line="240" w:lineRule="auto"/>
              <w:rPr>
                <w:rFonts w:ascii="Arial Narrow" w:hAnsi="Arial Narrow" w:cs="Arial"/>
                <w:color w:val="222222"/>
              </w:rPr>
            </w:pPr>
            <w:r w:rsidRPr="00F8494A">
              <w:rPr>
                <w:rFonts w:ascii="Arial Narrow" w:hAnsi="Arial Narrow" w:cs="Arial"/>
                <w:color w:val="222222"/>
              </w:rPr>
              <w:t xml:space="preserve">A relevant RA VI subsidiary body should </w:t>
            </w:r>
            <w:r w:rsidRPr="00F8494A">
              <w:rPr>
                <w:rFonts w:ascii="Arial Narrow" w:hAnsi="Arial Narrow" w:cs="Arial"/>
                <w:color w:val="222222"/>
              </w:rPr>
              <w:lastRenderedPageBreak/>
              <w:t xml:space="preserve">coordinate Members’ actions aimed at enhancing volcanic ash monitoring capabilities as part of the RA VI WIGOS Implementation Plan </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lastRenderedPageBreak/>
              <w:t>RA VI-16/4.1.42</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rPr>
              <w:t>A coordinated regional position on the emerging issues should be developed in coordination with Secretariat</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 xml:space="preserve">In time </w:t>
            </w:r>
            <w:r w:rsidRPr="00F8494A">
              <w:rPr>
                <w:rFonts w:ascii="Arial Narrow" w:hAnsi="Arial Narrow" w:cs="Arial"/>
                <w:color w:val="222222"/>
              </w:rPr>
              <w:t>for the Conjoint MET Divisional Meeting in 2014</w:t>
            </w: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VI-16/4.2.3</w:t>
            </w:r>
          </w:p>
        </w:tc>
        <w:tc>
          <w:tcPr>
            <w:tcW w:w="3600" w:type="dxa"/>
          </w:tcPr>
          <w:p w:rsidR="00EE54CD" w:rsidRPr="00F8494A" w:rsidRDefault="00EE54CD" w:rsidP="005D2C37">
            <w:pPr>
              <w:spacing w:after="0" w:line="240" w:lineRule="auto"/>
              <w:rPr>
                <w:rFonts w:ascii="Arial Narrow" w:hAnsi="Arial Narrow" w:cs="Arial"/>
                <w:color w:val="222222"/>
              </w:rPr>
            </w:pPr>
            <w:r w:rsidRPr="00F8494A">
              <w:rPr>
                <w:rFonts w:ascii="Arial Narrow" w:hAnsi="Arial Narrow" w:cs="Arial"/>
                <w:color w:val="222222"/>
              </w:rPr>
              <w:t>To identify and facilitate documentation of relevant good practices at national and regional levels for provision of meteorological, hydrological and climate services to support: (</w:t>
            </w:r>
            <w:proofErr w:type="spellStart"/>
            <w:r w:rsidRPr="00F8494A">
              <w:rPr>
                <w:rFonts w:ascii="Arial Narrow" w:hAnsi="Arial Narrow" w:cs="Arial"/>
                <w:color w:val="222222"/>
              </w:rPr>
              <w:t>i</w:t>
            </w:r>
            <w:proofErr w:type="spellEnd"/>
            <w:r w:rsidRPr="00F8494A">
              <w:rPr>
                <w:rFonts w:ascii="Arial Narrow" w:hAnsi="Arial Narrow" w:cs="Arial"/>
                <w:color w:val="222222"/>
              </w:rPr>
              <w:t xml:space="preserve">) Hazard/Risk analysis; (ii) Multi-hazard early warning systems, (iii) Sectoral risk management, and (iv) Disaster risk financing, as input to the development of: WMO Guidelines for NMHSs ….  </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VI-16/4.2.5</w:t>
            </w:r>
          </w:p>
        </w:tc>
        <w:tc>
          <w:tcPr>
            <w:tcW w:w="3600" w:type="dxa"/>
          </w:tcPr>
          <w:p w:rsidR="00EE54CD" w:rsidRPr="00F8494A" w:rsidRDefault="00EE54CD" w:rsidP="005D2C37">
            <w:pPr>
              <w:spacing w:after="0" w:line="240" w:lineRule="auto"/>
              <w:rPr>
                <w:rFonts w:ascii="Arial Narrow" w:hAnsi="Arial Narrow" w:cs="Arial"/>
                <w:color w:val="222222"/>
              </w:rPr>
            </w:pPr>
            <w:r w:rsidRPr="00F8494A">
              <w:rPr>
                <w:rFonts w:ascii="Arial Narrow" w:hAnsi="Arial Narrow" w:cs="Arial"/>
                <w:color w:val="222222"/>
              </w:rPr>
              <w:t>To document the Region’s initiatives for implementation of GFCS related to DRR activities and to formulate concrete recommendations to WMO governing bodies based on development of climate services for DRR as input to the implementation of GFCS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VI-16/4.2.7</w:t>
            </w:r>
          </w:p>
        </w:tc>
        <w:tc>
          <w:tcPr>
            <w:tcW w:w="3600" w:type="dxa"/>
          </w:tcPr>
          <w:p w:rsidR="00EE54CD" w:rsidRPr="00F8494A" w:rsidRDefault="00EE54CD" w:rsidP="005D2C37">
            <w:pPr>
              <w:spacing w:after="0" w:line="240" w:lineRule="auto"/>
              <w:rPr>
                <w:rFonts w:ascii="Arial Narrow" w:hAnsi="Arial Narrow" w:cs="Arial"/>
                <w:color w:val="222222"/>
              </w:rPr>
            </w:pPr>
            <w:r w:rsidRPr="00F8494A">
              <w:rPr>
                <w:rFonts w:ascii="Arial Narrow" w:hAnsi="Arial Narrow" w:cs="Arial"/>
                <w:color w:val="222222"/>
              </w:rPr>
              <w:t>To actively participate in the regional consultations underway and coordinated by the UN International Strategy for DRR and the UN ISDR Regional Office for Europe to ensure that the needs for strengthening of national and regional capacities for development and provision of meteorological, hydrological and climate services is considered as an integral part of DRR strategies and development plans at national and regional levels, particularly with reference to GFCS.</w:t>
            </w:r>
          </w:p>
        </w:tc>
        <w:tc>
          <w:tcPr>
            <w:tcW w:w="1350" w:type="dxa"/>
            <w:vMerge/>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RA VI-16/5.2.11</w:t>
            </w:r>
          </w:p>
        </w:tc>
        <w:tc>
          <w:tcPr>
            <w:tcW w:w="3600" w:type="dxa"/>
          </w:tcPr>
          <w:p w:rsidR="00EE54CD" w:rsidRPr="00F8494A" w:rsidRDefault="00EE54CD" w:rsidP="005D2C37">
            <w:pPr>
              <w:spacing w:after="0" w:line="240" w:lineRule="auto"/>
              <w:jc w:val="both"/>
              <w:rPr>
                <w:rFonts w:ascii="Arial Narrow" w:hAnsi="Arial Narrow" w:cs="Arial"/>
              </w:rPr>
            </w:pPr>
            <w:r w:rsidRPr="00F8494A">
              <w:rPr>
                <w:rFonts w:ascii="Arial Narrow" w:hAnsi="Arial Narrow" w:cs="Arial"/>
                <w:color w:val="222222"/>
              </w:rPr>
              <w:t>To develop further the proposal for improved effectiveness and efficiency, including the possibility for conducting a regional Director’s conference, as a test for the feasibility and usefulness of such approach in the future.</w:t>
            </w:r>
          </w:p>
        </w:tc>
        <w:tc>
          <w:tcPr>
            <w:tcW w:w="1350" w:type="dxa"/>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r w:rsidRPr="00F8494A">
              <w:rPr>
                <w:rFonts w:ascii="Arial Narrow" w:hAnsi="Arial Narrow" w:cs="Arial"/>
              </w:rPr>
              <w:t>In the middle of the next intersession period</w:t>
            </w:r>
          </w:p>
        </w:tc>
        <w:tc>
          <w:tcPr>
            <w:tcW w:w="1980" w:type="dxa"/>
          </w:tcPr>
          <w:p w:rsidR="00EE54CD" w:rsidRPr="00F8494A" w:rsidRDefault="00EE54CD" w:rsidP="005D2C37">
            <w:pPr>
              <w:spacing w:after="0" w:line="240" w:lineRule="auto"/>
              <w:rPr>
                <w:rFonts w:ascii="Arial Narrow" w:hAnsi="Arial Narrow" w:cs="Arial"/>
              </w:rPr>
            </w:pPr>
          </w:p>
        </w:tc>
      </w:tr>
      <w:tr w:rsidR="00EE54CD" w:rsidRPr="00F8494A" w:rsidTr="005D2C37">
        <w:tc>
          <w:tcPr>
            <w:tcW w:w="1728" w:type="dxa"/>
          </w:tcPr>
          <w:p w:rsidR="00EE54CD" w:rsidRPr="00F8494A" w:rsidRDefault="00EE54CD" w:rsidP="005D2C37">
            <w:pPr>
              <w:spacing w:after="0" w:line="240" w:lineRule="auto"/>
              <w:rPr>
                <w:rFonts w:ascii="Arial Narrow" w:hAnsi="Arial Narrow" w:cs="Arial"/>
              </w:rPr>
            </w:pPr>
          </w:p>
        </w:tc>
        <w:tc>
          <w:tcPr>
            <w:tcW w:w="3600" w:type="dxa"/>
          </w:tcPr>
          <w:p w:rsidR="00EE54CD" w:rsidRPr="00F8494A" w:rsidRDefault="00EE54CD" w:rsidP="005D2C37">
            <w:pPr>
              <w:spacing w:after="0" w:line="240" w:lineRule="auto"/>
              <w:jc w:val="both"/>
              <w:rPr>
                <w:rFonts w:ascii="Arial Narrow" w:hAnsi="Arial Narrow" w:cs="Arial"/>
              </w:rPr>
            </w:pPr>
          </w:p>
        </w:tc>
        <w:tc>
          <w:tcPr>
            <w:tcW w:w="1350" w:type="dxa"/>
          </w:tcPr>
          <w:p w:rsidR="00EE54CD" w:rsidRPr="00F8494A" w:rsidRDefault="00EE54CD" w:rsidP="005D2C37">
            <w:pPr>
              <w:spacing w:after="0" w:line="240" w:lineRule="auto"/>
              <w:rPr>
                <w:rFonts w:ascii="Arial Narrow" w:hAnsi="Arial Narrow" w:cs="Arial"/>
              </w:rPr>
            </w:pPr>
          </w:p>
        </w:tc>
        <w:tc>
          <w:tcPr>
            <w:tcW w:w="1080" w:type="dxa"/>
          </w:tcPr>
          <w:p w:rsidR="00EE54CD" w:rsidRPr="00F8494A" w:rsidRDefault="00EE54CD" w:rsidP="005D2C37">
            <w:pPr>
              <w:spacing w:after="0" w:line="240" w:lineRule="auto"/>
              <w:rPr>
                <w:rFonts w:ascii="Arial Narrow" w:hAnsi="Arial Narrow" w:cs="Arial"/>
              </w:rPr>
            </w:pPr>
          </w:p>
        </w:tc>
        <w:tc>
          <w:tcPr>
            <w:tcW w:w="1980" w:type="dxa"/>
          </w:tcPr>
          <w:p w:rsidR="00EE54CD" w:rsidRPr="00F8494A" w:rsidRDefault="00EE54CD" w:rsidP="005D2C37">
            <w:pPr>
              <w:spacing w:after="0" w:line="240" w:lineRule="auto"/>
              <w:rPr>
                <w:rFonts w:ascii="Arial Narrow" w:hAnsi="Arial Narrow" w:cs="Arial"/>
              </w:rPr>
            </w:pPr>
          </w:p>
        </w:tc>
      </w:tr>
    </w:tbl>
    <w:p w:rsidR="00EE54CD" w:rsidRPr="00F8494A" w:rsidRDefault="00EE54CD">
      <w:pPr>
        <w:rPr>
          <w:rFonts w:ascii="Arial Narrow" w:hAnsi="Arial Narrow" w:cs="Arial"/>
        </w:rPr>
      </w:pPr>
    </w:p>
    <w:sectPr w:rsidR="00EE54CD" w:rsidRPr="00F8494A" w:rsidSect="005E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518"/>
    <w:multiLevelType w:val="hybridMultilevel"/>
    <w:tmpl w:val="EEEA2C08"/>
    <w:lvl w:ilvl="0" w:tplc="B6AC8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59AA"/>
    <w:multiLevelType w:val="hybridMultilevel"/>
    <w:tmpl w:val="78C46B08"/>
    <w:lvl w:ilvl="0" w:tplc="B6AC8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97419"/>
    <w:multiLevelType w:val="hybridMultilevel"/>
    <w:tmpl w:val="7280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35820"/>
    <w:multiLevelType w:val="hybridMultilevel"/>
    <w:tmpl w:val="376EFC56"/>
    <w:lvl w:ilvl="0" w:tplc="B6AC8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5121C"/>
    <w:multiLevelType w:val="hybridMultilevel"/>
    <w:tmpl w:val="DE42047E"/>
    <w:lvl w:ilvl="0" w:tplc="B6AC8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C5503"/>
    <w:multiLevelType w:val="hybridMultilevel"/>
    <w:tmpl w:val="20E6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3B3"/>
    <w:rsid w:val="00326C80"/>
    <w:rsid w:val="004D2C2D"/>
    <w:rsid w:val="00503BBB"/>
    <w:rsid w:val="005A1394"/>
    <w:rsid w:val="005D2C37"/>
    <w:rsid w:val="005E001C"/>
    <w:rsid w:val="00787DD0"/>
    <w:rsid w:val="007B03B3"/>
    <w:rsid w:val="007B210A"/>
    <w:rsid w:val="0093399F"/>
    <w:rsid w:val="009A0A22"/>
    <w:rsid w:val="009D5795"/>
    <w:rsid w:val="00A129AE"/>
    <w:rsid w:val="00B73188"/>
    <w:rsid w:val="00B830EB"/>
    <w:rsid w:val="00C7476D"/>
    <w:rsid w:val="00C8622B"/>
    <w:rsid w:val="00CC4A25"/>
    <w:rsid w:val="00D8112E"/>
    <w:rsid w:val="00E3313C"/>
    <w:rsid w:val="00EC1B23"/>
    <w:rsid w:val="00EE54CD"/>
    <w:rsid w:val="00F20DA3"/>
    <w:rsid w:val="00F56C39"/>
    <w:rsid w:val="00F60FF9"/>
    <w:rsid w:val="00F77D46"/>
    <w:rsid w:val="00F8494A"/>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1C"/>
    <w:pPr>
      <w:spacing w:after="200" w:line="276" w:lineRule="auto"/>
    </w:pPr>
    <w:rPr>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6C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D1E051F5.dotm</Template>
  <TotalTime>1</TotalTime>
  <Pages>5</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NBerghi</dc:creator>
  <cp:lastModifiedBy>NBerghi</cp:lastModifiedBy>
  <cp:revision>3</cp:revision>
  <dcterms:created xsi:type="dcterms:W3CDTF">2015-04-08T10:03:00Z</dcterms:created>
  <dcterms:modified xsi:type="dcterms:W3CDTF">2015-04-08T12:16:00Z</dcterms:modified>
</cp:coreProperties>
</file>