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F3" w:rsidRDefault="00C400F3" w:rsidP="00047B3E">
      <w:pPr>
        <w:widowControl w:val="0"/>
        <w:spacing w:before="120" w:after="0" w:line="240" w:lineRule="auto"/>
        <w:ind w:left="360"/>
        <w:jc w:val="center"/>
        <w:rPr>
          <w:rFonts w:ascii="Arial" w:hAnsi="Arial" w:cs="Arial"/>
          <w:b/>
          <w:caps/>
          <w:lang w:val="fr-CH"/>
        </w:rPr>
      </w:pPr>
      <w:bookmarkStart w:id="0" w:name="_GoBack"/>
      <w:bookmarkEnd w:id="0"/>
      <w:r w:rsidRPr="00572168">
        <w:rPr>
          <w:rFonts w:ascii="Arial" w:hAnsi="Arial" w:cs="Arial"/>
          <w:b/>
          <w:caps/>
          <w:lang w:val="fr-CH"/>
        </w:rPr>
        <w:t>RÉUNION DU GROUPE DE TRAVAIL</w:t>
      </w:r>
      <w:r w:rsidR="00B76AF3" w:rsidRPr="00572168">
        <w:rPr>
          <w:rFonts w:ascii="Arial" w:hAnsi="Arial" w:cs="Arial"/>
          <w:b/>
          <w:caps/>
          <w:lang w:val="fr-CH"/>
        </w:rPr>
        <w:t xml:space="preserve"> </w:t>
      </w:r>
      <w:r w:rsidRPr="00572168">
        <w:rPr>
          <w:rFonts w:ascii="Arial" w:hAnsi="Arial" w:cs="Arial"/>
          <w:b/>
          <w:caps/>
          <w:lang w:val="fr-CH"/>
        </w:rPr>
        <w:t xml:space="preserve">POUR L’AMÉLIORATION </w:t>
      </w:r>
      <w:r w:rsidR="00572168">
        <w:rPr>
          <w:rFonts w:ascii="Arial" w:hAnsi="Arial" w:cs="Arial"/>
          <w:b/>
          <w:caps/>
          <w:lang w:val="fr-CH"/>
        </w:rPr>
        <w:br/>
      </w:r>
      <w:r w:rsidRPr="00572168">
        <w:rPr>
          <w:rFonts w:ascii="Arial" w:hAnsi="Arial" w:cs="Arial"/>
          <w:b/>
          <w:caps/>
          <w:lang w:val="fr-CH"/>
        </w:rPr>
        <w:t xml:space="preserve">DES PRÉVISIONS MÉTÉOROLOGIQUES, LA RÉDUCTION DES RISQUES </w:t>
      </w:r>
      <w:r w:rsidR="00572168">
        <w:rPr>
          <w:rFonts w:ascii="Arial" w:hAnsi="Arial" w:cs="Arial"/>
          <w:b/>
          <w:caps/>
          <w:lang w:val="fr-CH"/>
        </w:rPr>
        <w:br/>
      </w:r>
      <w:r w:rsidRPr="00572168">
        <w:rPr>
          <w:rFonts w:ascii="Arial" w:hAnsi="Arial" w:cs="Arial"/>
          <w:b/>
          <w:caps/>
          <w:lang w:val="fr-CH"/>
        </w:rPr>
        <w:t>DE CATASTROPHES, LA PRESTATION DE SERVICES ET LA COMMUNICATION</w:t>
      </w:r>
      <w:r w:rsidR="00CB6CE4" w:rsidRPr="00572168">
        <w:rPr>
          <w:rFonts w:ascii="Arial" w:hAnsi="Arial" w:cs="Arial"/>
          <w:b/>
          <w:caps/>
          <w:lang w:val="fr-CH"/>
        </w:rPr>
        <w:t xml:space="preserve"> </w:t>
      </w:r>
      <w:r w:rsidR="00572168">
        <w:rPr>
          <w:rFonts w:ascii="Arial" w:hAnsi="Arial" w:cs="Arial"/>
          <w:b/>
          <w:caps/>
          <w:lang w:val="fr-CH"/>
        </w:rPr>
        <w:br/>
      </w:r>
      <w:r w:rsidR="00CB6CE4" w:rsidRPr="00572168">
        <w:rPr>
          <w:rFonts w:ascii="Arial" w:hAnsi="Arial" w:cs="Arial"/>
          <w:b/>
          <w:caps/>
          <w:lang w:val="fr-CH"/>
        </w:rPr>
        <w:t>(</w:t>
      </w:r>
      <w:r w:rsidR="00B76AF3" w:rsidRPr="00572168">
        <w:rPr>
          <w:rFonts w:ascii="Arial" w:hAnsi="Arial" w:cs="Arial"/>
          <w:b/>
          <w:caps/>
          <w:lang w:val="fr-CH"/>
        </w:rPr>
        <w:t>N</w:t>
      </w:r>
      <w:r w:rsidR="00FF0B75" w:rsidRPr="00572168">
        <w:rPr>
          <w:rFonts w:ascii="Arial" w:hAnsi="Arial" w:cs="Arial"/>
          <w:b/>
          <w:lang w:val="fr-CH"/>
        </w:rPr>
        <w:t>airobi</w:t>
      </w:r>
      <w:r w:rsidR="00CB6CE4" w:rsidRPr="00572168">
        <w:rPr>
          <w:rFonts w:ascii="Arial" w:hAnsi="Arial" w:cs="Arial"/>
          <w:b/>
          <w:caps/>
          <w:lang w:val="fr-CH"/>
        </w:rPr>
        <w:t xml:space="preserve">, </w:t>
      </w:r>
      <w:r w:rsidR="00B76AF3" w:rsidRPr="00572168">
        <w:rPr>
          <w:rFonts w:ascii="Arial" w:hAnsi="Arial" w:cs="Arial"/>
          <w:b/>
          <w:caps/>
          <w:lang w:val="fr-CH"/>
        </w:rPr>
        <w:t>15</w:t>
      </w:r>
      <w:r w:rsidR="00CB6CE4" w:rsidRPr="00572168">
        <w:rPr>
          <w:rFonts w:ascii="Arial" w:hAnsi="Arial" w:cs="Arial"/>
          <w:b/>
          <w:caps/>
          <w:lang w:val="fr-CH"/>
        </w:rPr>
        <w:t>-</w:t>
      </w:r>
      <w:r w:rsidR="00B76AF3" w:rsidRPr="00572168">
        <w:rPr>
          <w:rFonts w:ascii="Arial" w:hAnsi="Arial" w:cs="Arial"/>
          <w:b/>
          <w:caps/>
          <w:lang w:val="fr-CH"/>
        </w:rPr>
        <w:t xml:space="preserve">17 </w:t>
      </w:r>
      <w:r w:rsidR="00FF0B75">
        <w:rPr>
          <w:rFonts w:ascii="Arial" w:hAnsi="Arial" w:cs="Arial"/>
          <w:b/>
          <w:lang w:val="fr-CH"/>
        </w:rPr>
        <w:t>d</w:t>
      </w:r>
      <w:r w:rsidR="00FF0B75" w:rsidRPr="00572168">
        <w:rPr>
          <w:rFonts w:ascii="Arial" w:hAnsi="Arial" w:cs="Arial"/>
          <w:b/>
          <w:lang w:val="fr-CH"/>
        </w:rPr>
        <w:t>écembre</w:t>
      </w:r>
      <w:r w:rsidRPr="00572168">
        <w:rPr>
          <w:rFonts w:ascii="Arial" w:hAnsi="Arial" w:cs="Arial"/>
          <w:b/>
          <w:caps/>
          <w:lang w:val="fr-CH"/>
        </w:rPr>
        <w:t xml:space="preserve"> </w:t>
      </w:r>
      <w:r w:rsidR="00B76AF3" w:rsidRPr="00572168">
        <w:rPr>
          <w:rFonts w:ascii="Arial" w:hAnsi="Arial" w:cs="Arial"/>
          <w:b/>
          <w:caps/>
          <w:lang w:val="fr-CH"/>
        </w:rPr>
        <w:t>2015</w:t>
      </w:r>
      <w:r w:rsidR="00CB6CE4" w:rsidRPr="00572168">
        <w:rPr>
          <w:rFonts w:ascii="Arial" w:hAnsi="Arial" w:cs="Arial"/>
          <w:b/>
          <w:caps/>
          <w:lang w:val="fr-CH"/>
        </w:rPr>
        <w:t>)</w:t>
      </w:r>
    </w:p>
    <w:p w:rsidR="00572168" w:rsidRDefault="00572168" w:rsidP="00572168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caps/>
          <w:lang w:val="fr-CH"/>
        </w:rPr>
      </w:pPr>
    </w:p>
    <w:p w:rsidR="00572168" w:rsidRPr="00572168" w:rsidRDefault="00572168" w:rsidP="00572168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caps/>
          <w:lang w:val="fr-CH"/>
        </w:rPr>
      </w:pPr>
    </w:p>
    <w:p w:rsidR="00C733B2" w:rsidRPr="00572168" w:rsidRDefault="00C400F3" w:rsidP="00572168">
      <w:pPr>
        <w:pStyle w:val="titre1"/>
      </w:pPr>
      <w:r w:rsidRPr="00572168">
        <w:t>Rappel des faits</w:t>
      </w:r>
    </w:p>
    <w:p w:rsidR="00C733B2" w:rsidRPr="00572168" w:rsidRDefault="00C733B2" w:rsidP="00572168">
      <w:pPr>
        <w:widowControl w:val="0"/>
        <w:spacing w:after="0" w:line="240" w:lineRule="auto"/>
        <w:rPr>
          <w:rFonts w:ascii="Arial" w:hAnsi="Arial" w:cs="Arial"/>
          <w:lang w:val="fr-CH"/>
        </w:rPr>
      </w:pPr>
    </w:p>
    <w:p w:rsidR="00397D53" w:rsidRPr="00572168" w:rsidRDefault="00C400F3" w:rsidP="00572168">
      <w:pPr>
        <w:pStyle w:val="titre2"/>
      </w:pPr>
      <w:r w:rsidRPr="00572168">
        <w:t xml:space="preserve">Lors de sa </w:t>
      </w:r>
      <w:r w:rsidR="00C733B2" w:rsidRPr="00572168">
        <w:t>16</w:t>
      </w:r>
      <w:r w:rsidR="00DB1525" w:rsidRPr="00572168">
        <w:rPr>
          <w:vertAlign w:val="superscript"/>
        </w:rPr>
        <w:t>e</w:t>
      </w:r>
      <w:r w:rsidR="00DB1525" w:rsidRPr="00572168">
        <w:t> </w:t>
      </w:r>
      <w:r w:rsidRPr="00572168">
        <w:t>ses</w:t>
      </w:r>
      <w:r w:rsidR="00C733B2" w:rsidRPr="00572168">
        <w:t>sion</w:t>
      </w:r>
      <w:r w:rsidRPr="00572168">
        <w:t xml:space="preserve">, qui s’est tenue à </w:t>
      </w:r>
      <w:r w:rsidR="007C5B9A" w:rsidRPr="00572168">
        <w:t>Praï</w:t>
      </w:r>
      <w:r w:rsidR="00C733B2" w:rsidRPr="00572168">
        <w:t xml:space="preserve">a </w:t>
      </w:r>
      <w:r w:rsidRPr="00572168">
        <w:t>(</w:t>
      </w:r>
      <w:r w:rsidR="00C733B2" w:rsidRPr="00572168">
        <w:t>Cabo Verde</w:t>
      </w:r>
      <w:r w:rsidRPr="00572168">
        <w:t>) du</w:t>
      </w:r>
      <w:r w:rsidR="00C733B2" w:rsidRPr="00572168">
        <w:t xml:space="preserve"> 3 </w:t>
      </w:r>
      <w:r w:rsidRPr="00572168">
        <w:t>au</w:t>
      </w:r>
      <w:r w:rsidR="00C733B2" w:rsidRPr="00572168">
        <w:t xml:space="preserve"> 9</w:t>
      </w:r>
      <w:r w:rsidRPr="00572168">
        <w:t> février </w:t>
      </w:r>
      <w:r w:rsidR="00C733B2" w:rsidRPr="00572168">
        <w:t xml:space="preserve">2015, </w:t>
      </w:r>
      <w:r w:rsidR="00DB1525" w:rsidRPr="00572168">
        <w:t>le Conseil régional</w:t>
      </w:r>
      <w:r w:rsidR="007C5B9A" w:rsidRPr="00572168">
        <w:t xml:space="preserve"> I</w:t>
      </w:r>
      <w:r w:rsidR="00DB1525" w:rsidRPr="00572168">
        <w:t xml:space="preserve"> (CR</w:t>
      </w:r>
      <w:r w:rsidR="007C5B9A" w:rsidRPr="00572168">
        <w:t> </w:t>
      </w:r>
      <w:r w:rsidR="00DB1525" w:rsidRPr="00572168">
        <w:t>I) a insisté sur la nécessité d’aligner ses méthodes de travail sur les axes stratégiques et les résultats escomptés du Plan stratégique de l’OMM, ainsi que sur les résultats escomptés d</w:t>
      </w:r>
      <w:r w:rsidR="007C5B9A" w:rsidRPr="00572168">
        <w:t>e son propre</w:t>
      </w:r>
      <w:r w:rsidR="00DB1525" w:rsidRPr="00572168">
        <w:t xml:space="preserve"> Plan stratégique. Il a donc décidé de créer plusieurs organes subsidiaires, dont le</w:t>
      </w:r>
      <w:r w:rsidR="00C733B2" w:rsidRPr="00572168">
        <w:t xml:space="preserve"> </w:t>
      </w:r>
      <w:r w:rsidR="00DB1525" w:rsidRPr="00572168">
        <w:t>«</w:t>
      </w:r>
      <w:r w:rsidR="00DB1525" w:rsidRPr="00572168">
        <w:rPr>
          <w:b/>
        </w:rPr>
        <w:t>Groupe de travail pour l’amélioration des prévisions météorologiques</w:t>
      </w:r>
      <w:r w:rsidR="00C733B2" w:rsidRPr="00572168">
        <w:rPr>
          <w:b/>
        </w:rPr>
        <w:t xml:space="preserve">, </w:t>
      </w:r>
      <w:r w:rsidR="00DB1525" w:rsidRPr="00572168">
        <w:rPr>
          <w:b/>
        </w:rPr>
        <w:t>la réduction des risques de catastrophes</w:t>
      </w:r>
      <w:r w:rsidR="00EE0835" w:rsidRPr="00572168">
        <w:rPr>
          <w:b/>
        </w:rPr>
        <w:t xml:space="preserve">, </w:t>
      </w:r>
      <w:r w:rsidR="00DB1525" w:rsidRPr="00572168">
        <w:rPr>
          <w:b/>
        </w:rPr>
        <w:t>la prestation de services et la c</w:t>
      </w:r>
      <w:r w:rsidR="00397D53" w:rsidRPr="00572168">
        <w:rPr>
          <w:b/>
        </w:rPr>
        <w:t>ommunication</w:t>
      </w:r>
      <w:r w:rsidR="00DB1525" w:rsidRPr="00572168">
        <w:t>»</w:t>
      </w:r>
      <w:r w:rsidR="00FF0B75">
        <w:t>.</w:t>
      </w:r>
    </w:p>
    <w:p w:rsidR="00397D53" w:rsidRPr="00FF0B75" w:rsidRDefault="00397D53" w:rsidP="00FF0B75">
      <w:pPr>
        <w:widowControl w:val="0"/>
        <w:spacing w:after="0" w:line="240" w:lineRule="auto"/>
        <w:rPr>
          <w:rFonts w:ascii="Arial" w:hAnsi="Arial" w:cs="Arial"/>
          <w:lang w:val="fr-CH"/>
        </w:rPr>
      </w:pPr>
    </w:p>
    <w:p w:rsidR="00397D53" w:rsidRPr="00572168" w:rsidRDefault="00DB1525" w:rsidP="00572168">
      <w:pPr>
        <w:pStyle w:val="titre2"/>
      </w:pPr>
      <w:r w:rsidRPr="00572168">
        <w:t xml:space="preserve">Le Groupe de travail </w:t>
      </w:r>
      <w:r w:rsidR="007C5B9A" w:rsidRPr="00572168">
        <w:t>est composé de</w:t>
      </w:r>
      <w:r w:rsidR="00397D53" w:rsidRPr="00572168">
        <w:t>:</w:t>
      </w:r>
    </w:p>
    <w:p w:rsidR="00397D53" w:rsidRPr="00572168" w:rsidRDefault="00397D53" w:rsidP="00572168">
      <w:pPr>
        <w:widowControl w:val="0"/>
        <w:spacing w:after="0" w:line="240" w:lineRule="auto"/>
        <w:rPr>
          <w:rFonts w:ascii="Arial" w:hAnsi="Arial" w:cs="Arial"/>
          <w:lang w:val="fr-CH"/>
        </w:rPr>
      </w:pPr>
    </w:p>
    <w:p w:rsidR="00397D53" w:rsidRDefault="00DB1525" w:rsidP="00FF0B75">
      <w:pPr>
        <w:pStyle w:val="a"/>
        <w:jc w:val="both"/>
      </w:pPr>
      <w:r w:rsidRPr="00572168">
        <w:t xml:space="preserve">Deux </w:t>
      </w:r>
      <w:r w:rsidR="00CB6CE4" w:rsidRPr="00572168">
        <w:t>spécialistes</w:t>
      </w:r>
      <w:r w:rsidR="00397D53" w:rsidRPr="00572168">
        <w:t xml:space="preserve"> </w:t>
      </w:r>
      <w:r w:rsidRPr="00572168">
        <w:t>de la prévention des catastrophes et de l’atténuation de leurs effets;</w:t>
      </w:r>
    </w:p>
    <w:p w:rsidR="00572168" w:rsidRPr="00FF0B75" w:rsidRDefault="00572168" w:rsidP="00FF0B75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</w:p>
    <w:p w:rsidR="00397D53" w:rsidRDefault="00DB1525" w:rsidP="00FF0B75">
      <w:pPr>
        <w:pStyle w:val="a"/>
        <w:jc w:val="both"/>
      </w:pPr>
      <w:r w:rsidRPr="00572168">
        <w:t xml:space="preserve">Deux </w:t>
      </w:r>
      <w:r w:rsidR="00CB6CE4" w:rsidRPr="00572168">
        <w:t xml:space="preserve">spécialistes </w:t>
      </w:r>
      <w:r w:rsidRPr="00572168">
        <w:t>des services océanographiques et de météorologie maritime</w:t>
      </w:r>
      <w:r w:rsidR="00397D53" w:rsidRPr="00572168">
        <w:t>;</w:t>
      </w:r>
    </w:p>
    <w:p w:rsidR="00572168" w:rsidRPr="00FF0B75" w:rsidRDefault="00572168" w:rsidP="00FF0B75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</w:p>
    <w:p w:rsidR="00DB1525" w:rsidRDefault="00DB1525" w:rsidP="00FF0B75">
      <w:pPr>
        <w:pStyle w:val="a"/>
        <w:jc w:val="both"/>
      </w:pPr>
      <w:r w:rsidRPr="00572168">
        <w:t xml:space="preserve">Deux </w:t>
      </w:r>
      <w:r w:rsidR="00CB6CE4" w:rsidRPr="00572168">
        <w:t xml:space="preserve">spécialistes </w:t>
      </w:r>
      <w:r w:rsidRPr="00572168">
        <w:t>de la prévision numérique du temps</w:t>
      </w:r>
      <w:r w:rsidR="00CB6CE4" w:rsidRPr="00572168">
        <w:t>, de son développement et de ses</w:t>
      </w:r>
      <w:r w:rsidR="007C5B9A" w:rsidRPr="00572168">
        <w:t xml:space="preserve"> applications</w:t>
      </w:r>
      <w:r w:rsidRPr="00572168">
        <w:t>, depuis l</w:t>
      </w:r>
      <w:r w:rsidR="00CB6CE4" w:rsidRPr="00572168">
        <w:t>a</w:t>
      </w:r>
      <w:r w:rsidRPr="00572168">
        <w:t xml:space="preserve"> prévision immédiate jusqu’</w:t>
      </w:r>
      <w:r w:rsidR="00CB6CE4" w:rsidRPr="00572168">
        <w:t xml:space="preserve">à la </w:t>
      </w:r>
      <w:r w:rsidRPr="00572168">
        <w:t>prévision à moyenne échéance;</w:t>
      </w:r>
    </w:p>
    <w:p w:rsidR="00572168" w:rsidRPr="00FF0B75" w:rsidRDefault="00572168" w:rsidP="00FF0B75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</w:p>
    <w:p w:rsidR="001C3CC1" w:rsidRDefault="00DB1525" w:rsidP="00FF0B75">
      <w:pPr>
        <w:pStyle w:val="a"/>
        <w:jc w:val="both"/>
      </w:pPr>
      <w:r w:rsidRPr="00572168">
        <w:t>Deux</w:t>
      </w:r>
      <w:r w:rsidR="00443D9A" w:rsidRPr="00572168">
        <w:t xml:space="preserve"> </w:t>
      </w:r>
      <w:r w:rsidR="00CB6CE4" w:rsidRPr="00572168">
        <w:t xml:space="preserve">spécialistes </w:t>
      </w:r>
      <w:r w:rsidRPr="00572168">
        <w:t xml:space="preserve">de </w:t>
      </w:r>
      <w:r w:rsidR="00CB6CE4" w:rsidRPr="00572168">
        <w:t>l’intégration</w:t>
      </w:r>
      <w:r w:rsidRPr="00572168">
        <w:t xml:space="preserve"> de</w:t>
      </w:r>
      <w:r w:rsidR="00CB6CE4" w:rsidRPr="00572168">
        <w:t>s</w:t>
      </w:r>
      <w:r w:rsidRPr="00572168">
        <w:t xml:space="preserve"> services, y compris </w:t>
      </w:r>
      <w:r w:rsidR="007C5B9A" w:rsidRPr="00572168">
        <w:t>d</w:t>
      </w:r>
      <w:r w:rsidRPr="00572168">
        <w:t>es services météorologiques destinés au public (médias, sciences sociales, communication, etc.).</w:t>
      </w:r>
    </w:p>
    <w:p w:rsidR="00572168" w:rsidRPr="00FF0B75" w:rsidRDefault="00572168" w:rsidP="00FF0B75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</w:p>
    <w:p w:rsidR="001C3CC1" w:rsidRDefault="00DB1525" w:rsidP="00FF0B75">
      <w:pPr>
        <w:pStyle w:val="titre2"/>
      </w:pPr>
      <w:r w:rsidRPr="00572168">
        <w:t>Le CR I comprend également les organes subsidiaires suivants</w:t>
      </w:r>
      <w:r w:rsidR="001C3CC1" w:rsidRPr="00572168">
        <w:t>:</w:t>
      </w:r>
    </w:p>
    <w:p w:rsidR="00572168" w:rsidRPr="00572168" w:rsidRDefault="00572168" w:rsidP="00FF0B75">
      <w:pPr>
        <w:pStyle w:val="titre2"/>
        <w:numPr>
          <w:ilvl w:val="0"/>
          <w:numId w:val="0"/>
        </w:numPr>
      </w:pPr>
    </w:p>
    <w:p w:rsidR="00572168" w:rsidRPr="00FF0B75" w:rsidRDefault="00DB1525" w:rsidP="00FF0B75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clear" w:pos="1134"/>
        </w:tabs>
        <w:spacing w:before="0"/>
        <w:ind w:left="868" w:hanging="868"/>
        <w:rPr>
          <w:rFonts w:eastAsiaTheme="minorEastAsia"/>
          <w:b w:val="0"/>
          <w:i w:val="0"/>
          <w:szCs w:val="22"/>
          <w:lang w:val="fr-CH"/>
        </w:rPr>
      </w:pPr>
      <w:r w:rsidRPr="00FF0B75">
        <w:rPr>
          <w:rFonts w:eastAsiaTheme="minorEastAsia"/>
          <w:b w:val="0"/>
          <w:i w:val="0"/>
          <w:szCs w:val="22"/>
          <w:lang w:val="fr-CH"/>
        </w:rPr>
        <w:t>Le Groupe de gestion</w:t>
      </w:r>
      <w:r w:rsidR="001C3CC1" w:rsidRPr="00FF0B75">
        <w:rPr>
          <w:rFonts w:eastAsiaTheme="minorEastAsia"/>
          <w:b w:val="0"/>
          <w:i w:val="0"/>
          <w:szCs w:val="22"/>
          <w:lang w:val="fr-CH"/>
        </w:rPr>
        <w:t>;</w:t>
      </w:r>
    </w:p>
    <w:p w:rsidR="00572168" w:rsidRPr="00FF0B75" w:rsidRDefault="00572168" w:rsidP="00FF0B75">
      <w:pPr>
        <w:spacing w:after="0"/>
        <w:jc w:val="both"/>
        <w:rPr>
          <w:rFonts w:ascii="Arial" w:hAnsi="Arial" w:cs="Arial"/>
          <w:lang w:val="fr-CH"/>
        </w:rPr>
      </w:pPr>
    </w:p>
    <w:p w:rsidR="001C3CC1" w:rsidRPr="00FF0B75" w:rsidRDefault="00DB1525" w:rsidP="00FF0B75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clear" w:pos="1134"/>
        </w:tabs>
        <w:spacing w:before="0"/>
        <w:ind w:left="868" w:hanging="868"/>
        <w:rPr>
          <w:rFonts w:eastAsiaTheme="minorEastAsia"/>
          <w:b w:val="0"/>
          <w:i w:val="0"/>
          <w:szCs w:val="22"/>
          <w:lang w:val="fr-CH"/>
        </w:rPr>
      </w:pPr>
      <w:r w:rsidRPr="00FF0B75">
        <w:rPr>
          <w:rFonts w:eastAsiaTheme="minorEastAsia"/>
          <w:b w:val="0"/>
          <w:i w:val="0"/>
          <w:szCs w:val="22"/>
          <w:lang w:val="fr-CH"/>
        </w:rPr>
        <w:t>Le Groupe de travail pour les observations, les télécommunications et les infrastructures;</w:t>
      </w:r>
    </w:p>
    <w:p w:rsidR="00572168" w:rsidRPr="00FF0B75" w:rsidRDefault="00572168" w:rsidP="00FF0B75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:rsidR="001C3CC1" w:rsidRPr="00FF0B75" w:rsidRDefault="00DB1525" w:rsidP="00FF0B75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clear" w:pos="1134"/>
        </w:tabs>
        <w:spacing w:before="0"/>
        <w:ind w:left="868" w:hanging="868"/>
        <w:rPr>
          <w:rFonts w:eastAsiaTheme="minorEastAsia"/>
          <w:b w:val="0"/>
          <w:i w:val="0"/>
          <w:szCs w:val="22"/>
          <w:lang w:val="fr-CH"/>
        </w:rPr>
      </w:pPr>
      <w:r w:rsidRPr="00FF0B75">
        <w:rPr>
          <w:rFonts w:eastAsiaTheme="minorEastAsia"/>
          <w:b w:val="0"/>
          <w:i w:val="0"/>
          <w:szCs w:val="22"/>
          <w:lang w:val="fr-CH"/>
        </w:rPr>
        <w:t>Le Groupe de travail des services et applications climatologiques;</w:t>
      </w:r>
    </w:p>
    <w:p w:rsidR="00572168" w:rsidRPr="00FF0B75" w:rsidRDefault="00572168" w:rsidP="00FF0B75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:rsidR="001C3CC1" w:rsidRPr="00FF0B75" w:rsidRDefault="00DB1525" w:rsidP="00FF0B75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clear" w:pos="1134"/>
        </w:tabs>
        <w:spacing w:before="0"/>
        <w:ind w:left="868" w:hanging="868"/>
        <w:rPr>
          <w:rFonts w:eastAsiaTheme="minorEastAsia"/>
          <w:b w:val="0"/>
          <w:i w:val="0"/>
          <w:szCs w:val="22"/>
          <w:lang w:val="fr-CH"/>
        </w:rPr>
      </w:pPr>
      <w:r w:rsidRPr="00FF0B75">
        <w:rPr>
          <w:rFonts w:eastAsiaTheme="minorEastAsia"/>
          <w:b w:val="0"/>
          <w:i w:val="0"/>
          <w:szCs w:val="22"/>
          <w:lang w:val="fr-CH"/>
        </w:rPr>
        <w:t>Le Groupe de travail de l’hydrologie et des ressources en eau;</w:t>
      </w:r>
    </w:p>
    <w:p w:rsidR="00572168" w:rsidRPr="00FF0B75" w:rsidRDefault="00572168" w:rsidP="00FF0B75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:rsidR="001C3CC1" w:rsidRPr="00FF0B75" w:rsidRDefault="00DB1525" w:rsidP="00FF0B75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clear" w:pos="1134"/>
        </w:tabs>
        <w:spacing w:before="0"/>
        <w:ind w:left="868" w:hanging="868"/>
        <w:rPr>
          <w:rFonts w:eastAsiaTheme="minorEastAsia"/>
          <w:b w:val="0"/>
          <w:i w:val="0"/>
          <w:szCs w:val="22"/>
          <w:lang w:val="fr-CH"/>
        </w:rPr>
      </w:pPr>
      <w:r w:rsidRPr="00FF0B75">
        <w:rPr>
          <w:rFonts w:eastAsiaTheme="minorEastAsia"/>
          <w:b w:val="0"/>
          <w:i w:val="0"/>
          <w:szCs w:val="22"/>
          <w:lang w:val="fr-CH"/>
        </w:rPr>
        <w:t>Le Groupe de travail pour les questions liées à la conformité des services de météorologie maritime et aéronautique et au recouvrement des coûts;</w:t>
      </w:r>
    </w:p>
    <w:p w:rsidR="00572168" w:rsidRPr="00FF0B75" w:rsidRDefault="00572168" w:rsidP="00FF0B75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:rsidR="001C3CC1" w:rsidRPr="00FF0B75" w:rsidRDefault="00DB1525" w:rsidP="00FF0B75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clear" w:pos="1134"/>
        </w:tabs>
        <w:spacing w:before="0"/>
        <w:ind w:left="868" w:hanging="868"/>
        <w:rPr>
          <w:rFonts w:eastAsiaTheme="minorEastAsia"/>
          <w:b w:val="0"/>
          <w:i w:val="0"/>
          <w:szCs w:val="22"/>
          <w:lang w:val="fr-CH"/>
        </w:rPr>
      </w:pPr>
      <w:r w:rsidRPr="00FF0B75">
        <w:rPr>
          <w:rFonts w:eastAsiaTheme="minorEastAsia"/>
          <w:b w:val="0"/>
          <w:i w:val="0"/>
          <w:szCs w:val="22"/>
          <w:lang w:val="fr-CH"/>
        </w:rPr>
        <w:t>Le Comité des cyclones tropicaux pour le sud-ouest de l’océan Indien;</w:t>
      </w:r>
    </w:p>
    <w:p w:rsidR="00572168" w:rsidRPr="00FF0B75" w:rsidRDefault="00572168" w:rsidP="00FF0B75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:rsidR="001C3CC1" w:rsidRPr="00FF0B75" w:rsidRDefault="00DB1525" w:rsidP="00FF0B75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clear" w:pos="1134"/>
        </w:tabs>
        <w:spacing w:before="0"/>
        <w:ind w:left="868" w:hanging="868"/>
        <w:rPr>
          <w:rFonts w:eastAsiaTheme="minorEastAsia"/>
          <w:b w:val="0"/>
          <w:i w:val="0"/>
          <w:szCs w:val="22"/>
          <w:lang w:val="fr-CH"/>
        </w:rPr>
      </w:pPr>
      <w:r w:rsidRPr="00FF0B75">
        <w:rPr>
          <w:rFonts w:eastAsiaTheme="minorEastAsia"/>
          <w:b w:val="0"/>
          <w:i w:val="0"/>
          <w:szCs w:val="22"/>
          <w:lang w:val="fr-CH"/>
        </w:rPr>
        <w:t>L’Équipe spéciale pour la météorologie aéronautique;</w:t>
      </w:r>
    </w:p>
    <w:p w:rsidR="00572168" w:rsidRPr="00FF0B75" w:rsidRDefault="00572168" w:rsidP="00FF0B75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:rsidR="001C3CC1" w:rsidRPr="00FF0B75" w:rsidRDefault="00DB1525" w:rsidP="00FF0B75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clear" w:pos="1134"/>
        </w:tabs>
        <w:spacing w:before="0"/>
        <w:ind w:left="868" w:hanging="868"/>
        <w:rPr>
          <w:rFonts w:eastAsiaTheme="minorEastAsia"/>
          <w:b w:val="0"/>
          <w:i w:val="0"/>
          <w:szCs w:val="22"/>
          <w:lang w:val="fr-CH"/>
        </w:rPr>
      </w:pPr>
      <w:r w:rsidRPr="00FF0B75">
        <w:rPr>
          <w:rFonts w:eastAsiaTheme="minorEastAsia"/>
          <w:b w:val="0"/>
          <w:i w:val="0"/>
          <w:szCs w:val="22"/>
          <w:lang w:val="fr-CH"/>
        </w:rPr>
        <w:t>L’Équipe spéciale pour le WIGOS.</w:t>
      </w:r>
    </w:p>
    <w:p w:rsidR="00C733B2" w:rsidRPr="00FF0B75" w:rsidRDefault="00C733B2" w:rsidP="00FF0B75">
      <w:pPr>
        <w:widowControl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5442DA" w:rsidRPr="00572168" w:rsidRDefault="00DB1525" w:rsidP="00FF0B75">
      <w:pPr>
        <w:pStyle w:val="titre2"/>
      </w:pPr>
      <w:r w:rsidRPr="00572168">
        <w:t xml:space="preserve">Le programme de travail du Groupe consiste </w:t>
      </w:r>
      <w:r w:rsidR="0060279B" w:rsidRPr="00572168">
        <w:t>à</w:t>
      </w:r>
      <w:r w:rsidRPr="00572168">
        <w:t xml:space="preserve"> mettre en œuvre les </w:t>
      </w:r>
      <w:r w:rsidR="00CB6CE4" w:rsidRPr="00572168">
        <w:t xml:space="preserve">volets </w:t>
      </w:r>
      <w:r w:rsidRPr="00572168">
        <w:t xml:space="preserve">régionaux du Plan stratégique de l’OMM pendant l’intersession. Le Groupe de travail a toute latitude pour proposer au Groupe de gestion du CR I la création d’un nombre </w:t>
      </w:r>
      <w:r w:rsidR="0060279B" w:rsidRPr="00572168">
        <w:t>raisonnable</w:t>
      </w:r>
      <w:r w:rsidRPr="00572168">
        <w:t xml:space="preserve"> d’équipes spéciales </w:t>
      </w:r>
      <w:r w:rsidR="00CB6CE4" w:rsidRPr="00572168">
        <w:t>censées contribuer à l’exécution du</w:t>
      </w:r>
      <w:r w:rsidR="00FF0B75">
        <w:t xml:space="preserve"> programme de travail.</w:t>
      </w:r>
    </w:p>
    <w:p w:rsidR="00DB1525" w:rsidRPr="00572168" w:rsidRDefault="00DB1525" w:rsidP="00FF0B75">
      <w:pPr>
        <w:widowControl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FA5465" w:rsidRPr="00572168" w:rsidRDefault="00CB6CE4" w:rsidP="00FF0B75">
      <w:pPr>
        <w:pStyle w:val="titre2"/>
      </w:pPr>
      <w:r w:rsidRPr="00572168">
        <w:t>L</w:t>
      </w:r>
      <w:r w:rsidR="00DB1525" w:rsidRPr="00572168">
        <w:t>es groupes de travail du CR I</w:t>
      </w:r>
      <w:r w:rsidRPr="00572168">
        <w:t xml:space="preserve"> collaborent pour les questions interdisciplinaires</w:t>
      </w:r>
      <w:r w:rsidR="00DB1525" w:rsidRPr="00572168">
        <w:t>, chacun fournissant les compétences nécessaires. Le Groupe de gestion facilite le processus de coordination.</w:t>
      </w:r>
    </w:p>
    <w:p w:rsidR="00535B79" w:rsidRPr="00572168" w:rsidRDefault="00535B79" w:rsidP="00FF0B75">
      <w:pPr>
        <w:pStyle w:val="titre1"/>
        <w:jc w:val="both"/>
      </w:pPr>
      <w:r w:rsidRPr="00572168">
        <w:lastRenderedPageBreak/>
        <w:t>Objecti</w:t>
      </w:r>
      <w:r w:rsidR="00DB1525" w:rsidRPr="00572168">
        <w:t>fs de la réunion</w:t>
      </w:r>
    </w:p>
    <w:p w:rsidR="00997F5C" w:rsidRPr="00FF0B75" w:rsidRDefault="00997F5C" w:rsidP="00FF0B75">
      <w:pPr>
        <w:widowControl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840101" w:rsidRPr="00572168" w:rsidRDefault="00CB6CE4" w:rsidP="00FF0B75">
      <w:pPr>
        <w:pStyle w:val="titre2"/>
      </w:pPr>
      <w:r w:rsidRPr="00572168">
        <w:t>Définir</w:t>
      </w:r>
      <w:r w:rsidR="00DB1525" w:rsidRPr="00572168">
        <w:t xml:space="preserve"> le mandat du Groupe de travail pour l’amélioration des prévisions météorologiques, la réduction des risques de catastrophes, la prestation de services et la communication </w:t>
      </w:r>
      <w:r w:rsidR="006E7EE2" w:rsidRPr="00572168">
        <w:t xml:space="preserve">en vue de </w:t>
      </w:r>
      <w:r w:rsidRPr="00572168">
        <w:t>le soumettre au</w:t>
      </w:r>
      <w:r w:rsidR="00DB1525" w:rsidRPr="00572168">
        <w:t xml:space="preserve"> Groupe de gestion</w:t>
      </w:r>
      <w:r w:rsidR="00FF0B75">
        <w:t>.</w:t>
      </w:r>
    </w:p>
    <w:p w:rsidR="00997F5C" w:rsidRPr="00FF0B75" w:rsidRDefault="00997F5C" w:rsidP="00FF0B75">
      <w:pPr>
        <w:widowControl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997F5C" w:rsidRPr="00572168" w:rsidRDefault="00DB1525" w:rsidP="00FF0B75">
      <w:pPr>
        <w:pStyle w:val="titre2"/>
      </w:pPr>
      <w:r w:rsidRPr="00572168">
        <w:t xml:space="preserve">Examiner le Plan stratégique de l’OMM et convenir des tâches </w:t>
      </w:r>
      <w:r w:rsidR="00CB6CE4" w:rsidRPr="00572168">
        <w:t xml:space="preserve">susceptibles de contribuer à la mise </w:t>
      </w:r>
      <w:r w:rsidRPr="00572168">
        <w:t xml:space="preserve">en œuvre </w:t>
      </w:r>
      <w:r w:rsidR="00CB6CE4" w:rsidRPr="00572168">
        <w:t>d</w:t>
      </w:r>
      <w:r w:rsidRPr="00572168">
        <w:t xml:space="preserve">es </w:t>
      </w:r>
      <w:r w:rsidR="00CB6CE4" w:rsidRPr="00572168">
        <w:t xml:space="preserve">volets </w:t>
      </w:r>
      <w:r w:rsidRPr="00572168">
        <w:t xml:space="preserve">régionaux </w:t>
      </w:r>
      <w:r w:rsidR="006E7EE2" w:rsidRPr="00572168">
        <w:t xml:space="preserve">de ce </w:t>
      </w:r>
      <w:r w:rsidR="00CB6CE4" w:rsidRPr="00572168">
        <w:t>p</w:t>
      </w:r>
      <w:r w:rsidR="006E7EE2" w:rsidRPr="00572168">
        <w:t xml:space="preserve">lan </w:t>
      </w:r>
      <w:r w:rsidRPr="00572168">
        <w:t xml:space="preserve">qui relèvent de la </w:t>
      </w:r>
      <w:r w:rsidR="00CB6CE4" w:rsidRPr="00572168">
        <w:t>compétence</w:t>
      </w:r>
      <w:r w:rsidRPr="00572168">
        <w:t xml:space="preserve"> du Groupe de travail</w:t>
      </w:r>
      <w:r w:rsidR="008722D8" w:rsidRPr="00572168">
        <w:t xml:space="preserve">, </w:t>
      </w:r>
      <w:r w:rsidRPr="00572168">
        <w:t>à savoir la prévision météorologique</w:t>
      </w:r>
      <w:r w:rsidR="008722D8" w:rsidRPr="00572168">
        <w:t xml:space="preserve">, </w:t>
      </w:r>
      <w:r w:rsidRPr="00572168">
        <w:t xml:space="preserve">la </w:t>
      </w:r>
      <w:r w:rsidR="00CB6CE4" w:rsidRPr="00572168">
        <w:t>prévention des</w:t>
      </w:r>
      <w:r w:rsidRPr="00572168">
        <w:t xml:space="preserve"> catastrophes et la prestation de services</w:t>
      </w:r>
      <w:r w:rsidR="00FF0B75">
        <w:t>.</w:t>
      </w:r>
    </w:p>
    <w:p w:rsidR="0066773A" w:rsidRPr="00572168" w:rsidRDefault="0066773A" w:rsidP="00FF0B75">
      <w:pPr>
        <w:pStyle w:val="titre2"/>
        <w:numPr>
          <w:ilvl w:val="0"/>
          <w:numId w:val="0"/>
        </w:numPr>
      </w:pPr>
    </w:p>
    <w:p w:rsidR="0066773A" w:rsidRPr="00572168" w:rsidRDefault="00DB1525" w:rsidP="00FF0B75">
      <w:pPr>
        <w:pStyle w:val="titre2"/>
      </w:pPr>
      <w:r w:rsidRPr="00572168">
        <w:t xml:space="preserve">Examiner les </w:t>
      </w:r>
      <w:r w:rsidR="0066773A" w:rsidRPr="00572168">
        <w:t>d</w:t>
      </w:r>
      <w:r w:rsidRPr="00572168">
        <w:t>é</w:t>
      </w:r>
      <w:r w:rsidR="0066773A" w:rsidRPr="00572168">
        <w:t xml:space="preserve">cisions </w:t>
      </w:r>
      <w:r w:rsidR="006E7EE2" w:rsidRPr="00572168">
        <w:t xml:space="preserve">concernant le Groupe de travail qui ont été </w:t>
      </w:r>
      <w:r w:rsidRPr="00572168">
        <w:t xml:space="preserve">prises lors de la </w:t>
      </w:r>
      <w:r w:rsidR="00FF0B75">
        <w:br/>
      </w:r>
      <w:r w:rsidR="00CB6CE4" w:rsidRPr="00572168">
        <w:t xml:space="preserve">seizième </w:t>
      </w:r>
      <w:r w:rsidRPr="00572168">
        <w:t xml:space="preserve">session du </w:t>
      </w:r>
      <w:r w:rsidR="00CB6CE4" w:rsidRPr="00572168">
        <w:t xml:space="preserve">Conseil régional </w:t>
      </w:r>
      <w:r w:rsidR="0066773A" w:rsidRPr="00572168">
        <w:t xml:space="preserve">I </w:t>
      </w:r>
      <w:r w:rsidR="00CB6CE4" w:rsidRPr="00572168">
        <w:t xml:space="preserve">et du </w:t>
      </w:r>
      <w:r w:rsidR="0066773A" w:rsidRPr="00572168">
        <w:t>17</w:t>
      </w:r>
      <w:r w:rsidRPr="00572168">
        <w:rPr>
          <w:vertAlign w:val="superscript"/>
        </w:rPr>
        <w:t>e </w:t>
      </w:r>
      <w:r w:rsidRPr="00572168">
        <w:t>Congrès météorologique mondial</w:t>
      </w:r>
      <w:r w:rsidR="0066773A" w:rsidRPr="00572168">
        <w:t xml:space="preserve"> </w:t>
      </w:r>
      <w:r w:rsidRPr="00572168">
        <w:t xml:space="preserve">et </w:t>
      </w:r>
      <w:r w:rsidR="00CB6CE4" w:rsidRPr="00572168">
        <w:t xml:space="preserve">faire </w:t>
      </w:r>
      <w:r w:rsidRPr="00572168">
        <w:t>des recommandations quant au meilleur moyen de les mettre en application</w:t>
      </w:r>
      <w:r w:rsidR="00FF0B75">
        <w:t>.</w:t>
      </w:r>
    </w:p>
    <w:p w:rsidR="00997F5C" w:rsidRPr="00572168" w:rsidRDefault="00997F5C" w:rsidP="00FF0B75">
      <w:pPr>
        <w:pStyle w:val="titre2"/>
        <w:numPr>
          <w:ilvl w:val="0"/>
          <w:numId w:val="0"/>
        </w:numPr>
      </w:pPr>
    </w:p>
    <w:p w:rsidR="00997F5C" w:rsidRPr="00572168" w:rsidRDefault="00DB1525" w:rsidP="00FF0B75">
      <w:pPr>
        <w:pStyle w:val="titre2"/>
      </w:pPr>
      <w:r w:rsidRPr="00572168">
        <w:t>Suggérer des mécanismes</w:t>
      </w:r>
      <w:r w:rsidR="00997F5C" w:rsidRPr="00572168">
        <w:t xml:space="preserve"> (</w:t>
      </w:r>
      <w:r w:rsidRPr="00572168">
        <w:t>par ex., des équipes spéciales</w:t>
      </w:r>
      <w:r w:rsidR="00997F5C" w:rsidRPr="00572168">
        <w:t xml:space="preserve">) </w:t>
      </w:r>
      <w:r w:rsidR="006E7EE2" w:rsidRPr="00572168">
        <w:t xml:space="preserve">pour </w:t>
      </w:r>
      <w:r w:rsidR="00CB6CE4" w:rsidRPr="00572168">
        <w:t>l’exécution des</w:t>
      </w:r>
      <w:r w:rsidRPr="00572168">
        <w:t xml:space="preserve"> tâches spécifiques </w:t>
      </w:r>
      <w:r w:rsidR="00CB6CE4" w:rsidRPr="00572168">
        <w:t>à l’attention du</w:t>
      </w:r>
      <w:r w:rsidR="00D17C5E" w:rsidRPr="00572168">
        <w:t xml:space="preserve"> </w:t>
      </w:r>
      <w:r w:rsidRPr="00572168">
        <w:t>Groupe de gestion</w:t>
      </w:r>
      <w:r w:rsidR="00FF0B75">
        <w:t>.</w:t>
      </w:r>
    </w:p>
    <w:p w:rsidR="00C1348A" w:rsidRPr="00572168" w:rsidRDefault="00C1348A" w:rsidP="00FF0B75">
      <w:pPr>
        <w:pStyle w:val="titre2"/>
        <w:numPr>
          <w:ilvl w:val="0"/>
          <w:numId w:val="0"/>
        </w:numPr>
      </w:pPr>
    </w:p>
    <w:p w:rsidR="00C1348A" w:rsidRPr="00572168" w:rsidRDefault="00DB1525" w:rsidP="00FF0B75">
      <w:pPr>
        <w:pStyle w:val="titre2"/>
      </w:pPr>
      <w:r w:rsidRPr="00572168">
        <w:t>Convenir d’un plan de travail pour l’inter</w:t>
      </w:r>
      <w:r w:rsidR="00CB6CE4" w:rsidRPr="00572168">
        <w:t>s</w:t>
      </w:r>
      <w:r w:rsidRPr="00572168">
        <w:t>ession</w:t>
      </w:r>
      <w:r w:rsidR="00C1348A" w:rsidRPr="00572168">
        <w:t>.</w:t>
      </w:r>
    </w:p>
    <w:p w:rsidR="00F63B9C" w:rsidRPr="00572168" w:rsidRDefault="00F63B9C" w:rsidP="00FF0B75">
      <w:pPr>
        <w:widowControl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F63B9C" w:rsidRDefault="006E7EE2" w:rsidP="00FF0B75">
      <w:pPr>
        <w:pStyle w:val="titre1"/>
        <w:jc w:val="both"/>
      </w:pPr>
      <w:r w:rsidRPr="00572168">
        <w:t>Participants</w:t>
      </w:r>
    </w:p>
    <w:p w:rsidR="00572168" w:rsidRPr="00572168" w:rsidRDefault="00572168" w:rsidP="00FF0B75">
      <w:pPr>
        <w:pStyle w:val="titre1"/>
        <w:numPr>
          <w:ilvl w:val="0"/>
          <w:numId w:val="0"/>
        </w:numPr>
        <w:jc w:val="both"/>
      </w:pPr>
    </w:p>
    <w:p w:rsidR="001213B1" w:rsidRDefault="00572168" w:rsidP="00FF0B75">
      <w:pPr>
        <w:pStyle w:val="texte"/>
      </w:pPr>
      <w:r>
        <w:tab/>
      </w:r>
      <w:r w:rsidR="00CB6CE4" w:rsidRPr="00572168">
        <w:t>Le</w:t>
      </w:r>
      <w:r w:rsidR="00DB1525" w:rsidRPr="00572168">
        <w:t xml:space="preserve"> Secrétariat de l’OMM</w:t>
      </w:r>
      <w:r w:rsidR="00CB6CE4" w:rsidRPr="00572168">
        <w:t>,</w:t>
      </w:r>
      <w:r w:rsidR="006E7EE2" w:rsidRPr="00572168">
        <w:t xml:space="preserve"> </w:t>
      </w:r>
      <w:r w:rsidR="00CB6CE4" w:rsidRPr="00572168">
        <w:t>l</w:t>
      </w:r>
      <w:r w:rsidR="00DB1525" w:rsidRPr="00572168">
        <w:t xml:space="preserve">es services météorologiques </w:t>
      </w:r>
      <w:r w:rsidR="00CB6CE4" w:rsidRPr="00572168">
        <w:t xml:space="preserve">et hydrologiques </w:t>
      </w:r>
      <w:r w:rsidR="00DB1525" w:rsidRPr="00572168">
        <w:t>nationaux</w:t>
      </w:r>
      <w:r w:rsidR="00EA493E" w:rsidRPr="00572168">
        <w:t xml:space="preserve"> (S</w:t>
      </w:r>
      <w:r w:rsidR="00DB1525" w:rsidRPr="00572168">
        <w:t>MHN</w:t>
      </w:r>
      <w:r w:rsidR="00EA493E" w:rsidRPr="00572168">
        <w:t>)</w:t>
      </w:r>
      <w:r w:rsidR="00CB6CE4" w:rsidRPr="00572168">
        <w:t xml:space="preserve"> et le Groupe de gestion du CR</w:t>
      </w:r>
      <w:r w:rsidR="00FF0B75">
        <w:t xml:space="preserve"> </w:t>
      </w:r>
      <w:r w:rsidR="00CB6CE4" w:rsidRPr="00572168">
        <w:t>I seront représentés à la réunion du Groupe de travail</w:t>
      </w:r>
      <w:r w:rsidR="00F63B9C" w:rsidRPr="00572168">
        <w:t>.</w:t>
      </w:r>
    </w:p>
    <w:p w:rsidR="00572168" w:rsidRPr="00572168" w:rsidRDefault="00572168" w:rsidP="00FF0B75">
      <w:pPr>
        <w:pStyle w:val="texte"/>
      </w:pPr>
    </w:p>
    <w:p w:rsidR="001213B1" w:rsidRPr="00572168" w:rsidRDefault="00CB6CE4" w:rsidP="00FF0B75">
      <w:pPr>
        <w:pStyle w:val="titre1"/>
        <w:jc w:val="both"/>
      </w:pPr>
      <w:r w:rsidRPr="00572168">
        <w:t>Déroulement de la réunion</w:t>
      </w:r>
    </w:p>
    <w:p w:rsidR="00BD1FB2" w:rsidRPr="00572168" w:rsidRDefault="00BD1FB2" w:rsidP="00FF0B75">
      <w:pPr>
        <w:widowControl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B9153A" w:rsidRPr="00572168" w:rsidRDefault="00D17C5E" w:rsidP="00FF0B75">
      <w:pPr>
        <w:pStyle w:val="titre2"/>
      </w:pPr>
      <w:r w:rsidRPr="00572168">
        <w:t>L</w:t>
      </w:r>
      <w:r w:rsidR="00DB1525" w:rsidRPr="00572168">
        <w:t xml:space="preserve">es membres du </w:t>
      </w:r>
      <w:r w:rsidR="006E7EE2" w:rsidRPr="00572168">
        <w:t>G</w:t>
      </w:r>
      <w:r w:rsidR="00DB1525" w:rsidRPr="00572168">
        <w:t xml:space="preserve">roupe de travail </w:t>
      </w:r>
      <w:r w:rsidRPr="00572168">
        <w:t xml:space="preserve">commenceront par faire des </w:t>
      </w:r>
      <w:r w:rsidR="00CB6CE4" w:rsidRPr="00572168">
        <w:t>exposés</w:t>
      </w:r>
      <w:r w:rsidR="00DB1525" w:rsidRPr="00572168">
        <w:t xml:space="preserve"> dans leur</w:t>
      </w:r>
      <w:r w:rsidR="006E7EE2" w:rsidRPr="00572168">
        <w:t>s</w:t>
      </w:r>
      <w:r w:rsidR="00DB1525" w:rsidRPr="00572168">
        <w:t xml:space="preserve"> domaine</w:t>
      </w:r>
      <w:r w:rsidR="006E7EE2" w:rsidRPr="00572168">
        <w:t>s</w:t>
      </w:r>
      <w:r w:rsidR="00DB1525" w:rsidRPr="00572168">
        <w:t xml:space="preserve"> de compétence </w:t>
      </w:r>
      <w:r w:rsidR="006E7EE2" w:rsidRPr="00572168">
        <w:t xml:space="preserve">respectifs </w:t>
      </w:r>
      <w:r w:rsidR="00DB1525" w:rsidRPr="00572168">
        <w:t xml:space="preserve">afin de mettre en avant des points </w:t>
      </w:r>
      <w:r w:rsidR="00CB6CE4" w:rsidRPr="00572168">
        <w:t>qui devront</w:t>
      </w:r>
      <w:r w:rsidR="00DB1525" w:rsidRPr="00572168">
        <w:t xml:space="preserve"> être examinés </w:t>
      </w:r>
      <w:r w:rsidR="00CB6CE4" w:rsidRPr="00572168">
        <w:t xml:space="preserve">au titre </w:t>
      </w:r>
      <w:r w:rsidR="006E7EE2" w:rsidRPr="00572168">
        <w:t>des</w:t>
      </w:r>
      <w:r w:rsidR="00DB1525" w:rsidRPr="00572168">
        <w:t xml:space="preserve"> trois </w:t>
      </w:r>
      <w:r w:rsidR="00CB6CE4" w:rsidRPr="00572168">
        <w:t xml:space="preserve">axes de travail </w:t>
      </w:r>
      <w:r w:rsidR="00DB1525" w:rsidRPr="00572168">
        <w:t>du Groupe</w:t>
      </w:r>
      <w:r w:rsidR="00FF0B75">
        <w:t>.</w:t>
      </w:r>
    </w:p>
    <w:p w:rsidR="00B9153A" w:rsidRPr="00572168" w:rsidRDefault="00B9153A" w:rsidP="00FF0B75">
      <w:pPr>
        <w:pStyle w:val="titre2"/>
        <w:numPr>
          <w:ilvl w:val="0"/>
          <w:numId w:val="0"/>
        </w:numPr>
      </w:pPr>
    </w:p>
    <w:p w:rsidR="0066773A" w:rsidRPr="00572168" w:rsidRDefault="00DB1525" w:rsidP="00FF0B75">
      <w:pPr>
        <w:pStyle w:val="titre2"/>
      </w:pPr>
      <w:r w:rsidRPr="00572168">
        <w:t xml:space="preserve">Les questions relatives à la mise en œuvre de projets et </w:t>
      </w:r>
      <w:r w:rsidR="006E7EE2" w:rsidRPr="00572168">
        <w:t>d’</w:t>
      </w:r>
      <w:r w:rsidRPr="00572168">
        <w:t xml:space="preserve">initiatives </w:t>
      </w:r>
      <w:r w:rsidR="00CB6CE4" w:rsidRPr="00572168">
        <w:t>d’envergure</w:t>
      </w:r>
      <w:r w:rsidRPr="00572168">
        <w:t xml:space="preserve"> dans la Région seront examinées, notamment:</w:t>
      </w:r>
      <w:r w:rsidR="00B80090" w:rsidRPr="00572168">
        <w:t xml:space="preserve"> </w:t>
      </w:r>
      <w:r w:rsidRPr="00572168">
        <w:t>la stratégie de l’OMM en matière de prestation de services,</w:t>
      </w:r>
      <w:r w:rsidR="00EA493E" w:rsidRPr="00572168">
        <w:t xml:space="preserve"> </w:t>
      </w:r>
      <w:r w:rsidRPr="00572168">
        <w:t xml:space="preserve">les systèmes de prévision et d’alerte </w:t>
      </w:r>
      <w:r w:rsidR="00CB6CE4" w:rsidRPr="00572168">
        <w:t>axés</w:t>
      </w:r>
      <w:r w:rsidRPr="00572168">
        <w:t xml:space="preserve"> sur les impacts,</w:t>
      </w:r>
      <w:r w:rsidR="0066773A" w:rsidRPr="00572168">
        <w:t xml:space="preserve"> </w:t>
      </w:r>
      <w:r w:rsidR="006E7EE2" w:rsidRPr="00572168">
        <w:t xml:space="preserve">l’application </w:t>
      </w:r>
      <w:r w:rsidR="00CB6CE4" w:rsidRPr="00572168">
        <w:t>du</w:t>
      </w:r>
      <w:r w:rsidRPr="00572168">
        <w:t xml:space="preserve"> Protocole d’alerte commun </w:t>
      </w:r>
      <w:r w:rsidR="00EA493E" w:rsidRPr="00572168">
        <w:t xml:space="preserve">(CAP) </w:t>
      </w:r>
      <w:r w:rsidR="00CB6CE4" w:rsidRPr="00572168">
        <w:t>pour la diffusion</w:t>
      </w:r>
      <w:r w:rsidR="00EA493E" w:rsidRPr="00572168">
        <w:t xml:space="preserve"> </w:t>
      </w:r>
      <w:r w:rsidRPr="00572168">
        <w:t>des alertes,</w:t>
      </w:r>
      <w:r w:rsidR="00EA493E" w:rsidRPr="00572168">
        <w:t xml:space="preserve"> </w:t>
      </w:r>
      <w:r w:rsidRPr="00572168">
        <w:t>la mise en œuvre du projet de démonstration concernant la prévision des conditions météorologiques extrêmes</w:t>
      </w:r>
      <w:r w:rsidR="00CB6CE4" w:rsidRPr="00572168">
        <w:t>,</w:t>
      </w:r>
      <w:r w:rsidRPr="00572168">
        <w:t xml:space="preserve"> </w:t>
      </w:r>
      <w:r w:rsidR="00CB6CE4" w:rsidRPr="00572168">
        <w:t>le suivi de</w:t>
      </w:r>
      <w:r w:rsidRPr="00572168">
        <w:t xml:space="preserve"> la </w:t>
      </w:r>
      <w:r w:rsidR="00CB6CE4" w:rsidRPr="00572168">
        <w:t xml:space="preserve">troisième </w:t>
      </w:r>
      <w:r w:rsidRPr="00572168">
        <w:t xml:space="preserve">Conférence mondiale sur la réduction des risques de catastrophe </w:t>
      </w:r>
      <w:r w:rsidR="00CB6CE4" w:rsidRPr="00572168">
        <w:t>(</w:t>
      </w:r>
      <w:r w:rsidR="00EA493E" w:rsidRPr="00572168">
        <w:t xml:space="preserve">Sendai, </w:t>
      </w:r>
      <w:r w:rsidRPr="00572168">
        <w:t>Japon</w:t>
      </w:r>
      <w:r w:rsidR="00EA493E" w:rsidRPr="00572168">
        <w:t xml:space="preserve">, </w:t>
      </w:r>
      <w:r w:rsidRPr="00572168">
        <w:t>mars </w:t>
      </w:r>
      <w:r w:rsidR="00EA493E" w:rsidRPr="00572168">
        <w:t xml:space="preserve">2015) </w:t>
      </w:r>
      <w:r w:rsidRPr="00572168">
        <w:t xml:space="preserve">et ses </w:t>
      </w:r>
      <w:r w:rsidR="00CB6CE4" w:rsidRPr="00572168">
        <w:t>répercussions sur</w:t>
      </w:r>
      <w:r w:rsidRPr="00572168">
        <w:t xml:space="preserve"> les SMHN,</w:t>
      </w:r>
      <w:r w:rsidR="00EA493E" w:rsidRPr="00572168">
        <w:t xml:space="preserve"> </w:t>
      </w:r>
      <w:r w:rsidRPr="00572168">
        <w:t>les systèmes d’alerte précoce multidanger</w:t>
      </w:r>
      <w:r w:rsidR="00EA493E" w:rsidRPr="00572168">
        <w:t xml:space="preserve"> (MHEWS)</w:t>
      </w:r>
      <w:r w:rsidRPr="00572168">
        <w:t xml:space="preserve">, l’inventaire des </w:t>
      </w:r>
      <w:r w:rsidR="00CB6CE4" w:rsidRPr="00572168">
        <w:t>risques naturels</w:t>
      </w:r>
      <w:r w:rsidRPr="00572168">
        <w:t>,</w:t>
      </w:r>
      <w:r w:rsidR="00832864" w:rsidRPr="00572168">
        <w:t xml:space="preserve"> etc.</w:t>
      </w:r>
    </w:p>
    <w:p w:rsidR="0066773A" w:rsidRPr="00572168" w:rsidRDefault="0066773A" w:rsidP="00FF0B75">
      <w:pPr>
        <w:pStyle w:val="titre2"/>
        <w:numPr>
          <w:ilvl w:val="0"/>
          <w:numId w:val="0"/>
        </w:numPr>
      </w:pPr>
    </w:p>
    <w:p w:rsidR="00544641" w:rsidRPr="00572168" w:rsidRDefault="006E7EE2" w:rsidP="00FF0B75">
      <w:pPr>
        <w:pStyle w:val="titre2"/>
      </w:pPr>
      <w:r w:rsidRPr="00572168">
        <w:t xml:space="preserve">Chaque intervenant disposera </w:t>
      </w:r>
      <w:r w:rsidR="00CB6CE4" w:rsidRPr="00572168">
        <w:t xml:space="preserve">d’un laps de temps </w:t>
      </w:r>
      <w:r w:rsidRPr="00572168">
        <w:t xml:space="preserve">de 30 </w:t>
      </w:r>
      <w:r w:rsidR="00DB1525" w:rsidRPr="00572168">
        <w:t xml:space="preserve">à </w:t>
      </w:r>
      <w:r w:rsidRPr="00572168">
        <w:t>40 </w:t>
      </w:r>
      <w:r w:rsidR="00B9153A" w:rsidRPr="00572168">
        <w:t xml:space="preserve">minutes </w:t>
      </w:r>
      <w:r w:rsidR="00CB6CE4" w:rsidRPr="00572168">
        <w:t>englobant une séance</w:t>
      </w:r>
      <w:r w:rsidR="00DB1525" w:rsidRPr="00572168">
        <w:t xml:space="preserve"> de questions-réponses</w:t>
      </w:r>
      <w:r w:rsidR="00B9153A" w:rsidRPr="00572168">
        <w:t>.</w:t>
      </w:r>
    </w:p>
    <w:p w:rsidR="00544641" w:rsidRPr="00572168" w:rsidRDefault="00544641" w:rsidP="00FF0B75">
      <w:pPr>
        <w:pStyle w:val="titre2"/>
        <w:numPr>
          <w:ilvl w:val="0"/>
          <w:numId w:val="0"/>
        </w:numPr>
      </w:pPr>
    </w:p>
    <w:p w:rsidR="00544641" w:rsidRPr="00572168" w:rsidRDefault="00CB6CE4" w:rsidP="00FF0B75">
      <w:pPr>
        <w:pStyle w:val="titre2"/>
      </w:pPr>
      <w:r w:rsidRPr="00572168">
        <w:t>Des</w:t>
      </w:r>
      <w:r w:rsidR="00DB1525" w:rsidRPr="00572168">
        <w:t xml:space="preserve"> petits groupes </w:t>
      </w:r>
      <w:r w:rsidRPr="00572168">
        <w:t>de réflexion</w:t>
      </w:r>
      <w:r w:rsidR="00DB1525" w:rsidRPr="00572168">
        <w:t xml:space="preserve"> seront constitués </w:t>
      </w:r>
      <w:r w:rsidRPr="00572168">
        <w:t>au besoin</w:t>
      </w:r>
      <w:r w:rsidR="00DB1525" w:rsidRPr="00572168">
        <w:t>.</w:t>
      </w:r>
    </w:p>
    <w:p w:rsidR="00544641" w:rsidRPr="00572168" w:rsidRDefault="00544641" w:rsidP="00FF0B75">
      <w:pPr>
        <w:pStyle w:val="titre2"/>
        <w:numPr>
          <w:ilvl w:val="0"/>
          <w:numId w:val="0"/>
        </w:numPr>
      </w:pPr>
    </w:p>
    <w:p w:rsidR="007113C1" w:rsidRPr="00572168" w:rsidRDefault="00D17C5E" w:rsidP="00FF0B75">
      <w:pPr>
        <w:pStyle w:val="titre2"/>
      </w:pPr>
      <w:r w:rsidRPr="00572168">
        <w:t>La réunion s’achèvera par un récapitulatif d</w:t>
      </w:r>
      <w:r w:rsidR="00DB1525" w:rsidRPr="00572168">
        <w:t xml:space="preserve">es </w:t>
      </w:r>
      <w:r w:rsidR="00CB6CE4" w:rsidRPr="00572168">
        <w:t>débats</w:t>
      </w:r>
      <w:r w:rsidR="00B9153A" w:rsidRPr="00572168">
        <w:t xml:space="preserve"> </w:t>
      </w:r>
      <w:r w:rsidRPr="00572168">
        <w:t xml:space="preserve">et la formulation de </w:t>
      </w:r>
      <w:r w:rsidR="00544641" w:rsidRPr="00572168">
        <w:t>recomm</w:t>
      </w:r>
      <w:r w:rsidR="00DB1525" w:rsidRPr="00572168">
        <w:t>a</w:t>
      </w:r>
      <w:r w:rsidR="00544641" w:rsidRPr="00572168">
        <w:t xml:space="preserve">ndations </w:t>
      </w:r>
      <w:r w:rsidRPr="00572168">
        <w:t xml:space="preserve">à l’intention du </w:t>
      </w:r>
      <w:r w:rsidR="00DB1525" w:rsidRPr="00572168">
        <w:t xml:space="preserve">Groupe de gestion et </w:t>
      </w:r>
      <w:r w:rsidRPr="00572168">
        <w:t xml:space="preserve">des </w:t>
      </w:r>
      <w:r w:rsidR="00CB6CE4" w:rsidRPr="00572168">
        <w:t>M</w:t>
      </w:r>
      <w:r w:rsidR="00DB1525" w:rsidRPr="00572168">
        <w:t xml:space="preserve">embres du </w:t>
      </w:r>
      <w:r w:rsidR="00CB6CE4" w:rsidRPr="00572168">
        <w:t>Conseil régional </w:t>
      </w:r>
      <w:r w:rsidR="00DB1525" w:rsidRPr="00572168">
        <w:t>I.</w:t>
      </w:r>
    </w:p>
    <w:p w:rsidR="00572168" w:rsidRDefault="00572168" w:rsidP="00FF0B75">
      <w:pPr>
        <w:widowControl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572168" w:rsidRPr="00572168" w:rsidRDefault="00572168" w:rsidP="00572168">
      <w:pPr>
        <w:widowControl w:val="0"/>
        <w:spacing w:after="0" w:line="240" w:lineRule="auto"/>
        <w:jc w:val="both"/>
        <w:rPr>
          <w:rFonts w:ascii="Arial" w:hAnsi="Arial" w:cs="Arial"/>
          <w:lang w:val="fr-CH"/>
        </w:rPr>
      </w:pPr>
    </w:p>
    <w:sectPr w:rsidR="00572168" w:rsidRPr="00572168" w:rsidSect="00572168">
      <w:headerReference w:type="default" r:id="rId8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68" w:rsidRDefault="00572168" w:rsidP="00572168">
      <w:pPr>
        <w:spacing w:after="0" w:line="240" w:lineRule="auto"/>
      </w:pPr>
      <w:r>
        <w:separator/>
      </w:r>
    </w:p>
  </w:endnote>
  <w:endnote w:type="continuationSeparator" w:id="0">
    <w:p w:rsidR="00572168" w:rsidRDefault="00572168" w:rsidP="0057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68" w:rsidRDefault="00572168" w:rsidP="00572168">
      <w:pPr>
        <w:spacing w:after="0" w:line="240" w:lineRule="auto"/>
      </w:pPr>
      <w:r>
        <w:separator/>
      </w:r>
    </w:p>
  </w:footnote>
  <w:footnote w:type="continuationSeparator" w:id="0">
    <w:p w:rsidR="00572168" w:rsidRDefault="00572168" w:rsidP="0057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26164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572168" w:rsidRPr="00572168" w:rsidRDefault="00572168" w:rsidP="00572168">
        <w:pPr>
          <w:pStyle w:val="Header"/>
          <w:jc w:val="center"/>
          <w:rPr>
            <w:rFonts w:ascii="Arial" w:hAnsi="Arial" w:cs="Arial"/>
          </w:rPr>
        </w:pPr>
        <w:r>
          <w:t xml:space="preserve">- </w:t>
        </w:r>
        <w:r w:rsidRPr="00572168">
          <w:rPr>
            <w:rFonts w:ascii="Arial" w:hAnsi="Arial" w:cs="Arial"/>
          </w:rPr>
          <w:fldChar w:fldCharType="begin"/>
        </w:r>
        <w:r w:rsidRPr="00572168">
          <w:rPr>
            <w:rFonts w:ascii="Arial" w:hAnsi="Arial" w:cs="Arial"/>
          </w:rPr>
          <w:instrText xml:space="preserve"> PAGE   \* MERGEFORMAT </w:instrText>
        </w:r>
        <w:r w:rsidRPr="00572168">
          <w:rPr>
            <w:rFonts w:ascii="Arial" w:hAnsi="Arial" w:cs="Arial"/>
          </w:rPr>
          <w:fldChar w:fldCharType="separate"/>
        </w:r>
        <w:r w:rsidR="00B131AD">
          <w:rPr>
            <w:rFonts w:ascii="Arial" w:hAnsi="Arial" w:cs="Arial"/>
            <w:noProof/>
          </w:rPr>
          <w:t>2</w:t>
        </w:r>
        <w:r w:rsidRPr="00572168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-</w:t>
        </w:r>
      </w:p>
    </w:sdtContent>
  </w:sdt>
  <w:p w:rsidR="00572168" w:rsidRDefault="00572168" w:rsidP="00572168">
    <w:pPr>
      <w:pStyle w:val="Header"/>
      <w:jc w:val="center"/>
      <w:rPr>
        <w:rFonts w:ascii="Arial" w:hAnsi="Arial" w:cs="Arial"/>
      </w:rPr>
    </w:pPr>
  </w:p>
  <w:p w:rsidR="00572168" w:rsidRPr="00572168" w:rsidRDefault="00572168" w:rsidP="00572168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297"/>
    <w:multiLevelType w:val="hybridMultilevel"/>
    <w:tmpl w:val="8FC065F6"/>
    <w:lvl w:ilvl="0" w:tplc="F89E84D2">
      <w:start w:val="1"/>
      <w:numFmt w:val="lowerLetter"/>
      <w:pStyle w:val="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9169B"/>
    <w:multiLevelType w:val="hybridMultilevel"/>
    <w:tmpl w:val="1E0864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C14E1"/>
    <w:multiLevelType w:val="multilevel"/>
    <w:tmpl w:val="F76ED3BA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52F4C34"/>
    <w:multiLevelType w:val="hybridMultilevel"/>
    <w:tmpl w:val="67E89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9"/>
    <w:rsid w:val="00047B3E"/>
    <w:rsid w:val="00082132"/>
    <w:rsid w:val="000C009B"/>
    <w:rsid w:val="001213B1"/>
    <w:rsid w:val="00172836"/>
    <w:rsid w:val="001C3CC1"/>
    <w:rsid w:val="002A5907"/>
    <w:rsid w:val="00316B35"/>
    <w:rsid w:val="003244BE"/>
    <w:rsid w:val="00377379"/>
    <w:rsid w:val="00397D53"/>
    <w:rsid w:val="003C0647"/>
    <w:rsid w:val="00443D9A"/>
    <w:rsid w:val="004924B1"/>
    <w:rsid w:val="004C08E0"/>
    <w:rsid w:val="00535B79"/>
    <w:rsid w:val="005442DA"/>
    <w:rsid w:val="00544641"/>
    <w:rsid w:val="00572168"/>
    <w:rsid w:val="00575413"/>
    <w:rsid w:val="005B4B00"/>
    <w:rsid w:val="005F2F0E"/>
    <w:rsid w:val="0060279B"/>
    <w:rsid w:val="0066773A"/>
    <w:rsid w:val="006A2310"/>
    <w:rsid w:val="006E7EE2"/>
    <w:rsid w:val="007113C1"/>
    <w:rsid w:val="00711C06"/>
    <w:rsid w:val="007157E2"/>
    <w:rsid w:val="007743D2"/>
    <w:rsid w:val="007948C4"/>
    <w:rsid w:val="007C5B9A"/>
    <w:rsid w:val="00811CC8"/>
    <w:rsid w:val="00832864"/>
    <w:rsid w:val="00840101"/>
    <w:rsid w:val="008722D8"/>
    <w:rsid w:val="0088511A"/>
    <w:rsid w:val="008C16BC"/>
    <w:rsid w:val="0091090C"/>
    <w:rsid w:val="00997F5C"/>
    <w:rsid w:val="00A17313"/>
    <w:rsid w:val="00A25BBB"/>
    <w:rsid w:val="00B131AD"/>
    <w:rsid w:val="00B66338"/>
    <w:rsid w:val="00B7209E"/>
    <w:rsid w:val="00B76AF3"/>
    <w:rsid w:val="00B80090"/>
    <w:rsid w:val="00B9153A"/>
    <w:rsid w:val="00BD1FB2"/>
    <w:rsid w:val="00C1348A"/>
    <w:rsid w:val="00C400F3"/>
    <w:rsid w:val="00C733B2"/>
    <w:rsid w:val="00CB6CE4"/>
    <w:rsid w:val="00D17C5E"/>
    <w:rsid w:val="00DB1525"/>
    <w:rsid w:val="00DE743D"/>
    <w:rsid w:val="00E2267E"/>
    <w:rsid w:val="00EA493E"/>
    <w:rsid w:val="00EE0835"/>
    <w:rsid w:val="00F52563"/>
    <w:rsid w:val="00F63B9C"/>
    <w:rsid w:val="00F842F4"/>
    <w:rsid w:val="00FA5465"/>
    <w:rsid w:val="00FB43E8"/>
    <w:rsid w:val="00FE3C2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A5465"/>
    <w:pPr>
      <w:keepNext/>
      <w:keepLines/>
      <w:tabs>
        <w:tab w:val="left" w:pos="1134"/>
      </w:tabs>
      <w:spacing w:before="360" w:after="0" w:line="240" w:lineRule="auto"/>
      <w:ind w:left="1134" w:hanging="1134"/>
      <w:jc w:val="both"/>
      <w:outlineLvl w:val="3"/>
    </w:pPr>
    <w:rPr>
      <w:rFonts w:ascii="Arial" w:eastAsia="Arial" w:hAnsi="Arial" w:cs="Arial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A5465"/>
    <w:rPr>
      <w:rFonts w:ascii="Arial" w:eastAsia="Arial" w:hAnsi="Arial" w:cs="Arial"/>
      <w:b/>
      <w:i/>
      <w:szCs w:val="20"/>
      <w:lang w:val="en-GB"/>
    </w:rPr>
  </w:style>
  <w:style w:type="paragraph" w:customStyle="1" w:styleId="WMOBodyText">
    <w:name w:val="WMO_BodyText"/>
    <w:basedOn w:val="Normal"/>
    <w:link w:val="WMOBodyTextCharChar"/>
    <w:rsid w:val="00FA5465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lang w:val="en-GB"/>
    </w:rPr>
  </w:style>
  <w:style w:type="character" w:customStyle="1" w:styleId="WMOBodyTextCharChar">
    <w:name w:val="WMO_BodyText Char Char"/>
    <w:basedOn w:val="DefaultParagraphFont"/>
    <w:link w:val="WMOBodyText"/>
    <w:rsid w:val="00FA5465"/>
    <w:rPr>
      <w:rFonts w:ascii="Arial" w:eastAsia="Arial" w:hAnsi="Arial" w:cs="Arial"/>
      <w:lang w:val="en-GB"/>
    </w:rPr>
  </w:style>
  <w:style w:type="paragraph" w:customStyle="1" w:styleId="titre1">
    <w:name w:val="titre1"/>
    <w:basedOn w:val="ListParagraph"/>
    <w:qFormat/>
    <w:rsid w:val="00572168"/>
    <w:pPr>
      <w:widowControl w:val="0"/>
      <w:numPr>
        <w:numId w:val="2"/>
      </w:numPr>
      <w:spacing w:after="0" w:line="240" w:lineRule="auto"/>
      <w:ind w:left="854" w:hanging="854"/>
    </w:pPr>
    <w:rPr>
      <w:rFonts w:ascii="Arial" w:hAnsi="Arial" w:cs="Arial"/>
      <w:b/>
      <w:lang w:val="fr-CH"/>
    </w:rPr>
  </w:style>
  <w:style w:type="paragraph" w:customStyle="1" w:styleId="titre2">
    <w:name w:val="titre2"/>
    <w:basedOn w:val="ListParagraph"/>
    <w:qFormat/>
    <w:rsid w:val="00572168"/>
    <w:pPr>
      <w:widowControl w:val="0"/>
      <w:numPr>
        <w:ilvl w:val="1"/>
        <w:numId w:val="2"/>
      </w:numPr>
      <w:tabs>
        <w:tab w:val="left" w:pos="868"/>
      </w:tabs>
      <w:spacing w:after="0" w:line="240" w:lineRule="auto"/>
      <w:ind w:left="0" w:firstLine="0"/>
      <w:jc w:val="both"/>
    </w:pPr>
    <w:rPr>
      <w:rFonts w:ascii="Arial" w:hAnsi="Arial" w:cs="Arial"/>
      <w:lang w:val="fr-CH"/>
    </w:rPr>
  </w:style>
  <w:style w:type="paragraph" w:customStyle="1" w:styleId="texte">
    <w:name w:val="texte"/>
    <w:basedOn w:val="Normal"/>
    <w:qFormat/>
    <w:rsid w:val="00572168"/>
    <w:pPr>
      <w:widowControl w:val="0"/>
      <w:tabs>
        <w:tab w:val="left" w:pos="854"/>
      </w:tabs>
      <w:spacing w:after="0" w:line="240" w:lineRule="auto"/>
      <w:jc w:val="both"/>
    </w:pPr>
    <w:rPr>
      <w:rFonts w:ascii="Arial" w:hAnsi="Arial" w:cs="Arial"/>
      <w:lang w:val="fr-CH"/>
    </w:rPr>
  </w:style>
  <w:style w:type="paragraph" w:customStyle="1" w:styleId="a">
    <w:name w:val="a)"/>
    <w:basedOn w:val="ListParagraph"/>
    <w:qFormat/>
    <w:rsid w:val="00572168"/>
    <w:pPr>
      <w:widowControl w:val="0"/>
      <w:numPr>
        <w:numId w:val="4"/>
      </w:numPr>
      <w:spacing w:after="0" w:line="240" w:lineRule="auto"/>
      <w:ind w:left="868" w:hanging="868"/>
    </w:pPr>
    <w:rPr>
      <w:rFonts w:ascii="Arial" w:hAnsi="Arial" w:cs="Arial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57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68"/>
  </w:style>
  <w:style w:type="paragraph" w:styleId="Footer">
    <w:name w:val="footer"/>
    <w:basedOn w:val="Normal"/>
    <w:link w:val="FooterChar"/>
    <w:uiPriority w:val="99"/>
    <w:unhideWhenUsed/>
    <w:rsid w:val="0057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A5465"/>
    <w:pPr>
      <w:keepNext/>
      <w:keepLines/>
      <w:tabs>
        <w:tab w:val="left" w:pos="1134"/>
      </w:tabs>
      <w:spacing w:before="360" w:after="0" w:line="240" w:lineRule="auto"/>
      <w:ind w:left="1134" w:hanging="1134"/>
      <w:jc w:val="both"/>
      <w:outlineLvl w:val="3"/>
    </w:pPr>
    <w:rPr>
      <w:rFonts w:ascii="Arial" w:eastAsia="Arial" w:hAnsi="Arial" w:cs="Arial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A5465"/>
    <w:rPr>
      <w:rFonts w:ascii="Arial" w:eastAsia="Arial" w:hAnsi="Arial" w:cs="Arial"/>
      <w:b/>
      <w:i/>
      <w:szCs w:val="20"/>
      <w:lang w:val="en-GB"/>
    </w:rPr>
  </w:style>
  <w:style w:type="paragraph" w:customStyle="1" w:styleId="WMOBodyText">
    <w:name w:val="WMO_BodyText"/>
    <w:basedOn w:val="Normal"/>
    <w:link w:val="WMOBodyTextCharChar"/>
    <w:rsid w:val="00FA5465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lang w:val="en-GB"/>
    </w:rPr>
  </w:style>
  <w:style w:type="character" w:customStyle="1" w:styleId="WMOBodyTextCharChar">
    <w:name w:val="WMO_BodyText Char Char"/>
    <w:basedOn w:val="DefaultParagraphFont"/>
    <w:link w:val="WMOBodyText"/>
    <w:rsid w:val="00FA5465"/>
    <w:rPr>
      <w:rFonts w:ascii="Arial" w:eastAsia="Arial" w:hAnsi="Arial" w:cs="Arial"/>
      <w:lang w:val="en-GB"/>
    </w:rPr>
  </w:style>
  <w:style w:type="paragraph" w:customStyle="1" w:styleId="titre1">
    <w:name w:val="titre1"/>
    <w:basedOn w:val="ListParagraph"/>
    <w:qFormat/>
    <w:rsid w:val="00572168"/>
    <w:pPr>
      <w:widowControl w:val="0"/>
      <w:numPr>
        <w:numId w:val="2"/>
      </w:numPr>
      <w:spacing w:after="0" w:line="240" w:lineRule="auto"/>
      <w:ind w:left="854" w:hanging="854"/>
    </w:pPr>
    <w:rPr>
      <w:rFonts w:ascii="Arial" w:hAnsi="Arial" w:cs="Arial"/>
      <w:b/>
      <w:lang w:val="fr-CH"/>
    </w:rPr>
  </w:style>
  <w:style w:type="paragraph" w:customStyle="1" w:styleId="titre2">
    <w:name w:val="titre2"/>
    <w:basedOn w:val="ListParagraph"/>
    <w:qFormat/>
    <w:rsid w:val="00572168"/>
    <w:pPr>
      <w:widowControl w:val="0"/>
      <w:numPr>
        <w:ilvl w:val="1"/>
        <w:numId w:val="2"/>
      </w:numPr>
      <w:tabs>
        <w:tab w:val="left" w:pos="868"/>
      </w:tabs>
      <w:spacing w:after="0" w:line="240" w:lineRule="auto"/>
      <w:ind w:left="0" w:firstLine="0"/>
      <w:jc w:val="both"/>
    </w:pPr>
    <w:rPr>
      <w:rFonts w:ascii="Arial" w:hAnsi="Arial" w:cs="Arial"/>
      <w:lang w:val="fr-CH"/>
    </w:rPr>
  </w:style>
  <w:style w:type="paragraph" w:customStyle="1" w:styleId="texte">
    <w:name w:val="texte"/>
    <w:basedOn w:val="Normal"/>
    <w:qFormat/>
    <w:rsid w:val="00572168"/>
    <w:pPr>
      <w:widowControl w:val="0"/>
      <w:tabs>
        <w:tab w:val="left" w:pos="854"/>
      </w:tabs>
      <w:spacing w:after="0" w:line="240" w:lineRule="auto"/>
      <w:jc w:val="both"/>
    </w:pPr>
    <w:rPr>
      <w:rFonts w:ascii="Arial" w:hAnsi="Arial" w:cs="Arial"/>
      <w:lang w:val="fr-CH"/>
    </w:rPr>
  </w:style>
  <w:style w:type="paragraph" w:customStyle="1" w:styleId="a">
    <w:name w:val="a)"/>
    <w:basedOn w:val="ListParagraph"/>
    <w:qFormat/>
    <w:rsid w:val="00572168"/>
    <w:pPr>
      <w:widowControl w:val="0"/>
      <w:numPr>
        <w:numId w:val="4"/>
      </w:numPr>
      <w:spacing w:after="0" w:line="240" w:lineRule="auto"/>
      <w:ind w:left="868" w:hanging="868"/>
    </w:pPr>
    <w:rPr>
      <w:rFonts w:ascii="Arial" w:hAnsi="Arial" w:cs="Arial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57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68"/>
  </w:style>
  <w:style w:type="paragraph" w:styleId="Footer">
    <w:name w:val="footer"/>
    <w:basedOn w:val="Normal"/>
    <w:link w:val="FooterChar"/>
    <w:uiPriority w:val="99"/>
    <w:unhideWhenUsed/>
    <w:rsid w:val="0057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WMOuser</dc:creator>
  <cp:lastModifiedBy>Catherine Bezzola</cp:lastModifiedBy>
  <cp:revision>2</cp:revision>
  <cp:lastPrinted>2015-12-07T08:14:00Z</cp:lastPrinted>
  <dcterms:created xsi:type="dcterms:W3CDTF">2015-12-07T10:50:00Z</dcterms:created>
  <dcterms:modified xsi:type="dcterms:W3CDTF">2015-12-07T10:50:00Z</dcterms:modified>
</cp:coreProperties>
</file>