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ootnoteTex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otnoteText"/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6E49EF" w:rsidP="00004BE8">
            <w:pPr>
              <w:jc w:val="center"/>
            </w:pPr>
            <w:r>
              <w:t>2</w:t>
            </w:r>
            <w:r w:rsidR="00BB7B60">
              <w:t>0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6E49EF" w:rsidP="00004BE8">
            <w:pPr>
              <w:jc w:val="center"/>
            </w:pPr>
            <w:r>
              <w:t>11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6E49EF" w:rsidP="00004BE8">
            <w:pPr>
              <w:jc w:val="center"/>
            </w:pPr>
            <w:r>
              <w:t>9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6E49EF" w:rsidP="00004BE8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B60" w:rsidRPr="00BB7B60" w:rsidRDefault="00BB7B60" w:rsidP="00BB7B60">
            <w:pPr>
              <w:jc w:val="center"/>
            </w:pPr>
            <w:r w:rsidRPr="00BB7B60">
              <w:t>1</w:t>
            </w:r>
            <w: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6E49EF" w:rsidP="00004BE8">
            <w:pPr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6E49EF" w:rsidP="00004BE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6E49EF" w:rsidP="00004BE8">
            <w:pPr>
              <w:jc w:val="center"/>
            </w:pPr>
            <w: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6E49EF" w:rsidP="00BB7B60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004BE8">
            <w:pPr>
              <w:tabs>
                <w:tab w:val="num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6E49EF" w:rsidP="00BB7B60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VOSClim</w:t>
            </w:r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BB7B60" w:rsidP="00BB7B60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131A3E">
            <w:pPr>
              <w:pStyle w:val="FootnoteText"/>
              <w:rPr>
                <w:i/>
              </w:rPr>
            </w:pPr>
            <w:r w:rsidRPr="00905975">
              <w:rPr>
                <w:i/>
              </w:rPr>
              <w:t xml:space="preserve">Total number of ship observations (BBXX) distributed on the GTS in </w:t>
            </w:r>
            <w:r w:rsidR="00D517BE" w:rsidRPr="00905975">
              <w:rPr>
                <w:i/>
              </w:rPr>
              <w:t>2018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7E6ACA" w:rsidRDefault="00905975" w:rsidP="007E76C3">
            <w:pPr>
              <w:pStyle w:val="FootnoteText"/>
            </w:pPr>
            <w:r>
              <w:t>21610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517BE">
              <w:rPr>
                <w:i/>
              </w:rPr>
              <w:t>2018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7E6ACA" w:rsidRDefault="006E49EF" w:rsidP="007E76C3">
            <w:r>
              <w:t>Mainly quarterly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Heading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</w:t>
            </w:r>
            <w:proofErr w:type="gramStart"/>
            <w:r>
              <w:rPr>
                <w:b/>
                <w:bCs/>
              </w:rPr>
              <w:t>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</w:t>
            </w:r>
            <w:proofErr w:type="gramEnd"/>
            <w:r>
              <w:rPr>
                <w:b/>
                <w:bCs/>
              </w:rPr>
              <w:t xml:space="preserve">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FF0C5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F0C51" w:rsidRDefault="00FF0C51" w:rsidP="00FF0C5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C51" w:rsidRPr="006B41D0" w:rsidRDefault="00FF0C51" w:rsidP="00FF0C51">
            <w:r w:rsidRPr="006B41D0">
              <w:t>mS</w:t>
            </w:r>
            <w:r w:rsidR="00D17C20" w:rsidRPr="006B41D0">
              <w:t>TAR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C51" w:rsidRPr="006B41D0" w:rsidRDefault="00FF0C51" w:rsidP="00FF0C51">
            <w:pPr>
              <w:jc w:val="center"/>
            </w:pPr>
            <w:r w:rsidRPr="006B41D0">
              <w:t>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C51" w:rsidRPr="006B41D0" w:rsidRDefault="00FF0C51" w:rsidP="00FF0C51">
            <w:pPr>
              <w:jc w:val="center"/>
            </w:pPr>
            <w:r w:rsidRPr="006B41D0">
              <w:t>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C51" w:rsidRPr="006B41D0" w:rsidRDefault="00FF0C51" w:rsidP="00FF0C51">
            <w:pPr>
              <w:jc w:val="center"/>
            </w:pPr>
            <w:r w:rsidRPr="006B41D0">
              <w:t>UPP Cellular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C51" w:rsidRPr="006B41D0" w:rsidRDefault="00FF0C51" w:rsidP="00FF0C51">
            <w:pPr>
              <w:pStyle w:val="FootnoteText"/>
              <w:jc w:val="center"/>
            </w:pPr>
            <w:r w:rsidRPr="006B41D0">
              <w:t>No change</w:t>
            </w:r>
          </w:p>
        </w:tc>
      </w:tr>
      <w:tr w:rsidR="00FF0C5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F0C51" w:rsidRDefault="00FF0C51" w:rsidP="00FF0C5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C51" w:rsidRPr="006B41D0" w:rsidRDefault="006B41D0" w:rsidP="00FF0C51">
            <w:r w:rsidRPr="006B41D0">
              <w:t>i</w:t>
            </w:r>
            <w:r w:rsidR="00D17C20" w:rsidRPr="006B41D0">
              <w:t>STAR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C51" w:rsidRPr="006B41D0" w:rsidRDefault="00FF0C51" w:rsidP="00FF0C51">
            <w:pPr>
              <w:jc w:val="center"/>
            </w:pPr>
            <w:r w:rsidRPr="006B41D0"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C51" w:rsidRPr="006B41D0" w:rsidRDefault="006B41D0" w:rsidP="00FF0C51">
            <w:pPr>
              <w:jc w:val="center"/>
            </w:pPr>
            <w:r w:rsidRPr="006B41D0">
              <w:t>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C51" w:rsidRPr="006B41D0" w:rsidRDefault="006B41D0" w:rsidP="00FF0C51">
            <w:pPr>
              <w:jc w:val="center"/>
            </w:pPr>
            <w:r w:rsidRPr="006B41D0">
              <w:t>Inmarsat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C51" w:rsidRPr="006B41D0" w:rsidRDefault="00FF0C51" w:rsidP="00FF0C51">
            <w:pPr>
              <w:pStyle w:val="FootnoteText"/>
              <w:jc w:val="center"/>
            </w:pPr>
            <w:r w:rsidRPr="006B41D0">
              <w:t>No change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Heading4"/>
            </w:pPr>
            <w:r>
              <w:t>Implementation plans</w:t>
            </w:r>
          </w:p>
        </w:tc>
      </w:tr>
      <w:tr w:rsidR="00F32E84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32E84" w:rsidRDefault="00F32E84" w:rsidP="00F32E8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84" w:rsidRDefault="00F32E84" w:rsidP="0023271E">
            <w:r>
              <w:t>TurboWin 5.0 or higher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84" w:rsidRPr="00B970AC" w:rsidRDefault="00F32E84" w:rsidP="00F32E84">
            <w:pPr>
              <w:jc w:val="center"/>
            </w:pPr>
            <w:r>
              <w:t>28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E84" w:rsidRDefault="00F32E84" w:rsidP="00F32E84">
            <w:pPr>
              <w:pStyle w:val="FootnoteText"/>
            </w:pPr>
          </w:p>
        </w:tc>
      </w:tr>
      <w:tr w:rsidR="00F32E84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F32E84" w:rsidRDefault="00F32E84" w:rsidP="00F32E84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84" w:rsidRDefault="00F32E84" w:rsidP="0023271E">
            <w:r>
              <w:t>TurboWin 4.5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84" w:rsidRPr="00B970AC" w:rsidRDefault="00F32E84" w:rsidP="00F32E84">
            <w:pPr>
              <w:jc w:val="center"/>
            </w:pPr>
            <w:r>
              <w:t>3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E84" w:rsidRDefault="00F32E84" w:rsidP="00F32E84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F32E84" w:rsidP="0023271E">
            <w:r>
              <w:t>Turbo+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F32E84" w:rsidP="00743AE8">
            <w:pPr>
              <w:jc w:val="center"/>
            </w:pPr>
            <w:r>
              <w:t>1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proofErr w:type="gramStart"/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proofErr w:type="gramEnd"/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F32E84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Default="00F32E84" w:rsidP="00F32E84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Default="00F32E84" w:rsidP="00F32E84">
            <w:r>
              <w:t>Aneroid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Default="00F32E84" w:rsidP="00F32E84">
            <w:r>
              <w:t>Vaisala PTB</w:t>
            </w:r>
            <w:r w:rsidR="00E96553">
              <w:t>33</w:t>
            </w:r>
            <w:r>
              <w:t>0</w:t>
            </w:r>
          </w:p>
        </w:tc>
      </w:tr>
      <w:tr w:rsidR="00F32E84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32E84" w:rsidRDefault="00F32E84" w:rsidP="00F32E84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Default="00F32E84" w:rsidP="00F32E84">
            <w:r>
              <w:t>Precision Aneroid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Default="00F32E84" w:rsidP="00F32E84"/>
        </w:tc>
      </w:tr>
      <w:tr w:rsidR="00F32E84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Default="00F32E84" w:rsidP="00F32E84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Default="00F32E84" w:rsidP="00F32E84">
            <w:r>
              <w:t>Vaisala PTB220 and PTB330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Default="00F32E84" w:rsidP="00F32E84"/>
        </w:tc>
      </w:tr>
      <w:tr w:rsidR="00F32E84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Pr="00A04D08" w:rsidRDefault="00F32E84" w:rsidP="00F32E84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Pr="00263E1C" w:rsidRDefault="00F32E84" w:rsidP="00F32E84">
            <w:r w:rsidRPr="00263E1C">
              <w:t xml:space="preserve">Station Level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Pr="00263E1C" w:rsidRDefault="00F32E84" w:rsidP="00F32E84">
            <w:r w:rsidRPr="00263E1C">
              <w:t>Mean Sea Level</w:t>
            </w:r>
          </w:p>
        </w:tc>
      </w:tr>
      <w:tr w:rsidR="002F3CBC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F3CBC" w:rsidRDefault="002F3CBC" w:rsidP="00F32E84">
            <w:r>
              <w:t>Barograph</w:t>
            </w:r>
          </w:p>
          <w:p w:rsidR="002F3CBC" w:rsidRDefault="002F3CBC" w:rsidP="00F32E84">
            <w:pPr>
              <w:jc w:val="right"/>
              <w:rPr>
                <w:i/>
              </w:rPr>
            </w:pPr>
          </w:p>
          <w:p w:rsidR="002F3CBC" w:rsidRDefault="002F3CBC" w:rsidP="00F32E84">
            <w:pPr>
              <w:jc w:val="right"/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F3CBC" w:rsidRDefault="002F3CBC" w:rsidP="00F32E84">
            <w:r>
              <w:t>Marine – Short and Mason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F3CBC" w:rsidRDefault="002F3CBC" w:rsidP="00F32E84"/>
        </w:tc>
      </w:tr>
      <w:tr w:rsidR="002F3CBC" w:rsidTr="00C67669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F3CBC" w:rsidRPr="00A04D08" w:rsidRDefault="002F3CBC" w:rsidP="00F32E84">
            <w:pPr>
              <w:jc w:val="right"/>
              <w:rPr>
                <w:i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F3CBC" w:rsidRDefault="002F3CBC" w:rsidP="00F32E84">
            <w:r w:rsidRPr="00263E1C">
              <w:t>Station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F3CBC" w:rsidRDefault="002F3CBC" w:rsidP="00F32E84"/>
        </w:tc>
      </w:tr>
      <w:tr w:rsidR="00F32E84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Default="00F32E84" w:rsidP="00F32E84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Default="00F32E84" w:rsidP="00F32E84">
            <w:r>
              <w:t>Mercury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Default="00E96553" w:rsidP="00F32E84">
            <w:r>
              <w:t>Vaisala HMP155</w:t>
            </w:r>
          </w:p>
        </w:tc>
      </w:tr>
      <w:tr w:rsidR="00F32E84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Default="00F32E84" w:rsidP="00F32E84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Default="00F32E84" w:rsidP="00F32E84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32E84" w:rsidRDefault="00F32E84" w:rsidP="00F32E84"/>
        </w:tc>
      </w:tr>
      <w:tr w:rsidR="00E9655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>
            <w:r>
              <w:t>Ships Instruments- Intake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>
            <w:r>
              <w:t>Ships Instruments- Intake</w:t>
            </w:r>
          </w:p>
        </w:tc>
      </w:tr>
      <w:tr w:rsidR="00E96553" w:rsidTr="006B41D0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/>
        </w:tc>
      </w:tr>
      <w:tr w:rsidR="00E9655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>
            <w:r>
              <w:t>Ships Instruments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>
            <w:r>
              <w:t>Vaisala WAA151</w:t>
            </w:r>
          </w:p>
        </w:tc>
      </w:tr>
      <w:tr w:rsidR="00E96553" w:rsidTr="006B41D0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>
            <w:r>
              <w:t>Vaisala WMT702</w:t>
            </w:r>
          </w:p>
        </w:tc>
      </w:tr>
      <w:tr w:rsidR="00E9655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>
            <w:r>
              <w:t>Ships Instruments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>
            <w:r>
              <w:t>Vaisala WAV151</w:t>
            </w:r>
          </w:p>
        </w:tc>
      </w:tr>
      <w:tr w:rsidR="00E96553" w:rsidTr="006B41D0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96553" w:rsidRDefault="00E96553" w:rsidP="00E96553">
            <w:r>
              <w:t>Vaisala WMT702</w:t>
            </w:r>
          </w:p>
        </w:tc>
      </w:tr>
    </w:tbl>
    <w:p w:rsidR="00ED748D" w:rsidRDefault="00ED748D"/>
    <w:p w:rsidR="004529D4" w:rsidRDefault="004529D4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proofErr w:type="gramStart"/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>(</w:t>
            </w:r>
            <w:proofErr w:type="gramEnd"/>
            <w:r w:rsidRPr="00E81288">
              <w:rPr>
                <w:b/>
                <w:bCs/>
              </w:rPr>
              <w:t xml:space="preserve">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43170" w:rsidRDefault="003A335B" w:rsidP="00B4317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43170">
              <w:rPr>
                <w:bCs/>
              </w:rPr>
              <w:t>3</w:t>
            </w:r>
          </w:p>
          <w:p w:rsidR="00B43170" w:rsidRPr="00654D99" w:rsidRDefault="00B43170" w:rsidP="00B4317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A335B" w:rsidP="00654D9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A335B" w:rsidP="00654D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A335B" w:rsidP="00654D9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43170" w:rsidRPr="00654D99" w:rsidRDefault="003A335B" w:rsidP="00B4317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B43170">
              <w:rPr>
                <w:bCs/>
              </w:rPr>
              <w:t>3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0F1646" w:rsidP="00654D99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0F1646" w:rsidP="00654D99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0F1646" w:rsidP="00654D99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0F1646" w:rsidP="00654D99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0F1646" w:rsidP="00F04F8A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0F1646" w:rsidP="00F915C7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0F1646" w:rsidP="00F915C7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0F1646" w:rsidP="00F915C7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0F1646" w:rsidP="00F915C7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0F1646" w:rsidP="00F915C7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A335B" w:rsidP="00F915C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0F1646" w:rsidP="00F915C7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0F1646" w:rsidP="008A285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43170" w:rsidRPr="00654D99" w:rsidRDefault="003A335B" w:rsidP="00B4317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B43170">
              <w:rPr>
                <w:bCs/>
              </w:rPr>
              <w:t>9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</w:t>
            </w:r>
            <w:r w:rsidR="009607EA">
              <w:rPr>
                <w:b/>
                <w:bCs/>
              </w:rPr>
              <w:t xml:space="preserve"> </w:t>
            </w:r>
            <w:r w:rsidRPr="00D90378">
              <w:rPr>
                <w:b/>
                <w:bCs/>
              </w:rPr>
              <w:t>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3A335B" w:rsidRDefault="003A335B" w:rsidP="00F915C7">
            <w:pPr>
              <w:jc w:val="center"/>
              <w:rPr>
                <w:bCs/>
              </w:rPr>
            </w:pPr>
            <w:r w:rsidRPr="003A335B">
              <w:rPr>
                <w:bCs/>
              </w:rPr>
              <w:t>1</w:t>
            </w:r>
          </w:p>
        </w:tc>
        <w:tc>
          <w:tcPr>
            <w:tcW w:w="85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  <w:p w:rsidR="004529D4" w:rsidRDefault="004529D4" w:rsidP="00F915C7">
            <w:pPr>
              <w:rPr>
                <w:bCs/>
                <w:sz w:val="16"/>
                <w:szCs w:val="16"/>
              </w:rPr>
            </w:pPr>
          </w:p>
          <w:p w:rsidR="004529D4" w:rsidRDefault="004529D4" w:rsidP="00F915C7">
            <w:pPr>
              <w:rPr>
                <w:bCs/>
                <w:sz w:val="16"/>
                <w:szCs w:val="16"/>
              </w:rPr>
            </w:pPr>
          </w:p>
          <w:p w:rsidR="004529D4" w:rsidRDefault="004529D4" w:rsidP="00F915C7">
            <w:pPr>
              <w:rPr>
                <w:bCs/>
                <w:sz w:val="16"/>
                <w:szCs w:val="16"/>
              </w:rPr>
            </w:pPr>
          </w:p>
          <w:p w:rsidR="004529D4" w:rsidRDefault="004529D4" w:rsidP="00F915C7">
            <w:pPr>
              <w:rPr>
                <w:bCs/>
                <w:sz w:val="16"/>
                <w:szCs w:val="16"/>
              </w:rPr>
            </w:pPr>
          </w:p>
          <w:p w:rsidR="004529D4" w:rsidRDefault="004529D4" w:rsidP="00F915C7">
            <w:pPr>
              <w:rPr>
                <w:bCs/>
                <w:sz w:val="16"/>
                <w:szCs w:val="16"/>
              </w:rPr>
            </w:pPr>
          </w:p>
          <w:p w:rsidR="004529D4" w:rsidRPr="00654D99" w:rsidRDefault="004529D4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3271E" w:rsidRDefault="0023271E" w:rsidP="0023271E">
            <w:pPr>
              <w:pStyle w:val="ListParagraph"/>
              <w:numPr>
                <w:ilvl w:val="0"/>
                <w:numId w:val="13"/>
              </w:numPr>
              <w:spacing w:after="120"/>
              <w:ind w:right="595"/>
              <w:contextualSpacing w:val="0"/>
            </w:pPr>
            <w:r>
              <w:t>Difficult to find suitable VOS ships that are on long term charter</w:t>
            </w:r>
            <w:r w:rsidR="00A03074">
              <w:t>s</w:t>
            </w:r>
            <w:r>
              <w:t>.</w:t>
            </w:r>
          </w:p>
          <w:p w:rsidR="00A059F0" w:rsidRPr="0023271E" w:rsidRDefault="0023271E" w:rsidP="0023271E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Regular contact with ship is needed to avoid the reduction of the number of reports </w:t>
            </w:r>
            <w:r w:rsidR="00BE27B2">
              <w:t xml:space="preserve">and the decrease of the quality of data </w:t>
            </w:r>
            <w:r>
              <w:t>when officers rotate due to leave.</w:t>
            </w: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A812A7" w:rsidP="00FE0D05">
            <w:pPr>
              <w:rPr>
                <w:b/>
              </w:rPr>
            </w:pPr>
            <w:r>
              <w:rPr>
                <w:b/>
              </w:rPr>
              <w:t>h.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23271E" w:rsidRDefault="0023271E" w:rsidP="0023271E">
            <w:r>
              <w:t xml:space="preserve">     None</w:t>
            </w: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E3F01" w:rsidRDefault="003E21C9" w:rsidP="008E3F01">
            <w:pPr>
              <w:spacing w:line="280" w:lineRule="exact"/>
            </w:pPr>
            <w:bookmarkStart w:id="0" w:name="_Hlk536611891"/>
            <w:r>
              <w:t>Many foreign VOS ships coming to New Zealand waters are often not reporting and if they are</w:t>
            </w:r>
            <w:r w:rsidR="00B72F62">
              <w:t>,</w:t>
            </w:r>
            <w:r>
              <w:t xml:space="preserve"> the data is </w:t>
            </w:r>
            <w:r w:rsidR="00685FAB">
              <w:t>unreliable</w:t>
            </w:r>
            <w:r>
              <w:t xml:space="preserve">.  This is </w:t>
            </w:r>
            <w:r w:rsidR="00685FAB">
              <w:t xml:space="preserve">probably </w:t>
            </w:r>
            <w:r>
              <w:t xml:space="preserve">due to the </w:t>
            </w:r>
            <w:r w:rsidR="00B72F62">
              <w:t xml:space="preserve">lack of </w:t>
            </w:r>
            <w:r>
              <w:t xml:space="preserve">training of the officers, substandard equipment on board and the irregular or non-existent communication and visits from their </w:t>
            </w:r>
            <w:r w:rsidR="008E3F01">
              <w:t xml:space="preserve">recruited </w:t>
            </w:r>
            <w:r>
              <w:t xml:space="preserve">countries VOS PMO. </w:t>
            </w:r>
          </w:p>
          <w:p w:rsidR="008E3F01" w:rsidRDefault="003E21C9" w:rsidP="008E3F01">
            <w:pPr>
              <w:spacing w:line="280" w:lineRule="exact"/>
            </w:pPr>
            <w:r>
              <w:t xml:space="preserve">Regular quality checks and communication from </w:t>
            </w:r>
            <w:r w:rsidR="008E3F01">
              <w:t xml:space="preserve">the ships </w:t>
            </w:r>
            <w:r>
              <w:t>VOS PMO</w:t>
            </w:r>
            <w:r w:rsidR="008E3F01">
              <w:t>(s)</w:t>
            </w:r>
            <w:r>
              <w:t xml:space="preserve"> </w:t>
            </w:r>
            <w:r w:rsidR="00685FAB">
              <w:t>are</w:t>
            </w:r>
            <w:bookmarkStart w:id="1" w:name="_GoBack"/>
            <w:bookmarkEnd w:id="1"/>
            <w:r>
              <w:t xml:space="preserve"> needed to ensure quality of VOS data is accurate</w:t>
            </w:r>
            <w:r w:rsidR="008E3F01">
              <w:t xml:space="preserve"> and data frequent</w:t>
            </w:r>
            <w:r>
              <w:t xml:space="preserve">.  </w:t>
            </w:r>
          </w:p>
          <w:p w:rsidR="00F915C7" w:rsidRDefault="003E21C9" w:rsidP="008E3F01">
            <w:pPr>
              <w:spacing w:line="280" w:lineRule="exact"/>
            </w:pPr>
            <w:r>
              <w:t>This issue is a threat to the reliability of the VOS network as a data source.</w:t>
            </w:r>
          </w:p>
          <w:bookmarkEnd w:id="0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F62" w:rsidRDefault="00F66F62">
      <w:r>
        <w:separator/>
      </w:r>
    </w:p>
  </w:endnote>
  <w:endnote w:type="continuationSeparator" w:id="0">
    <w:p w:rsidR="00F66F62" w:rsidRDefault="00F6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F62" w:rsidRDefault="00F66F62">
      <w:r>
        <w:separator/>
      </w:r>
    </w:p>
  </w:footnote>
  <w:footnote w:type="continuationSeparator" w:id="0">
    <w:p w:rsidR="00F66F62" w:rsidRDefault="00F6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CF" w:rsidRDefault="007528CF">
    <w:pPr>
      <w:pStyle w:val="Header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D517BE">
      <w:rPr>
        <w:rStyle w:val="PageNumber"/>
        <w:b/>
        <w:bCs/>
        <w:noProof/>
      </w:rPr>
      <w:t>5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80F26"/>
    <w:multiLevelType w:val="hybridMultilevel"/>
    <w:tmpl w:val="97BA3A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535540"/>
    <w:multiLevelType w:val="hybridMultilevel"/>
    <w:tmpl w:val="A4C491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54F"/>
    <w:rsid w:val="00004BE8"/>
    <w:rsid w:val="00020034"/>
    <w:rsid w:val="000814C7"/>
    <w:rsid w:val="000C6D33"/>
    <w:rsid w:val="000F07E5"/>
    <w:rsid w:val="000F1646"/>
    <w:rsid w:val="000F598A"/>
    <w:rsid w:val="00131A3E"/>
    <w:rsid w:val="00150597"/>
    <w:rsid w:val="001940FC"/>
    <w:rsid w:val="001C24CE"/>
    <w:rsid w:val="001D101C"/>
    <w:rsid w:val="001F7A01"/>
    <w:rsid w:val="00201695"/>
    <w:rsid w:val="002019D7"/>
    <w:rsid w:val="00211C46"/>
    <w:rsid w:val="0023271E"/>
    <w:rsid w:val="00250B13"/>
    <w:rsid w:val="00251586"/>
    <w:rsid w:val="002C2FA9"/>
    <w:rsid w:val="002D754F"/>
    <w:rsid w:val="002E712F"/>
    <w:rsid w:val="002F3CBC"/>
    <w:rsid w:val="003120C7"/>
    <w:rsid w:val="00314D30"/>
    <w:rsid w:val="0038584E"/>
    <w:rsid w:val="003A335B"/>
    <w:rsid w:val="003B63AC"/>
    <w:rsid w:val="003C4D58"/>
    <w:rsid w:val="003D32E9"/>
    <w:rsid w:val="003E21C9"/>
    <w:rsid w:val="004529D4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5E1E06"/>
    <w:rsid w:val="006278B4"/>
    <w:rsid w:val="00627F7D"/>
    <w:rsid w:val="00650D52"/>
    <w:rsid w:val="00651C0A"/>
    <w:rsid w:val="00653140"/>
    <w:rsid w:val="00654D99"/>
    <w:rsid w:val="00663B83"/>
    <w:rsid w:val="00671545"/>
    <w:rsid w:val="00685FAB"/>
    <w:rsid w:val="006A2A1C"/>
    <w:rsid w:val="006A37AB"/>
    <w:rsid w:val="006B41D0"/>
    <w:rsid w:val="006E49EF"/>
    <w:rsid w:val="006F4CF1"/>
    <w:rsid w:val="0071141C"/>
    <w:rsid w:val="007306C2"/>
    <w:rsid w:val="00743AE8"/>
    <w:rsid w:val="007528CF"/>
    <w:rsid w:val="0075364A"/>
    <w:rsid w:val="00754DE3"/>
    <w:rsid w:val="00757290"/>
    <w:rsid w:val="007814EE"/>
    <w:rsid w:val="007E402B"/>
    <w:rsid w:val="007E6ACA"/>
    <w:rsid w:val="007E76C3"/>
    <w:rsid w:val="00815475"/>
    <w:rsid w:val="00876526"/>
    <w:rsid w:val="00880364"/>
    <w:rsid w:val="00886954"/>
    <w:rsid w:val="008A2850"/>
    <w:rsid w:val="008C4603"/>
    <w:rsid w:val="008E3F01"/>
    <w:rsid w:val="00904BA6"/>
    <w:rsid w:val="00905975"/>
    <w:rsid w:val="00914416"/>
    <w:rsid w:val="009607EA"/>
    <w:rsid w:val="00963B85"/>
    <w:rsid w:val="0096465C"/>
    <w:rsid w:val="00972BF5"/>
    <w:rsid w:val="009A0F5B"/>
    <w:rsid w:val="009B0F41"/>
    <w:rsid w:val="00A03074"/>
    <w:rsid w:val="00A04D08"/>
    <w:rsid w:val="00A059F0"/>
    <w:rsid w:val="00A17238"/>
    <w:rsid w:val="00A24A13"/>
    <w:rsid w:val="00A375FD"/>
    <w:rsid w:val="00A643E8"/>
    <w:rsid w:val="00A66B0D"/>
    <w:rsid w:val="00A810A9"/>
    <w:rsid w:val="00A812A7"/>
    <w:rsid w:val="00AA6879"/>
    <w:rsid w:val="00AC6598"/>
    <w:rsid w:val="00AD7C66"/>
    <w:rsid w:val="00B014F3"/>
    <w:rsid w:val="00B11DC9"/>
    <w:rsid w:val="00B43170"/>
    <w:rsid w:val="00B45B0B"/>
    <w:rsid w:val="00B72F62"/>
    <w:rsid w:val="00B80975"/>
    <w:rsid w:val="00B80C44"/>
    <w:rsid w:val="00B85274"/>
    <w:rsid w:val="00B971A0"/>
    <w:rsid w:val="00BB7B60"/>
    <w:rsid w:val="00BE27B2"/>
    <w:rsid w:val="00BF49B2"/>
    <w:rsid w:val="00C11914"/>
    <w:rsid w:val="00C65703"/>
    <w:rsid w:val="00CA62DF"/>
    <w:rsid w:val="00CB5F26"/>
    <w:rsid w:val="00CE7778"/>
    <w:rsid w:val="00D06198"/>
    <w:rsid w:val="00D17C20"/>
    <w:rsid w:val="00D23761"/>
    <w:rsid w:val="00D517BE"/>
    <w:rsid w:val="00D56808"/>
    <w:rsid w:val="00D70777"/>
    <w:rsid w:val="00D9009C"/>
    <w:rsid w:val="00D90378"/>
    <w:rsid w:val="00DB17CB"/>
    <w:rsid w:val="00DD4F45"/>
    <w:rsid w:val="00DF6833"/>
    <w:rsid w:val="00E1293B"/>
    <w:rsid w:val="00E16B1F"/>
    <w:rsid w:val="00E30E40"/>
    <w:rsid w:val="00E56074"/>
    <w:rsid w:val="00E62100"/>
    <w:rsid w:val="00E638AB"/>
    <w:rsid w:val="00E7571D"/>
    <w:rsid w:val="00E81288"/>
    <w:rsid w:val="00E960BD"/>
    <w:rsid w:val="00E96553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2E84"/>
    <w:rsid w:val="00F37403"/>
    <w:rsid w:val="00F66F62"/>
    <w:rsid w:val="00F815AD"/>
    <w:rsid w:val="00F915C7"/>
    <w:rsid w:val="00FE0D05"/>
    <w:rsid w:val="00FF0C51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2991C2"/>
  <w15:docId w15:val="{DAA6D4F4-6EA4-494E-856E-94E01EE4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905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5975"/>
    <w:rPr>
      <w:rFonts w:ascii="Segoe UI" w:hAnsi="Segoe UI" w:cs="Segoe UI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23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36F1-74EB-403D-8C6E-6A1C4A32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Ross Bannister</cp:lastModifiedBy>
  <cp:revision>15</cp:revision>
  <cp:lastPrinted>2019-01-29T23:32:00Z</cp:lastPrinted>
  <dcterms:created xsi:type="dcterms:W3CDTF">2018-10-17T11:30:00Z</dcterms:created>
  <dcterms:modified xsi:type="dcterms:W3CDTF">2019-01-30T01:00:00Z</dcterms:modified>
</cp:coreProperties>
</file>