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unoten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C071BB" w:rsidP="007528CF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>Ireland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  <w:p w:rsidR="00741785" w:rsidRDefault="00741785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DC7B93" w:rsidP="00004BE8">
            <w:pPr>
              <w:jc w:val="center"/>
            </w:pPr>
            <w:r>
              <w:t>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DC7B93" w:rsidP="00004B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DC7B93" w:rsidP="00004BE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004B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DC7B93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DC7B93" w:rsidP="00004BE8">
            <w:pPr>
              <w:tabs>
                <w:tab w:val="num" w:pos="900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Funoten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6E4BBB" w:rsidP="007E76C3">
            <w:pPr>
              <w:pStyle w:val="Funotentext"/>
            </w:pPr>
            <w:r>
              <w:t>879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DC7B93" w:rsidP="007E76C3">
            <w:r>
              <w:t>8/2/18, 20/11/2018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berschrift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unoten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 xml:space="preserve">, SEAS, </w:t>
            </w:r>
            <w:proofErr w:type="spellStart"/>
            <w:r>
              <w:rPr>
                <w:b/>
                <w:bCs/>
              </w:rPr>
              <w:t>OBSJMA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berschrift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DC7B93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DC7B93" w:rsidP="00743AE8">
            <w:pPr>
              <w:jc w:val="center"/>
            </w:pPr>
            <w:r>
              <w:t>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unoten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DC7B93" w:rsidP="00815475">
            <w:pPr>
              <w:jc w:val="center"/>
            </w:pPr>
            <w:proofErr w:type="spellStart"/>
            <w:r>
              <w:t>Turbowin</w:t>
            </w:r>
            <w:proofErr w:type="spellEnd"/>
            <w:r>
              <w:t xml:space="preserve"> 5.5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DC7B93" w:rsidP="00743AE8">
            <w:pPr>
              <w:jc w:val="center"/>
            </w:pPr>
            <w:r>
              <w:t>1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DC7B93">
            <w:proofErr w:type="spellStart"/>
            <w:r>
              <w:t>Vaisala</w:t>
            </w:r>
            <w:proofErr w:type="spellEnd"/>
            <w:r>
              <w:t xml:space="preserve"> </w:t>
            </w:r>
            <w:proofErr w:type="spellStart"/>
            <w:r>
              <w:t>PTB</w:t>
            </w:r>
            <w:proofErr w:type="spellEnd"/>
            <w:r>
              <w:t xml:space="preserve"> 330 All Ships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DC7B93">
            <w:r w:rsidRPr="00A04D08">
              <w:rPr>
                <w:i/>
              </w:rPr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DC7B93">
            <w:r>
              <w:t>Ships own Barograph ( 7 day open scale mostly)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DB0A0D">
            <w:r>
              <w:rPr>
                <w:i/>
              </w:rPr>
              <w:t>None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DC7B93">
            <w:r>
              <w:t>Ships own Instruments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C7B93" w:rsidRDefault="00DC7B93" w:rsidP="00DC7B93">
            <w:pPr>
              <w:rPr>
                <w:rFonts w:ascii="Times New Roman" w:hAnsi="Times New Roman"/>
                <w:sz w:val="32"/>
                <w:szCs w:val="32"/>
                <w:lang w:val="en-GB"/>
              </w:rPr>
            </w:pPr>
            <w:r>
              <w:t xml:space="preserve">One Ship supplied with </w:t>
            </w:r>
            <w:r w:rsidRPr="00DC7B93">
              <w:rPr>
                <w:sz w:val="18"/>
                <w:szCs w:val="18"/>
                <w:lang w:val="en-GB"/>
              </w:rPr>
              <w:t xml:space="preserve">Electronic </w:t>
            </w:r>
            <w:proofErr w:type="spellStart"/>
            <w:r w:rsidRPr="00DC7B93">
              <w:rPr>
                <w:sz w:val="18"/>
                <w:szCs w:val="18"/>
                <w:lang w:val="en-GB"/>
              </w:rPr>
              <w:t>Psychrometer</w:t>
            </w:r>
            <w:proofErr w:type="spellEnd"/>
            <w:r w:rsidRPr="00DC7B93">
              <w:rPr>
                <w:sz w:val="18"/>
                <w:szCs w:val="18"/>
                <w:lang w:val="en-GB"/>
              </w:rPr>
              <w:t>:</w:t>
            </w:r>
          </w:p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DB0A0D" w:rsidRDefault="00DC7B93" w:rsidP="00DC7B93">
            <w:pPr>
              <w:rPr>
                <w:lang w:val="en-IE"/>
              </w:rPr>
            </w:pPr>
            <w:r>
              <w:t>Engine water 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DC7B93">
            <w:r>
              <w:t>Ships own Instruments, No Standardisation.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DC7B93">
            <w:r>
              <w:t>Ships own Instruments, No Standardisation.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654D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04F8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DB0A0D" w:rsidP="008A28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DB0A0D" w:rsidP="00F915C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087333" w:rsidP="00F915C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0.1</w:t>
            </w:r>
            <w:bookmarkStart w:id="0" w:name="_GoBack"/>
            <w:bookmarkEnd w:id="0"/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B" w:rsidRDefault="00FF36DB">
      <w:r>
        <w:separator/>
      </w:r>
    </w:p>
  </w:endnote>
  <w:endnote w:type="continuationSeparator" w:id="0">
    <w:p w:rsidR="00FF36DB" w:rsidRDefault="00F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B" w:rsidRDefault="00FF36DB">
      <w:r>
        <w:separator/>
      </w:r>
    </w:p>
  </w:footnote>
  <w:footnote w:type="continuationSeparator" w:id="0">
    <w:p w:rsidR="00FF36DB" w:rsidRDefault="00FF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Kopfzeile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087333">
      <w:rPr>
        <w:rStyle w:val="Seitenzahl"/>
        <w:b/>
        <w:bCs/>
        <w:noProof/>
      </w:rPr>
      <w:t>1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87333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E4BBB"/>
    <w:rsid w:val="006F4CF1"/>
    <w:rsid w:val="0071141C"/>
    <w:rsid w:val="007306C2"/>
    <w:rsid w:val="00741785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071BB"/>
    <w:rsid w:val="00C11914"/>
    <w:rsid w:val="00C65703"/>
    <w:rsid w:val="00CA62DF"/>
    <w:rsid w:val="00CB5F26"/>
    <w:rsid w:val="00CE7778"/>
    <w:rsid w:val="00D06198"/>
    <w:rsid w:val="00D23761"/>
    <w:rsid w:val="00D517BE"/>
    <w:rsid w:val="00D70777"/>
    <w:rsid w:val="00D9009C"/>
    <w:rsid w:val="00D90378"/>
    <w:rsid w:val="00DB0A0D"/>
    <w:rsid w:val="00DB17CB"/>
    <w:rsid w:val="00DC7B93"/>
    <w:rsid w:val="00DD4F45"/>
    <w:rsid w:val="00DF6833"/>
    <w:rsid w:val="00E1293B"/>
    <w:rsid w:val="00E16B1F"/>
    <w:rsid w:val="00E30E40"/>
    <w:rsid w:val="00E545F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  <w:semiHidden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16E6-571A-4BF4-9E5C-4A2D06F3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Kleta Henry</cp:lastModifiedBy>
  <cp:revision>3</cp:revision>
  <cp:lastPrinted>2003-03-12T15:14:00Z</cp:lastPrinted>
  <dcterms:created xsi:type="dcterms:W3CDTF">2019-01-22T10:36:00Z</dcterms:created>
  <dcterms:modified xsi:type="dcterms:W3CDTF">2019-01-22T10:37:00Z</dcterms:modified>
</cp:coreProperties>
</file>